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7, 2023 (March 7,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48"/>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202"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10"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On March 7, 2023, Cumberland Pharmaceuticals Inc. (the "Company") issued a press release which provided a company update and the financial results for the three months and year ended December 31, 2022. A copy of the press release is attached as </w:t>
      </w:r>
      <w:r>
        <w:rPr>
          <w:rFonts w:ascii="Arial" w:cs="Arial" w:eastAsia="Arial" w:hAnsi="Arial"/>
          <w:sz w:val="20"/>
          <w:szCs w:val="20"/>
          <w:u w:val="single" w:color="auto"/>
          <w:color w:val="0000FF"/>
        </w:rPr>
        <w:t>Exhibit 99.1</w:t>
      </w:r>
      <w:r>
        <w:rPr>
          <w:rFonts w:ascii="Arial" w:cs="Arial" w:eastAsia="Arial" w:hAnsi="Arial"/>
          <w:sz w:val="20"/>
          <w:szCs w:val="20"/>
          <w:color w:val="auto"/>
        </w:rPr>
        <w:t xml:space="preserve"> to this Current Report on Form 8-K and is incorporated by reference into this Item 2.02.</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Arial" w:cs="Arial" w:eastAsia="Arial" w:hAnsi="Arial"/>
                <w:sz w:val="18"/>
                <w:szCs w:val="18"/>
                <w:color w:val="0000FF"/>
              </w:rPr>
              <w:t>Press release dated March 7, 2023</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top w:val="single" w:sz="8" w:color="0000FF"/>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Arial" w:cs="Arial" w:eastAsia="Arial" w:hAnsi="Arial"/>
                <w:sz w:val="18"/>
                <w:szCs w:val="18"/>
                <w:color w:val="auto"/>
              </w:rPr>
              <w:t>Dated: March 7, 2023</w:t>
            </w:r>
          </w:p>
        </w:tc>
        <w:tc>
          <w:tcPr>
            <w:tcW w:w="4060" w:type="dxa"/>
            <w:vAlign w:val="bottom"/>
          </w:tcPr>
          <w:p>
            <w:pPr>
              <w:ind w:left="270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2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93"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2188210</wp:posOffset>
            </wp:positionH>
            <wp:positionV relativeFrom="page">
              <wp:posOffset>474980</wp:posOffset>
            </wp:positionV>
            <wp:extent cx="317182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1718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CUMBERLAND PHARMACEUTICALS REPORTS</w:t>
      </w:r>
    </w:p>
    <w:p>
      <w:pPr>
        <w:spacing w:after="0" w:line="152" w:lineRule="exact"/>
        <w:rPr>
          <w:sz w:val="20"/>
          <w:szCs w:val="20"/>
          <w:color w:val="auto"/>
        </w:rPr>
      </w:pPr>
    </w:p>
    <w:p>
      <w:pPr>
        <w:ind w:left="3160"/>
        <w:spacing w:after="0"/>
        <w:rPr>
          <w:sz w:val="20"/>
          <w:szCs w:val="20"/>
          <w:color w:val="auto"/>
        </w:rPr>
      </w:pPr>
      <w:r>
        <w:rPr>
          <w:rFonts w:ascii="Arial" w:cs="Arial" w:eastAsia="Arial" w:hAnsi="Arial"/>
          <w:sz w:val="22"/>
          <w:szCs w:val="22"/>
          <w:b w:val="1"/>
          <w:bCs w:val="1"/>
          <w:color w:val="auto"/>
        </w:rPr>
        <w:t>17% REVENUE GROWTH FOR FULL YEAR 2022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2022 highlights include its acquisition of Sancuso</w:t>
      </w:r>
      <w:r>
        <w:rPr>
          <w:rFonts w:ascii="Arial" w:cs="Arial" w:eastAsia="Arial" w:hAnsi="Arial"/>
          <w:sz w:val="11"/>
          <w:szCs w:val="11"/>
          <w:i w:val="1"/>
          <w:iCs w:val="1"/>
          <w:color w:val="auto"/>
        </w:rPr>
        <w:t>®</w:t>
      </w:r>
      <w:r>
        <w:rPr>
          <w:rFonts w:ascii="Arial" w:cs="Arial" w:eastAsia="Arial" w:hAnsi="Arial"/>
          <w:sz w:val="22"/>
          <w:szCs w:val="22"/>
          <w:i w:val="1"/>
          <w:iCs w:val="1"/>
          <w:color w:val="auto"/>
        </w:rPr>
        <w:t xml:space="preserve"> and move to new headquarters</w:t>
      </w:r>
    </w:p>
    <w:p>
      <w:pPr>
        <w:spacing w:after="0" w:line="200" w:lineRule="exact"/>
        <w:rPr>
          <w:sz w:val="20"/>
          <w:szCs w:val="20"/>
          <w:color w:val="auto"/>
        </w:rPr>
      </w:pPr>
    </w:p>
    <w:p>
      <w:pPr>
        <w:spacing w:after="0" w:line="306" w:lineRule="exact"/>
        <w:rPr>
          <w:sz w:val="20"/>
          <w:szCs w:val="20"/>
          <w:color w:val="auto"/>
        </w:rPr>
      </w:pPr>
    </w:p>
    <w:p>
      <w:pPr>
        <w:jc w:val="both"/>
        <w:spacing w:after="0" w:line="281" w:lineRule="auto"/>
        <w:rPr>
          <w:sz w:val="20"/>
          <w:szCs w:val="20"/>
          <w:color w:val="auto"/>
        </w:rPr>
      </w:pPr>
      <w:r>
        <w:rPr>
          <w:rFonts w:ascii="Arial" w:cs="Arial" w:eastAsia="Arial" w:hAnsi="Arial"/>
          <w:sz w:val="21"/>
          <w:szCs w:val="21"/>
          <w:b w:val="1"/>
          <w:bCs w:val="1"/>
          <w:color w:val="auto"/>
        </w:rPr>
        <w:t>NASHVILLE, TENNESSEE (Tuesday, March 7, 2023) - Cumberland Pharmaceuticals Inc. (NASDAQ: CPIX)</w:t>
      </w:r>
      <w:r>
        <w:rPr>
          <w:rFonts w:ascii="Arial" w:cs="Arial" w:eastAsia="Arial" w:hAnsi="Arial"/>
          <w:sz w:val="21"/>
          <w:szCs w:val="21"/>
          <w:color w:val="auto"/>
        </w:rPr>
        <w:t>, a specialty</w:t>
      </w:r>
      <w:r>
        <w:rPr>
          <w:rFonts w:ascii="Arial" w:cs="Arial" w:eastAsia="Arial" w:hAnsi="Arial"/>
          <w:sz w:val="21"/>
          <w:szCs w:val="21"/>
          <w:b w:val="1"/>
          <w:bCs w:val="1"/>
          <w:color w:val="auto"/>
        </w:rPr>
        <w:t xml:space="preserve"> </w:t>
      </w:r>
      <w:r>
        <w:rPr>
          <w:rFonts w:ascii="Arial" w:cs="Arial" w:eastAsia="Arial" w:hAnsi="Arial"/>
          <w:sz w:val="21"/>
          <w:szCs w:val="21"/>
          <w:color w:val="auto"/>
        </w:rPr>
        <w:t>pharmaceutical company today announced full year 2022 financial results and provided a Company update. Net revenues grew 17% over the prior year to $42 million, resulting in $8 million in cash flow from operations.</w:t>
      </w:r>
    </w:p>
    <w:p>
      <w:pPr>
        <w:spacing w:after="0" w:line="7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As of December 31, 2022, the Company's total assets were $93 million, including $20 million in cash. Total liabilities were $57 million and total shareholders' equity was $36 million.</w:t>
      </w:r>
    </w:p>
    <w:p>
      <w:pPr>
        <w:spacing w:after="0" w:line="12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“We were able to manage our business in 2022 to deliver significant revenue growth despite facing external challenges in our operating environment,” said A.J. Kazimi, Cumberland Pharmaceuticals CEO. “We were delighted to add and begin providing Sancuso</w:t>
      </w:r>
      <w:r>
        <w:rPr>
          <w:rFonts w:ascii="Arial" w:cs="Arial" w:eastAsia="Arial" w:hAnsi="Arial"/>
          <w:sz w:val="11"/>
          <w:szCs w:val="11"/>
          <w:b w:val="1"/>
          <w:bCs w:val="1"/>
          <w:color w:val="auto"/>
        </w:rPr>
        <w:t>®</w:t>
      </w:r>
      <w:r>
        <w:rPr>
          <w:rFonts w:ascii="Arial" w:cs="Arial" w:eastAsia="Arial" w:hAnsi="Arial"/>
          <w:sz w:val="20"/>
          <w:szCs w:val="20"/>
          <w:color w:val="auto"/>
        </w:rPr>
        <w:t xml:space="preserve"> in support of oncology patients, as we further expanded our portfolio of FDA-approved brands.”</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HIGHLIGHTS FOR THE YEAR INCLUDE: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Headquarter Office Location</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the fourth quarter of 2022, Cumberland relocated its headquarters to the Broadwest campus in the Vanderbilt/West End corridor of Nashville. The new, state-of-the-art headquarters keeps the Company close to Vanderbilt University Medical Center, enabling their continued collaboration as Cumberland works to develop new medicines for the future.</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move also allows Cumberland to accommodate recent and future growth. Following the relocation, Cumberland expects to expand its organization to over 100 individuals, with a majority working from the Nashville headquarters. The move will help to support the Cumberland team, its patients, customers and partners.</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Sustainability Metrics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Cumberland continues to monitor and report on its activities and impact on the environmental, its employees and the community.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Company’s key sustainability metrics for 2022 include:</w:t>
      </w:r>
    </w:p>
    <w:p>
      <w:pPr>
        <w:spacing w:after="0" w:line="134"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color w:val="auto"/>
        </w:rPr>
        <w:t>Providing 2.2 million doses of products to patients</w:t>
      </w:r>
    </w:p>
    <w:p>
      <w:pPr>
        <w:spacing w:after="0" w:line="16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color w:val="auto"/>
        </w:rPr>
        <w:t>Safely disposing of over 2,750 pounds of expired or damaged products</w:t>
      </w:r>
    </w:p>
    <w:p>
      <w:pPr>
        <w:spacing w:after="0" w:line="152"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2"/>
          <w:szCs w:val="22"/>
          <w:color w:val="auto"/>
        </w:rPr>
        <w:t>No products recalled or clinical trial terminated due to a failure to practice good clinical standards.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Acquisition</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During 2022, Cumberland acquired and successfully completed the transition of Sancuso</w:t>
      </w:r>
      <w:r>
        <w:rPr>
          <w:rFonts w:ascii="Arial" w:cs="Arial" w:eastAsia="Arial" w:hAnsi="Arial"/>
          <w:sz w:val="11"/>
          <w:szCs w:val="11"/>
          <w:color w:val="auto"/>
        </w:rPr>
        <w:t>®</w:t>
      </w:r>
      <w:r>
        <w:rPr>
          <w:rFonts w:ascii="Arial" w:cs="Arial" w:eastAsia="Arial" w:hAnsi="Arial"/>
          <w:sz w:val="20"/>
          <w:szCs w:val="20"/>
          <w:color w:val="auto"/>
        </w:rPr>
        <w:t xml:space="preserve"> from Japan-based Kyowa Kirin, Inc. </w:t>
      </w:r>
      <w:r>
        <w:rPr>
          <w:rFonts w:ascii="Arial" w:cs="Arial" w:eastAsia="Arial" w:hAnsi="Arial"/>
          <w:sz w:val="20"/>
          <w:szCs w:val="20"/>
          <w:color w:val="202124"/>
        </w:rPr>
        <w:t>–</w:t>
      </w:r>
      <w:r>
        <w:rPr>
          <w:rFonts w:ascii="Arial" w:cs="Arial" w:eastAsia="Arial" w:hAnsi="Arial"/>
          <w:sz w:val="20"/>
          <w:szCs w:val="20"/>
          <w:color w:val="auto"/>
        </w:rPr>
        <w:t xml:space="preserve"> </w:t>
      </w:r>
      <w:r>
        <w:rPr>
          <w:rFonts w:ascii="Arial" w:cs="Arial" w:eastAsia="Arial" w:hAnsi="Arial"/>
          <w:sz w:val="20"/>
          <w:szCs w:val="20"/>
          <w:color w:val="202124"/>
        </w:rPr>
        <w:t xml:space="preserve">assuming </w:t>
      </w:r>
      <w:r>
        <w:rPr>
          <w:rFonts w:ascii="Arial" w:cs="Arial" w:eastAsia="Arial" w:hAnsi="Arial"/>
          <w:sz w:val="20"/>
          <w:szCs w:val="20"/>
          <w:color w:val="000000"/>
        </w:rPr>
        <w:t>responsibility for the brand’s sales, distribution and promotion in the U.S. Sancuso is an FDA-approved prescription</w:t>
      </w:r>
      <w:r>
        <w:rPr>
          <w:rFonts w:ascii="Arial" w:cs="Arial" w:eastAsia="Arial" w:hAnsi="Arial"/>
          <w:sz w:val="20"/>
          <w:szCs w:val="20"/>
          <w:color w:val="202124"/>
        </w:rPr>
        <w:t xml:space="preserve"> </w:t>
      </w:r>
      <w:r>
        <w:rPr>
          <w:rFonts w:ascii="Arial" w:cs="Arial" w:eastAsia="Arial" w:hAnsi="Arial"/>
          <w:sz w:val="20"/>
          <w:szCs w:val="20"/>
          <w:color w:val="000000"/>
        </w:rPr>
        <w:t>patch that prevents nausea and vomiting in patients undergoing certain types of chemotherapy.</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To promote and support Sancuso, Cumberland formed a new sales division, Cumberland Oncology, comprised of former Kyowa Kirin sales representatives who brought extensive experience with the brand.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Caldolor</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International Update</w:t>
      </w:r>
    </w:p>
    <w:p>
      <w:pPr>
        <w:spacing w:after="0" w:line="15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2022, Cumberland announced its agreement with PiSA Pharmaceutical for the registration and commercialization of Caldolor, its non-narcotic pain relief product, in Mexico.</w:t>
      </w:r>
    </w:p>
    <w:p>
      <w:pPr>
        <w:spacing w:after="0" w:line="107"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Under the terms of the agreement, Cumberland will be responsible for providing the product dossier and supplies. PiSA will be responsible for obtaining regulatory approval for the product in Mexico and introducing it to the new market.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Vibativ</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International Updates</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In March 2022, Cumberland announced the launch of Vibativ in Puerto Rico. The announcement follows an agreement between Cumberland and Verity Pharmaceuticals that provides Verity the rights to introduce the product for patients in that market. Verity has a strong presence in Puerto Rico, which is in need of a product with Vibativ’s features, as it has a large number of residents living with chronic diseases, like diabetes, that increase the risk of hospitalization and infections. Vibativ can serve as a potentially life-saving treatment in patients with hospital-acquired and ventilator-associated pneumonia resulting from infections including the flu and COVID-19.</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Cumberland also announced a new partnership with Saudi Arabia-based Tabuk Pharmaceutical to introduce Vibativ into the Middle East. The arrangement provides Tabuk exclusive rights and obligations to distribute Vibativ in Saudi Arabia and Jordan, with the option to expand into other countries in the region. Tabuk is a fully owned subsidiary of the Astra Industrial Group, a leading and publicly traded conglomerate in Saudi Arabia.</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Cumberland entered into an agreement with D.B. Pharm Korea to register and commercialize the Vibativ product in South Korea. The submission for approval is underway.</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Cumberland’s Vibativ partner for the Chinese market, SciClone Pharmaceuticals, had their approval application in China accepted for review in September 2021. During 2022, Cumberland continued to support SciClone and their requests associated with review of that submission.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Nordic Pharma RediTrex</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Agreement Restructured</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2022, Cumberland restructured its agreement with Nordic Pharma, who previously provided Cumberland with the license for the U.S. rights associated with the RediTrex brand. Nordic Pharma will assume the responsibility for distributing the product in the U.S. after June 30, 2023.</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addition, Cumberland has transferred the marketing responsibilities associated with the brand to Nordic Pharma and will continue to distribute and support RediTrex during the transition period.</w:t>
      </w:r>
    </w:p>
    <w:p>
      <w:pPr>
        <w:sectPr>
          <w:pgSz w:w="11900" w:h="16838" w:orient="portrait"/>
          <w:cols w:equalWidth="0" w:num="1">
            <w:col w:w="11240"/>
          </w:cols>
          <w:pgMar w:left="320" w:top="882"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Ongoing Clinical Development</w:t>
      </w:r>
    </w:p>
    <w:p>
      <w:pPr>
        <w:spacing w:after="0" w:line="158"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Cumberland continues to sponsor and progress three Phase II clinical programs featuring the Company’s ifetroban product candidate. These studies involve patients with:</w:t>
      </w:r>
    </w:p>
    <w:p>
      <w:pPr>
        <w:spacing w:after="0" w:line="10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2"/>
          <w:szCs w:val="22"/>
          <w:i w:val="1"/>
          <w:iCs w:val="1"/>
          <w:color w:val="auto"/>
        </w:rPr>
        <w:t>Aspirin-Exacerbated Respiratory Disease</w:t>
      </w:r>
      <w:r>
        <w:rPr>
          <w:rFonts w:ascii="Arial" w:cs="Arial" w:eastAsia="Arial" w:hAnsi="Arial"/>
          <w:sz w:val="22"/>
          <w:szCs w:val="22"/>
          <w:color w:val="auto"/>
        </w:rPr>
        <w:t>, or AERD, a severe form of asthma;</w:t>
      </w:r>
    </w:p>
    <w:p>
      <w:pPr>
        <w:spacing w:after="0" w:line="15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2"/>
          <w:szCs w:val="22"/>
          <w:i w:val="1"/>
          <w:iCs w:val="1"/>
          <w:color w:val="auto"/>
        </w:rPr>
        <w:t>Systemic Sclerosis</w:t>
      </w:r>
      <w:r>
        <w:rPr>
          <w:rFonts w:ascii="Arial" w:cs="Arial" w:eastAsia="Arial" w:hAnsi="Arial"/>
          <w:sz w:val="22"/>
          <w:szCs w:val="22"/>
          <w:color w:val="auto"/>
        </w:rPr>
        <w:t>, a debilitating autoimmune disorder; and</w:t>
      </w:r>
    </w:p>
    <w:p>
      <w:pPr>
        <w:spacing w:after="0" w:line="152"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2"/>
          <w:szCs w:val="22"/>
          <w:i w:val="1"/>
          <w:iCs w:val="1"/>
          <w:color w:val="auto"/>
        </w:rPr>
        <w:t>Duchenne Muscular Dystrophy</w:t>
      </w:r>
      <w:r>
        <w:rPr>
          <w:rFonts w:ascii="Arial" w:cs="Arial" w:eastAsia="Arial" w:hAnsi="Arial"/>
          <w:sz w:val="22"/>
          <w:szCs w:val="22"/>
          <w:color w:val="auto"/>
        </w:rPr>
        <w:t>, a genetic neuromuscular disease</w:t>
      </w:r>
      <w:r>
        <w:rPr>
          <w:rFonts w:ascii="Arial" w:cs="Arial" w:eastAsia="Arial" w:hAnsi="Arial"/>
          <w:sz w:val="22"/>
          <w:szCs w:val="22"/>
          <w:i w:val="1"/>
          <w:iCs w:val="1"/>
          <w:color w:val="auto"/>
        </w:rPr>
        <w:t>.</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In addition, Cumberland has been working toward an application to the FDA for a fourth Phase II clinical program, which will evaluate the use of ifetroban to treat patients with </w:t>
      </w:r>
      <w:r>
        <w:rPr>
          <w:rFonts w:ascii="Arial" w:cs="Arial" w:eastAsia="Arial" w:hAnsi="Arial"/>
          <w:sz w:val="22"/>
          <w:szCs w:val="22"/>
          <w:i w:val="1"/>
          <w:iCs w:val="1"/>
          <w:color w:val="auto"/>
        </w:rPr>
        <w:t>Progressive Fibrosing Interstitial Lung Diseases</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RESULTS</w:t>
      </w:r>
      <w:r>
        <w:rPr>
          <w:rFonts w:ascii="Arial" w:cs="Arial" w:eastAsia="Arial" w:hAnsi="Arial"/>
          <w:sz w:val="22"/>
          <w:szCs w:val="22"/>
          <w:b w:val="1"/>
          <w:bCs w:val="1"/>
          <w:color w:val="auto"/>
        </w:rPr>
        <w:t>:</w:t>
      </w:r>
    </w:p>
    <w:p>
      <w:pPr>
        <w:spacing w:after="0" w:line="152"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b w:val="1"/>
          <w:bCs w:val="1"/>
          <w:color w:val="auto"/>
        </w:rPr>
        <w:t xml:space="preserve">Net Revenue: </w:t>
      </w:r>
      <w:r>
        <w:rPr>
          <w:rFonts w:ascii="Arial" w:cs="Arial" w:eastAsia="Arial" w:hAnsi="Arial"/>
          <w:sz w:val="20"/>
          <w:szCs w:val="20"/>
          <w:color w:val="auto"/>
        </w:rPr>
        <w:t>In 2022, net revenues were $42.0 million, a 17% increase over the prior year. Net revenues by product for the year</w:t>
      </w:r>
      <w:r>
        <w:rPr>
          <w:rFonts w:ascii="Arial" w:cs="Arial" w:eastAsia="Arial" w:hAnsi="Arial"/>
          <w:sz w:val="20"/>
          <w:szCs w:val="20"/>
          <w:b w:val="1"/>
          <w:bCs w:val="1"/>
          <w:color w:val="auto"/>
        </w:rPr>
        <w:t xml:space="preserve"> </w:t>
      </w:r>
      <w:r>
        <w:rPr>
          <w:rFonts w:ascii="Arial" w:cs="Arial" w:eastAsia="Arial" w:hAnsi="Arial"/>
          <w:sz w:val="20"/>
          <w:szCs w:val="20"/>
          <w:color w:val="auto"/>
        </w:rPr>
        <w:t>were $15.2 million for Kristalose</w:t>
      </w:r>
      <w:r>
        <w:rPr>
          <w:rFonts w:ascii="Arial" w:cs="Arial" w:eastAsia="Arial" w:hAnsi="Arial"/>
          <w:sz w:val="26"/>
          <w:szCs w:val="26"/>
          <w:color w:val="auto"/>
          <w:vertAlign w:val="superscript"/>
        </w:rPr>
        <w:t>®</w:t>
      </w:r>
      <w:r>
        <w:rPr>
          <w:rFonts w:ascii="Arial" w:cs="Arial" w:eastAsia="Arial" w:hAnsi="Arial"/>
          <w:sz w:val="20"/>
          <w:szCs w:val="20"/>
          <w:color w:val="auto"/>
        </w:rPr>
        <w:t>, $13.2 million for Sancuso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$7.5 million for Vibativ</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$4.8 million for Caldolor</w:t>
      </w:r>
      <w:r>
        <w:rPr>
          <w:rFonts w:ascii="Arial" w:cs="Arial" w:eastAsia="Arial" w:hAnsi="Arial"/>
          <w:sz w:val="26"/>
          <w:szCs w:val="26"/>
          <w:color w:val="auto"/>
          <w:vertAlign w:val="superscript"/>
        </w:rPr>
        <w:t>®</w:t>
      </w:r>
      <w:r>
        <w:rPr>
          <w:rFonts w:ascii="Arial" w:cs="Arial" w:eastAsia="Arial" w:hAnsi="Arial"/>
          <w:sz w:val="20"/>
          <w:szCs w:val="20"/>
          <w:color w:val="auto"/>
        </w:rPr>
        <w:t>.</w:t>
      </w:r>
    </w:p>
    <w:p>
      <w:pPr>
        <w:spacing w:after="0" w:line="2" w:lineRule="exact"/>
        <w:rPr>
          <w:sz w:val="20"/>
          <w:szCs w:val="20"/>
          <w:color w:val="auto"/>
        </w:rPr>
      </w:pPr>
    </w:p>
    <w:p>
      <w:pPr>
        <w:jc w:val="both"/>
        <w:ind w:right="20"/>
        <w:spacing w:after="0" w:line="273" w:lineRule="auto"/>
        <w:rPr>
          <w:sz w:val="20"/>
          <w:szCs w:val="20"/>
          <w:color w:val="auto"/>
        </w:rPr>
      </w:pPr>
      <w:r>
        <w:rPr>
          <w:rFonts w:ascii="Arial" w:cs="Arial" w:eastAsia="Arial" w:hAnsi="Arial"/>
          <w:sz w:val="22"/>
          <w:szCs w:val="22"/>
          <w:color w:val="auto"/>
        </w:rPr>
        <w:t>During the fourth quarter of 2022, net revenues totaled $9.1 million. Net revenue by product for the quarter included $2.4 million for Sancuso</w:t>
      </w:r>
      <w:r>
        <w:rPr>
          <w:rFonts w:ascii="Arial" w:cs="Arial" w:eastAsia="Arial" w:hAnsi="Arial"/>
          <w:sz w:val="28"/>
          <w:szCs w:val="28"/>
          <w:color w:val="auto"/>
          <w:vertAlign w:val="superscript"/>
        </w:rPr>
        <w:t>®</w:t>
      </w:r>
      <w:r>
        <w:rPr>
          <w:rFonts w:ascii="Arial" w:cs="Arial" w:eastAsia="Arial" w:hAnsi="Arial"/>
          <w:sz w:val="22"/>
          <w:szCs w:val="22"/>
          <w:color w:val="auto"/>
        </w:rPr>
        <w:t>, $3.8 million for Kristalose</w:t>
      </w:r>
      <w:r>
        <w:rPr>
          <w:rFonts w:ascii="Arial" w:cs="Arial" w:eastAsia="Arial" w:hAnsi="Arial"/>
          <w:sz w:val="28"/>
          <w:szCs w:val="28"/>
          <w:color w:val="auto"/>
          <w:vertAlign w:val="superscript"/>
        </w:rPr>
        <w:t>®</w:t>
      </w:r>
      <w:r>
        <w:rPr>
          <w:rFonts w:ascii="Arial" w:cs="Arial" w:eastAsia="Arial" w:hAnsi="Arial"/>
          <w:sz w:val="22"/>
          <w:szCs w:val="22"/>
          <w:color w:val="auto"/>
        </w:rPr>
        <w:t>, $1.5 million for Vibativ</w:t>
      </w:r>
      <w:r>
        <w:rPr>
          <w:rFonts w:ascii="Arial" w:cs="Arial" w:eastAsia="Arial" w:hAnsi="Arial"/>
          <w:sz w:val="28"/>
          <w:szCs w:val="28"/>
          <w:color w:val="auto"/>
          <w:vertAlign w:val="superscript"/>
        </w:rPr>
        <w:t>®</w:t>
      </w:r>
      <w:r>
        <w:rPr>
          <w:rFonts w:ascii="Arial" w:cs="Arial" w:eastAsia="Arial" w:hAnsi="Arial"/>
          <w:sz w:val="22"/>
          <w:szCs w:val="22"/>
          <w:color w:val="auto"/>
        </w:rPr>
        <w:t xml:space="preserve"> and $1.8 million for Caldolor</w:t>
      </w:r>
      <w:r>
        <w:rPr>
          <w:rFonts w:ascii="Arial" w:cs="Arial" w:eastAsia="Arial" w:hAnsi="Arial"/>
          <w:sz w:val="28"/>
          <w:szCs w:val="28"/>
          <w:color w:val="auto"/>
          <w:vertAlign w:val="superscript"/>
        </w:rPr>
        <w:t>®</w:t>
      </w:r>
      <w:r>
        <w:rPr>
          <w:rFonts w:ascii="Arial" w:cs="Arial" w:eastAsia="Arial" w:hAnsi="Arial"/>
          <w:sz w:val="22"/>
          <w:szCs w:val="22"/>
          <w:color w:val="auto"/>
        </w:rPr>
        <w:t>.</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Operating Expenses: </w:t>
      </w:r>
      <w:r>
        <w:rPr>
          <w:rFonts w:ascii="Arial" w:cs="Arial" w:eastAsia="Arial" w:hAnsi="Arial"/>
          <w:sz w:val="22"/>
          <w:szCs w:val="22"/>
          <w:color w:val="auto"/>
        </w:rPr>
        <w:t>The 2022 operating expenses were $47.7 million, compared to $43.7 million for 2021. Total operating</w:t>
      </w:r>
      <w:r>
        <w:rPr>
          <w:rFonts w:ascii="Arial" w:cs="Arial" w:eastAsia="Arial" w:hAnsi="Arial"/>
          <w:sz w:val="22"/>
          <w:szCs w:val="22"/>
          <w:b w:val="1"/>
          <w:bCs w:val="1"/>
          <w:color w:val="auto"/>
        </w:rPr>
        <w:t xml:space="preserve"> </w:t>
      </w:r>
      <w:r>
        <w:rPr>
          <w:rFonts w:ascii="Arial" w:cs="Arial" w:eastAsia="Arial" w:hAnsi="Arial"/>
          <w:sz w:val="22"/>
          <w:szCs w:val="22"/>
          <w:color w:val="auto"/>
        </w:rPr>
        <w:t>expenses for the fourth quarter were $11.4 million compared to $12.7 million for the prior year period.</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Earnings: </w:t>
      </w:r>
      <w:r>
        <w:rPr>
          <w:rFonts w:ascii="Arial" w:cs="Arial" w:eastAsia="Arial" w:hAnsi="Arial"/>
          <w:sz w:val="22"/>
          <w:szCs w:val="22"/>
          <w:color w:val="auto"/>
        </w:rPr>
        <w:t>Net loss for the fourth quarter of 2022 was $2.4 million, and $5.6 million, or $0.38 per share, for the year.</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Adjusted Earnings: </w:t>
      </w:r>
      <w:r>
        <w:rPr>
          <w:rFonts w:ascii="Arial" w:cs="Arial" w:eastAsia="Arial" w:hAnsi="Arial"/>
          <w:sz w:val="21"/>
          <w:szCs w:val="21"/>
          <w:color w:val="auto"/>
        </w:rPr>
        <w:t>For the full year of 2022, adjusted earnings were $2.1 million, or $0.14 per share, a significant improvement</w:t>
      </w:r>
      <w:r>
        <w:rPr>
          <w:rFonts w:ascii="Arial" w:cs="Arial" w:eastAsia="Arial" w:hAnsi="Arial"/>
          <w:sz w:val="21"/>
          <w:szCs w:val="21"/>
          <w:b w:val="1"/>
          <w:bCs w:val="1"/>
          <w:color w:val="auto"/>
        </w:rPr>
        <w:t xml:space="preserve"> </w:t>
      </w:r>
      <w:r>
        <w:rPr>
          <w:rFonts w:ascii="Arial" w:cs="Arial" w:eastAsia="Arial" w:hAnsi="Arial"/>
          <w:sz w:val="21"/>
          <w:szCs w:val="21"/>
          <w:color w:val="auto"/>
        </w:rPr>
        <w:t>on the adjusted loss of $1.2 million in 2021. The adjusted loss for the fourth quarter of 2022 was $0.7 million, or $0.05 per share, a significant improvement over the $1.9 million adjusted loss during the same period in 2021.</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adjusted earnings calculation does not include the $1.5 million cash benefit of Vibativ and Sancuso cost of goods during the quarter, which were received with the product acquisition. For the full year, the cash benefit from those cost of goods was $4.8 million.</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Cash Flow: </w:t>
      </w:r>
      <w:r>
        <w:rPr>
          <w:rFonts w:ascii="Arial" w:cs="Arial" w:eastAsia="Arial" w:hAnsi="Arial"/>
          <w:sz w:val="22"/>
          <w:szCs w:val="22"/>
          <w:color w:val="auto"/>
        </w:rPr>
        <w:t>In 2022, cash flow from operations was $8.5 million, a 33% increase over the $6.3 million during the prior year</w:t>
      </w:r>
      <w:r>
        <w:rPr>
          <w:rFonts w:ascii="Arial" w:cs="Arial" w:eastAsia="Arial" w:hAnsi="Arial"/>
          <w:sz w:val="22"/>
          <w:szCs w:val="22"/>
          <w:b w:val="1"/>
          <w:bCs w:val="1"/>
          <w:color w:val="auto"/>
        </w:rPr>
        <w:t xml:space="preserve"> </w:t>
      </w:r>
      <w:r>
        <w:rPr>
          <w:rFonts w:ascii="Arial" w:cs="Arial" w:eastAsia="Arial" w:hAnsi="Arial"/>
          <w:sz w:val="22"/>
          <w:szCs w:val="22"/>
          <w:color w:val="auto"/>
        </w:rPr>
        <w:t>period.</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Balance Sheet: </w:t>
      </w:r>
      <w:r>
        <w:rPr>
          <w:rFonts w:ascii="Arial" w:cs="Arial" w:eastAsia="Arial" w:hAnsi="Arial"/>
          <w:sz w:val="22"/>
          <w:szCs w:val="22"/>
          <w:color w:val="auto"/>
        </w:rPr>
        <w:t>At December 31, 2022, Cumberland had $93 million in total assets, including $20 million in cash and cash</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Total liabilities were $57 million, including $16 million outstanding on the Company's revolving line of credit. Total shareholders' equity was $36 million.</w:t>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EARNINGS REPORT CALL:</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Cumberland will provide its 2022 financial results via a conference call today at 4:30 p.m. Eastern Time. To join the call, register at:</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https://register.vevent.com/register/BIc9d03deed82d47389284c0538fb62962.</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Registered participants can dial in from their phone using a dial-in and PIN number that will be provided. They can also choose a “Call Me” option to have the system automatically call them at the start of the conference call.</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Available on Cumberland’s website for one year, a replay of the call can be accessed by visiting https://edge.media-server.com/mmc/p/roknyaes.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 PHARMACEUTICALS: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Cumberland Pharmaceuticals Inc. </w:t>
      </w:r>
      <w:r>
        <w:rPr>
          <w:rFonts w:ascii="Arial" w:cs="Arial" w:eastAsia="Arial" w:hAnsi="Arial"/>
          <w:sz w:val="22"/>
          <w:szCs w:val="22"/>
          <w:color w:val="auto"/>
        </w:rPr>
        <w:t>is the largest biopharmaceutical company founded and headquartered in the Mid-South and</w:t>
      </w:r>
      <w:r>
        <w:rPr>
          <w:rFonts w:ascii="Arial" w:cs="Arial" w:eastAsia="Arial" w:hAnsi="Arial"/>
          <w:sz w:val="22"/>
          <w:szCs w:val="22"/>
          <w:b w:val="1"/>
          <w:bCs w:val="1"/>
          <w:color w:val="auto"/>
        </w:rPr>
        <w:t xml:space="preserve"> </w:t>
      </w:r>
      <w:r>
        <w:rPr>
          <w:rFonts w:ascii="Arial" w:cs="Arial" w:eastAsia="Arial" w:hAnsi="Arial"/>
          <w:sz w:val="22"/>
          <w:szCs w:val="22"/>
          <w:color w:val="auto"/>
        </w:rPr>
        <w:t>is focused on the delivery of high-quality, prescription brands designed to improve patient care. The Company develops, acquires, and commercializes products for the hospital acute care, gastroenterology, rheumatology and oncology market segments.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portfolio of FDA-approved brands includes:</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Acetadote</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acetylcysteine</w:t>
      </w:r>
      <w:r>
        <w:rPr>
          <w:rFonts w:ascii="Arial" w:cs="Arial" w:eastAsia="Arial" w:hAnsi="Arial"/>
          <w:sz w:val="22"/>
          <w:szCs w:val="22"/>
          <w:color w:val="auto"/>
        </w:rPr>
        <w:t>) injection, for the treatment of acetaminophen poisoning;</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Caldolor</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ibuprofen</w:t>
      </w:r>
      <w:r>
        <w:rPr>
          <w:rFonts w:ascii="Arial" w:cs="Arial" w:eastAsia="Arial" w:hAnsi="Arial"/>
          <w:sz w:val="22"/>
          <w:szCs w:val="22"/>
          <w:color w:val="auto"/>
        </w:rPr>
        <w:t>) injection, for the treatment of pain and fever;</w:t>
      </w:r>
    </w:p>
    <w:p>
      <w:pPr>
        <w:spacing w:after="0" w:line="24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Kristalose</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lactulose</w:t>
      </w:r>
      <w:r>
        <w:rPr>
          <w:rFonts w:ascii="Arial" w:cs="Arial" w:eastAsia="Arial" w:hAnsi="Arial"/>
          <w:sz w:val="22"/>
          <w:szCs w:val="22"/>
          <w:color w:val="auto"/>
        </w:rPr>
        <w:t>) oral, a prescription laxative, for the treatment of constipation;</w:t>
      </w:r>
    </w:p>
    <w:p>
      <w:pPr>
        <w:spacing w:after="0" w:line="246" w:lineRule="exact"/>
        <w:rPr>
          <w:rFonts w:ascii="Arial" w:cs="Arial" w:eastAsia="Arial" w:hAnsi="Arial"/>
          <w:sz w:val="22"/>
          <w:szCs w:val="22"/>
          <w:color w:val="auto"/>
        </w:rPr>
      </w:pPr>
    </w:p>
    <w:p>
      <w:pPr>
        <w:ind w:left="660" w:right="360" w:hanging="328"/>
        <w:spacing w:after="0" w:line="26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Omeclamox</w:t>
      </w:r>
      <w:r>
        <w:rPr>
          <w:rFonts w:ascii="Arial" w:cs="Arial" w:eastAsia="Arial" w:hAnsi="Arial"/>
          <w:sz w:val="11"/>
          <w:szCs w:val="11"/>
          <w:b w:val="1"/>
          <w:bCs w:val="1"/>
          <w:color w:val="auto"/>
        </w:rPr>
        <w:t>®</w:t>
      </w:r>
      <w:r>
        <w:rPr>
          <w:rFonts w:ascii="Arial" w:cs="Arial" w:eastAsia="Arial" w:hAnsi="Arial"/>
          <w:sz w:val="22"/>
          <w:szCs w:val="22"/>
          <w:b w:val="1"/>
          <w:bCs w:val="1"/>
          <w:color w:val="auto"/>
        </w:rPr>
        <w:t>-Pak</w:t>
      </w:r>
      <w:r>
        <w:rPr>
          <w:rFonts w:ascii="Arial" w:cs="Arial" w:eastAsia="Arial" w:hAnsi="Arial"/>
          <w:sz w:val="22"/>
          <w:szCs w:val="22"/>
          <w:color w:val="auto"/>
        </w:rPr>
        <w:t>, (</w:t>
      </w:r>
      <w:r>
        <w:rPr>
          <w:rFonts w:ascii="Arial" w:cs="Arial" w:eastAsia="Arial" w:hAnsi="Arial"/>
          <w:sz w:val="22"/>
          <w:szCs w:val="22"/>
          <w:i w:val="1"/>
          <w:iCs w:val="1"/>
          <w:color w:val="auto"/>
        </w:rPr>
        <w:t>omeprazole, clarithromycin, amoxicillin</w:t>
      </w:r>
      <w:r>
        <w:rPr>
          <w:rFonts w:ascii="Arial" w:cs="Arial" w:eastAsia="Arial" w:hAnsi="Arial"/>
          <w:sz w:val="22"/>
          <w:szCs w:val="22"/>
          <w:color w:val="auto"/>
        </w:rPr>
        <w:t>) oral, for the treatment of Helicobacter pylori (</w:t>
      </w:r>
      <w:r>
        <w:rPr>
          <w:rFonts w:ascii="Arial" w:cs="Arial" w:eastAsia="Arial" w:hAnsi="Arial"/>
          <w:sz w:val="22"/>
          <w:szCs w:val="22"/>
          <w:i w:val="1"/>
          <w:iCs w:val="1"/>
          <w:color w:val="auto"/>
        </w:rPr>
        <w:t>H. pylori</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infection and related duodenal ulcer disease;</w:t>
      </w:r>
    </w:p>
    <w:p>
      <w:pPr>
        <w:spacing w:after="0" w:line="202"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RediTrex</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(methotrexate)</w:t>
      </w:r>
      <w:r>
        <w:rPr>
          <w:rFonts w:ascii="Arial" w:cs="Arial" w:eastAsia="Arial" w:hAnsi="Arial"/>
          <w:sz w:val="22"/>
          <w:szCs w:val="22"/>
          <w:b w:val="1"/>
          <w:bCs w:val="1"/>
          <w:color w:val="auto"/>
        </w:rPr>
        <w:t xml:space="preserve"> </w:t>
      </w:r>
      <w:r>
        <w:rPr>
          <w:rFonts w:ascii="Arial" w:cs="Arial" w:eastAsia="Arial" w:hAnsi="Arial"/>
          <w:sz w:val="22"/>
          <w:szCs w:val="22"/>
          <w:color w:val="auto"/>
        </w:rPr>
        <w:t>injection, for the treatment of active rheumatoid, juvenile idiopathic and severe psoriatic</w:t>
      </w:r>
      <w:r>
        <w:rPr>
          <w:rFonts w:ascii="Arial" w:cs="Arial" w:eastAsia="Arial" w:hAnsi="Arial"/>
          <w:sz w:val="22"/>
          <w:szCs w:val="22"/>
          <w:b w:val="1"/>
          <w:bCs w:val="1"/>
          <w:color w:val="auto"/>
        </w:rPr>
        <w:t xml:space="preserve"> </w:t>
      </w:r>
      <w:r>
        <w:rPr>
          <w:rFonts w:ascii="Arial" w:cs="Arial" w:eastAsia="Arial" w:hAnsi="Arial"/>
          <w:sz w:val="22"/>
          <w:szCs w:val="22"/>
          <w:color w:val="auto"/>
        </w:rPr>
        <w:t>arthritis, as well as disabling psoriasis;</w:t>
      </w:r>
    </w:p>
    <w:p>
      <w:pPr>
        <w:spacing w:after="0" w:line="188" w:lineRule="exact"/>
        <w:rPr>
          <w:rFonts w:ascii="Arial" w:cs="Arial" w:eastAsia="Arial" w:hAnsi="Arial"/>
          <w:sz w:val="22"/>
          <w:szCs w:val="22"/>
          <w:color w:val="auto"/>
        </w:rPr>
      </w:pPr>
    </w:p>
    <w:p>
      <w:pPr>
        <w:ind w:left="660" w:right="20" w:hanging="328"/>
        <w:spacing w:after="0" w:line="26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Sancuso</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granisetron)</w:t>
      </w:r>
      <w:r>
        <w:rPr>
          <w:rFonts w:ascii="Arial" w:cs="Arial" w:eastAsia="Arial" w:hAnsi="Arial"/>
          <w:sz w:val="22"/>
          <w:szCs w:val="22"/>
          <w:b w:val="1"/>
          <w:bCs w:val="1"/>
          <w:color w:val="auto"/>
        </w:rPr>
        <w:t xml:space="preserve"> </w:t>
      </w:r>
      <w:r>
        <w:rPr>
          <w:rFonts w:ascii="Arial" w:cs="Arial" w:eastAsia="Arial" w:hAnsi="Arial"/>
          <w:sz w:val="22"/>
          <w:szCs w:val="22"/>
          <w:color w:val="auto"/>
        </w:rPr>
        <w:t>transdermal, for the prevention of nausea and vomiting in patients receiving certain types of</w:t>
      </w:r>
      <w:r>
        <w:rPr>
          <w:rFonts w:ascii="Arial" w:cs="Arial" w:eastAsia="Arial" w:hAnsi="Arial"/>
          <w:sz w:val="22"/>
          <w:szCs w:val="22"/>
          <w:b w:val="1"/>
          <w:bCs w:val="1"/>
          <w:color w:val="auto"/>
        </w:rPr>
        <w:t xml:space="preserve"> </w:t>
      </w:r>
      <w:r>
        <w:rPr>
          <w:rFonts w:ascii="Arial" w:cs="Arial" w:eastAsia="Arial" w:hAnsi="Arial"/>
          <w:sz w:val="22"/>
          <w:szCs w:val="22"/>
          <w:color w:val="auto"/>
        </w:rPr>
        <w:t>chemotherapy treatment;</w:t>
      </w:r>
    </w:p>
    <w:p>
      <w:pPr>
        <w:spacing w:after="0" w:line="188" w:lineRule="exact"/>
        <w:rPr>
          <w:rFonts w:ascii="Arial" w:cs="Arial" w:eastAsia="Arial" w:hAnsi="Arial"/>
          <w:sz w:val="22"/>
          <w:szCs w:val="22"/>
          <w:color w:val="auto"/>
        </w:rPr>
      </w:pPr>
    </w:p>
    <w:p>
      <w:pPr>
        <w:ind w:left="660" w:hanging="328"/>
        <w:spacing w:after="0" w:line="26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b w:val="1"/>
          <w:bCs w:val="1"/>
          <w:color w:val="auto"/>
        </w:rPr>
        <w:t>Vaprisol</w:t>
      </w:r>
      <w:r>
        <w:rPr>
          <w:rFonts w:ascii="Arial" w:cs="Arial" w:eastAsia="Arial" w:hAnsi="Arial"/>
          <w:sz w:val="11"/>
          <w:szCs w:val="11"/>
          <w:b w:val="1"/>
          <w:b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conivaptan</w:t>
      </w:r>
      <w:r>
        <w:rPr>
          <w:rFonts w:ascii="Arial" w:cs="Arial" w:eastAsia="Arial" w:hAnsi="Arial"/>
          <w:sz w:val="22"/>
          <w:szCs w:val="22"/>
          <w:color w:val="auto"/>
        </w:rPr>
        <w:t>) injection, to raise serum sodium levels in hospitalized patients with euvolemic and hypervolemic</w:t>
      </w:r>
      <w:r>
        <w:rPr>
          <w:rFonts w:ascii="Arial" w:cs="Arial" w:eastAsia="Arial" w:hAnsi="Arial"/>
          <w:sz w:val="22"/>
          <w:szCs w:val="22"/>
          <w:b w:val="1"/>
          <w:bCs w:val="1"/>
          <w:color w:val="auto"/>
        </w:rPr>
        <w:t xml:space="preserve"> </w:t>
      </w:r>
      <w:r>
        <w:rPr>
          <w:rFonts w:ascii="Arial" w:cs="Arial" w:eastAsia="Arial" w:hAnsi="Arial"/>
          <w:sz w:val="22"/>
          <w:szCs w:val="22"/>
          <w:color w:val="auto"/>
        </w:rPr>
        <w:t>hyponatremia; and</w:t>
      </w:r>
    </w:p>
    <w:p>
      <w:pPr>
        <w:spacing w:after="0" w:line="202" w:lineRule="exact"/>
        <w:rPr>
          <w:rFonts w:ascii="Arial" w:cs="Arial" w:eastAsia="Arial" w:hAnsi="Arial"/>
          <w:sz w:val="22"/>
          <w:szCs w:val="22"/>
          <w:color w:val="auto"/>
        </w:rPr>
      </w:pPr>
    </w:p>
    <w:p>
      <w:pPr>
        <w:ind w:left="660" w:hanging="328"/>
        <w:spacing w:after="0" w:line="320" w:lineRule="auto"/>
        <w:tabs>
          <w:tab w:leader="none" w:pos="655"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Vibativ</w:t>
      </w:r>
      <w:r>
        <w:rPr>
          <w:rFonts w:ascii="Arial" w:cs="Arial" w:eastAsia="Arial" w:hAnsi="Arial"/>
          <w:sz w:val="11"/>
          <w:szCs w:val="11"/>
          <w:b w:val="1"/>
          <w:b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telavancin</w:t>
      </w:r>
      <w:r>
        <w:rPr>
          <w:rFonts w:ascii="Arial" w:cs="Arial" w:eastAsia="Arial" w:hAnsi="Arial"/>
          <w:sz w:val="20"/>
          <w:szCs w:val="20"/>
          <w:color w:val="auto"/>
        </w:rPr>
        <w:t>) injection, for the treatment of certain serious bacterial infections including hospital-acquired and</w:t>
      </w:r>
      <w:r>
        <w:rPr>
          <w:rFonts w:ascii="Arial" w:cs="Arial" w:eastAsia="Arial" w:hAnsi="Arial"/>
          <w:sz w:val="20"/>
          <w:szCs w:val="20"/>
          <w:b w:val="1"/>
          <w:bCs w:val="1"/>
          <w:color w:val="auto"/>
        </w:rPr>
        <w:t xml:space="preserve"> </w:t>
      </w:r>
      <w:r>
        <w:rPr>
          <w:rFonts w:ascii="Arial" w:cs="Arial" w:eastAsia="Arial" w:hAnsi="Arial"/>
          <w:sz w:val="20"/>
          <w:szCs w:val="20"/>
          <w:color w:val="auto"/>
        </w:rPr>
        <w:t>ventilator-associated bacterial pneumonia, as well as complicated skin and skin structure infections.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The Company also has a series of Phase II clinical programs underway evaluating its ifetroban product candidate in patients with cardiomyopathy associated with Duchenne Muscular Dystrophy, Systemic Sclerosis and Aspirin-Exacerbated Respiratory Disease.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For more information on Cumberland’s approved products, including full prescribing information, please visit links to the individual product websites, which can be found on the Company’s website at www.cumberlandpharma.com.</w:t>
      </w:r>
    </w:p>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ABOUT CUMBERLAND EMERGING TECHNOLOGIES;</w:t>
      </w:r>
    </w:p>
    <w:p>
      <w:pPr>
        <w:spacing w:after="0" w:line="199"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Cumberland Emerging Technologies, Inc. (</w:t>
      </w:r>
      <w:r>
        <w:rPr>
          <w:rFonts w:ascii="Arial" w:cs="Arial" w:eastAsia="Arial" w:hAnsi="Arial"/>
          <w:sz w:val="22"/>
          <w:szCs w:val="22"/>
          <w:u w:val="single" w:color="auto"/>
          <w:color w:val="auto"/>
        </w:rPr>
        <w:t>www.cet-fund.com</w:t>
      </w:r>
      <w:r>
        <w:rPr>
          <w:rFonts w:ascii="Arial" w:cs="Arial" w:eastAsia="Arial" w:hAnsi="Arial"/>
          <w:sz w:val="22"/>
          <w:szCs w:val="22"/>
          <w:color w:val="auto"/>
        </w:rPr>
        <w:t>) is a joint initiative between Cumberland Pharmaceuticals Inc., Vanderbilt University, LaunchTN and WinHealth.</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mission of CET is to advance biomedical technologies and products conceived at Vanderbilt University and other regional research centers towards the marketplace.</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CUMBERLAND'S BRANDS: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Acetadote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(acetylcysteine) Injection</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Arial" w:cs="Arial" w:eastAsia="Arial" w:hAnsi="Arial"/>
          <w:sz w:val="19"/>
          <w:szCs w:val="19"/>
          <w:u w:val="single" w:color="auto"/>
          <w:color w:val="auto"/>
        </w:rPr>
        <w:t>www.acetadote.com</w:t>
      </w:r>
      <w:r>
        <w:rPr>
          <w:rFonts w:ascii="Arial" w:cs="Arial" w:eastAsia="Arial" w:hAnsi="Arial"/>
          <w:sz w:val="19"/>
          <w:szCs w:val="19"/>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Caldolor</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(ibuprofen) Injection</w:t>
      </w:r>
    </w:p>
    <w:p>
      <w:pPr>
        <w:spacing w:after="0" w:line="12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Arial" w:cs="Arial" w:eastAsia="Arial" w:hAnsi="Arial"/>
          <w:sz w:val="21"/>
          <w:szCs w:val="21"/>
          <w:u w:val="single" w:color="auto"/>
          <w:color w:val="auto"/>
        </w:rPr>
        <w:t>www.caldolor.com</w:t>
      </w:r>
      <w:r>
        <w:rPr>
          <w:rFonts w:ascii="Arial" w:cs="Arial" w:eastAsia="Arial" w:hAnsi="Arial"/>
          <w:sz w:val="21"/>
          <w:szCs w:val="2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Kristalose</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(lactulose) Oral Solution</w:t>
      </w:r>
    </w:p>
    <w:p>
      <w:pPr>
        <w:spacing w:after="0" w:line="12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Arial" w:cs="Arial" w:eastAsia="Arial" w:hAnsi="Arial"/>
          <w:sz w:val="19"/>
          <w:szCs w:val="19"/>
          <w:u w:val="single" w:color="auto"/>
          <w:color w:val="auto"/>
        </w:rPr>
        <w:t>www.kristalose.com</w:t>
      </w:r>
      <w:r>
        <w:rPr>
          <w:rFonts w:ascii="Arial" w:cs="Arial" w:eastAsia="Arial" w:hAnsi="Arial"/>
          <w:sz w:val="19"/>
          <w:szCs w:val="19"/>
          <w:color w:val="auto"/>
        </w:rPr>
        <w: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Omeclamox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-Pak (omeprazole, clarithromycin, amoxicillin)</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Arial" w:cs="Arial" w:eastAsia="Arial" w:hAnsi="Arial"/>
          <w:sz w:val="22"/>
          <w:szCs w:val="22"/>
          <w:u w:val="single" w:color="auto"/>
          <w:color w:val="auto"/>
        </w:rPr>
        <w:t>www.omeclamox.com</w:t>
      </w:r>
      <w:r>
        <w:rPr>
          <w:rFonts w:ascii="Arial" w:cs="Arial" w:eastAsia="Arial" w:hAnsi="Arial"/>
          <w:sz w:val="22"/>
          <w:szCs w:val="22"/>
          <w:color w:val="auto"/>
        </w:rPr>
        <w:t>.</w:t>
      </w:r>
    </w:p>
    <w:p>
      <w:pPr>
        <w:sectPr>
          <w:pgSz w:w="11900" w:h="16838" w:orient="portrait"/>
          <w:cols w:equalWidth="0" w:num="1">
            <w:col w:w="11240"/>
          </w:cols>
          <w:pgMar w:left="320" w:top="107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RediTrex</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(methotrexate) Injection</w:t>
      </w:r>
    </w:p>
    <w:p>
      <w:pPr>
        <w:spacing w:after="0" w:line="8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RediTrex is a single-dose prefilled syringe containing prescription methotrexate. RediTrex is used to treat adults with severe, active rheumatoid arthritis and children with active polyarticular juvenile idiopathic arthritis, after treatment with other medicines including non-steroidal anti-inflammatory drugs (NSAIDS) have been used and did not work well. Methotrexate can control the symptoms of severe, resistant, disabling psoriasis in adults when other types of treatment have failed. For full prescribing and safety information, visit www.reditrex.com.</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Sancuso</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granisetron) Transdermal System</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Sancuso is the only skin patch approved by the U.S. Food and Drug Administration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www.sancuso.com.</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Vaprisol</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(conivaptan hydrochloride) Injection</w:t>
      </w:r>
    </w:p>
    <w:p>
      <w:pPr>
        <w:spacing w:after="0" w:line="122" w:lineRule="exact"/>
        <w:rPr>
          <w:sz w:val="20"/>
          <w:szCs w:val="20"/>
          <w:color w:val="auto"/>
        </w:rPr>
      </w:pPr>
    </w:p>
    <w:p>
      <w:pPr>
        <w:jc w:val="both"/>
        <w:spacing w:after="0" w:line="300" w:lineRule="auto"/>
        <w:rPr>
          <w:sz w:val="20"/>
          <w:szCs w:val="20"/>
          <w:color w:val="auto"/>
        </w:rPr>
      </w:pPr>
      <w:r>
        <w:rPr>
          <w:rFonts w:ascii="Arial" w:cs="Arial" w:eastAsia="Arial" w:hAnsi="Arial"/>
          <w:sz w:val="19"/>
          <w:szCs w:val="19"/>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For full prescribing and safety information, including boxed warning, visit </w:t>
      </w:r>
      <w:r>
        <w:rPr>
          <w:rFonts w:ascii="Arial" w:cs="Arial" w:eastAsia="Arial" w:hAnsi="Arial"/>
          <w:sz w:val="19"/>
          <w:szCs w:val="19"/>
          <w:u w:val="single" w:color="auto"/>
          <w:color w:val="auto"/>
        </w:rPr>
        <w:t>www.vaprisol.com</w:t>
      </w:r>
      <w:r>
        <w:rPr>
          <w:rFonts w:ascii="Arial" w:cs="Arial" w:eastAsia="Arial" w:hAnsi="Arial"/>
          <w:sz w:val="19"/>
          <w:szCs w:val="19"/>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Vibativ</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(telavancin) for Injection</w:t>
      </w:r>
    </w:p>
    <w:p>
      <w:pPr>
        <w:spacing w:after="0" w:line="13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Arial" w:cs="Arial" w:eastAsia="Arial" w:hAnsi="Arial"/>
          <w:sz w:val="19"/>
          <w:szCs w:val="19"/>
          <w:u w:val="single" w:color="auto"/>
          <w:color w:val="auto"/>
        </w:rPr>
        <w:t>www.vibativ.com.</w:t>
      </w:r>
    </w:p>
    <w:p>
      <w:pPr>
        <w:sectPr>
          <w:pgSz w:w="11900" w:h="16838" w:orient="portrait"/>
          <w:cols w:equalWidth="0" w:num="1">
            <w:col w:w="11240"/>
          </w:cols>
          <w:pgMar w:left="320" w:top="107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market conditions,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10-K as filed with the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SOURCE: Cumberland Pharmaceuticals Inc.</w:t>
      </w:r>
    </w:p>
    <w:p>
      <w:pPr>
        <w:sectPr>
          <w:pgSz w:w="11900" w:h="16838" w:orient="portrait"/>
          <w:cols w:equalWidth="0" w:num="1">
            <w:col w:w="11240"/>
          </w:cols>
          <w:pgMar w:left="320" w:top="1044" w:right="339" w:bottom="1440" w:gutter="0" w:footer="0" w:header="0"/>
        </w:sect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Shayla Simpson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Cumberland Pharmaceuticals Inc.</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(615) 255-0068</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Molly Aggas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Dalton Agency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(704) 641-6641</w:t>
      </w:r>
    </w:p>
    <w:p>
      <w:pPr>
        <w:spacing w:after="0" w:line="211" w:lineRule="exact"/>
        <w:rPr>
          <w:sz w:val="20"/>
          <w:szCs w:val="20"/>
          <w:color w:val="auto"/>
        </w:rPr>
      </w:pPr>
    </w:p>
    <w:p>
      <w:pPr>
        <w:sectPr>
          <w:pgSz w:w="11900" w:h="16838" w:orient="portrait"/>
          <w:cols w:equalWidth="0" w:num="2">
            <w:col w:w="5080" w:space="720"/>
            <w:col w:w="5440"/>
          </w:cols>
          <w:pgMar w:left="320" w:top="10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MORE -</w:t>
      </w:r>
    </w:p>
    <w:p>
      <w:pPr>
        <w:sectPr>
          <w:pgSz w:w="11900" w:h="16838" w:orient="portrait"/>
          <w:cols w:equalWidth="0" w:num="1">
            <w:col w:w="11240"/>
          </w:cols>
          <w:pgMar w:left="320" w:top="1044" w:right="3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Balance Sheets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December 31, 2022 and 2021</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(Unaudited)</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r>
      <w:tr>
        <w:trPr>
          <w:trHeight w:val="145"/>
        </w:trPr>
        <w:tc>
          <w:tcPr>
            <w:tcW w:w="5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6"/>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19,757,970</w:t>
            </w:r>
          </w:p>
        </w:tc>
        <w:tc>
          <w:tcPr>
            <w:tcW w:w="16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13,163,681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6,877,346</w:t>
            </w:r>
          </w:p>
        </w:tc>
      </w:tr>
      <w:tr>
        <w:trPr>
          <w:trHeight w:val="27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9,399,581</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8,429,882</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and other current assets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3,548,978</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3,339,969</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45,870,210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45,688,013</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Non-current inventory</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7,527,167</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9,048,567</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284,039</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442,635</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30,590,678</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23,954,475</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914,000</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882,000</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5,218,403</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1,024,200</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2,520,661</w:t>
            </w:r>
          </w:p>
        </w:tc>
        <w:tc>
          <w:tcPr>
            <w:tcW w:w="16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3,419,908</w:t>
            </w:r>
          </w:p>
        </w:tc>
      </w:tr>
      <w:tr>
        <w:trPr>
          <w:trHeight w:val="223"/>
        </w:trPr>
        <w:tc>
          <w:tcPr>
            <w:tcW w:w="53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92,925,158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4"/>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53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10,819,011</w:t>
            </w:r>
          </w:p>
        </w:tc>
        <w:tc>
          <w:tcPr>
            <w:tcW w:w="16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9,640,980</w:t>
            </w:r>
          </w:p>
        </w:tc>
      </w:tr>
      <w:tr>
        <w:trPr>
          <w:trHeight w:val="27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current liabilities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172,910</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969,677</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17,587,911</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8,668,303</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28,579,832</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19,278,960</w:t>
            </w: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Revolving line of credit</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16,200,000</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w:t>
            </w:r>
          </w:p>
        </w:tc>
      </w:tr>
      <w:tr>
        <w:trPr>
          <w:trHeight w:val="27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4,586,301</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90,016</w:t>
            </w:r>
          </w:p>
        </w:tc>
      </w:tr>
      <w:tr>
        <w:trPr>
          <w:trHeight w:val="27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7,585,019</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7,488,844</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56,951,152</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41,857,820</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0"/>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88"/>
        </w:trPr>
        <w:tc>
          <w:tcPr>
            <w:tcW w:w="53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Common stock – no par value; 100,000,000 shares authorized;</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76"/>
        </w:trPr>
        <w:tc>
          <w:tcPr>
            <w:tcW w:w="53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14,366,616 and 14,742,754 shares issued and outstanding as of</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70"/>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2022 and 2021, respectively</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47,474,973</w:t>
            </w:r>
          </w:p>
        </w:tc>
        <w:tc>
          <w:tcPr>
            <w:tcW w:w="1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48,452,906</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 (deficit)</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(11,208,841)</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(5,638,600)</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36,266,132</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42,814,306</w:t>
            </w:r>
          </w:p>
        </w:tc>
      </w:tr>
      <w:tr>
        <w:trPr>
          <w:trHeight w:val="27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(292,126)</w:t>
            </w:r>
          </w:p>
        </w:tc>
        <w:tc>
          <w:tcPr>
            <w:tcW w:w="16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(212,328)</w:t>
            </w:r>
          </w:p>
        </w:tc>
      </w:tr>
      <w:tr>
        <w:trPr>
          <w:trHeight w:val="25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35,974,006</w:t>
            </w:r>
          </w:p>
        </w:tc>
        <w:tc>
          <w:tcPr>
            <w:tcW w:w="16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42,601,978</w:t>
            </w:r>
          </w:p>
        </w:tc>
      </w:tr>
      <w:tr>
        <w:trPr>
          <w:trHeight w:val="223"/>
        </w:trPr>
        <w:tc>
          <w:tcPr>
            <w:tcW w:w="534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92,925,158</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84,459,798</w:t>
            </w: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63" w:right="1440" w:bottom="1440" w:gutter="0" w:footer="0" w:header="0"/>
        </w:sectPr>
      </w:pPr>
    </w:p>
    <w:bookmarkStart w:id="11" w:name="page12"/>
    <w:bookmarkEnd w:id="11"/>
    <w:p>
      <w:pPr>
        <w:jc w:val="both"/>
        <w:ind w:left="1900" w:right="1900"/>
        <w:spacing w:after="0" w:line="366" w:lineRule="auto"/>
        <w:rPr>
          <w:sz w:val="20"/>
          <w:szCs w:val="20"/>
          <w:color w:val="auto"/>
        </w:rPr>
      </w:pPr>
      <w:r>
        <w:rPr>
          <w:rFonts w:ascii="Arial" w:cs="Arial" w:eastAsia="Arial" w:hAnsi="Arial"/>
          <w:sz w:val="19"/>
          <w:szCs w:val="19"/>
          <w:b w:val="1"/>
          <w:bCs w:val="1"/>
          <w:color w:val="auto"/>
        </w:rPr>
        <w:t xml:space="preserve">CUMBERLAND PHARMACEUTICALS INC. AND SUBSIDIARIES </w:t>
      </w:r>
      <w:r>
        <w:rPr>
          <w:rFonts w:ascii="Arial" w:cs="Arial" w:eastAsia="Arial" w:hAnsi="Arial"/>
          <w:sz w:val="19"/>
          <w:szCs w:val="19"/>
          <w:color w:val="auto"/>
        </w:rPr>
        <w:t>Consolidated Statements of Operations and Comprehensive Income (Loss)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Years ended</w:t>
            </w:r>
          </w:p>
        </w:tc>
        <w:tc>
          <w:tcPr>
            <w:tcW w:w="920" w:type="dxa"/>
            <w:vAlign w:val="bottom"/>
          </w:tcPr>
          <w:p>
            <w:pPr>
              <w:spacing w:after="0"/>
              <w:rPr>
                <w:sz w:val="17"/>
                <w:szCs w:val="17"/>
                <w:color w:val="auto"/>
              </w:rPr>
            </w:pPr>
          </w:p>
        </w:tc>
      </w:tr>
      <w:tr>
        <w:trPr>
          <w:trHeight w:val="243"/>
        </w:trPr>
        <w:tc>
          <w:tcPr>
            <w:tcW w:w="4320" w:type="dxa"/>
            <w:vAlign w:val="bottom"/>
          </w:tcPr>
          <w:p>
            <w:pPr>
              <w:spacing w:after="0"/>
              <w:rPr>
                <w:sz w:val="21"/>
                <w:szCs w:val="21"/>
                <w:color w:val="auto"/>
              </w:rPr>
            </w:pPr>
          </w:p>
        </w:tc>
        <w:tc>
          <w:tcPr>
            <w:tcW w:w="302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Three months ended December 31,</w:t>
            </w:r>
          </w:p>
        </w:tc>
        <w:tc>
          <w:tcPr>
            <w:tcW w:w="28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21"/>
                <w:szCs w:val="21"/>
                <w:color w:val="auto"/>
              </w:rPr>
            </w:pPr>
          </w:p>
        </w:tc>
      </w:tr>
      <w:tr>
        <w:trPr>
          <w:trHeight w:val="223"/>
        </w:trPr>
        <w:tc>
          <w:tcPr>
            <w:tcW w:w="4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9,123,680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8,319,861</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42,010,949</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35,985,043</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Cost of products sold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2,650,309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3,325,243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9,118,521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8,811,248</w:t>
            </w: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3,305,979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16,660,945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15,015,424</w:t>
            </w: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1,405,841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1,612,827</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6,688,924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5,684,465</w:t>
            </w: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3,507,678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3,412,588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10,180,120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9,780,026</w:t>
            </w: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1,017,220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5,067,368</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4,371,300</w:t>
            </w:r>
          </w:p>
        </w:tc>
      </w:tr>
      <w:tr>
        <w:trPr>
          <w:trHeight w:val="223"/>
        </w:trPr>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11,401,484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12,673,857</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47,715,878</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43,662,463</w:t>
            </w: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(2,277,804)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(4,353,996)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(5,704,929)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(7,677,420)</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26,081</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Other income - gain on insurance proceeds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611,330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(27,734)</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(585,995)</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(98,031)</w:t>
            </w: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(4,375,060)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(5,581,189)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(5,562,230)</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(12,516)</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(68,850)</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(34,891)</w:t>
            </w:r>
          </w:p>
        </w:tc>
      </w:tr>
      <w:tr>
        <w:trPr>
          <w:trHeight w:val="223"/>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(4,387,576)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(5,650,039)</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(5,597,121)</w:t>
            </w:r>
          </w:p>
        </w:tc>
      </w:tr>
      <w:tr>
        <w:trPr>
          <w:trHeight w:val="229"/>
        </w:trPr>
        <w:tc>
          <w:tcPr>
            <w:tcW w:w="4320" w:type="dxa"/>
            <w:vAlign w:val="bottom"/>
          </w:tcPr>
          <w:p>
            <w:pPr>
              <w:ind w:left="220"/>
              <w:spacing w:after="0"/>
              <w:rPr>
                <w:sz w:val="20"/>
                <w:szCs w:val="20"/>
                <w:color w:val="auto"/>
              </w:rPr>
            </w:pPr>
            <w:r>
              <w:rPr>
                <w:rFonts w:ascii="Arial" w:cs="Arial" w:eastAsia="Arial" w:hAnsi="Arial"/>
                <w:sz w:val="18"/>
                <w:szCs w:val="18"/>
                <w:color w:val="auto"/>
              </w:rPr>
              <w:t>Discontinued operations net of tax</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503,318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1,994,322</w:t>
            </w:r>
          </w:p>
        </w:tc>
      </w:tr>
      <w:tr>
        <w:trPr>
          <w:trHeight w:val="223"/>
        </w:trPr>
        <w:tc>
          <w:tcPr>
            <w:tcW w:w="43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(2,459,714)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(3,884,258)</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(5,650,039)</w:t>
            </w:r>
          </w:p>
        </w:tc>
        <w:tc>
          <w:tcPr>
            <w:tcW w:w="1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(3,602,799)</w:t>
            </w:r>
          </w:p>
        </w:tc>
      </w:tr>
      <w:tr>
        <w:trPr>
          <w:trHeight w:val="176"/>
        </w:trPr>
        <w:tc>
          <w:tcPr>
            <w:tcW w:w="4320" w:type="dxa"/>
            <w:vAlign w:val="bottom"/>
          </w:tcPr>
          <w:p>
            <w:pPr>
              <w:ind w:left="20"/>
              <w:spacing w:after="0" w:line="176" w:lineRule="exact"/>
              <w:rPr>
                <w:sz w:val="20"/>
                <w:szCs w:val="20"/>
                <w:color w:val="auto"/>
              </w:rPr>
            </w:pPr>
            <w:r>
              <w:rPr>
                <w:rFonts w:ascii="Arial" w:cs="Arial" w:eastAsia="Arial" w:hAnsi="Arial"/>
                <w:sz w:val="18"/>
                <w:szCs w:val="18"/>
                <w:color w:val="auto"/>
              </w:rPr>
              <w:t>Net loss at subsidiary attributable to noncontrolling</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36,561</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79,798</w:t>
            </w: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95,212</w:t>
            </w:r>
          </w:p>
        </w:tc>
      </w:tr>
      <w:tr>
        <w:trPr>
          <w:trHeight w:val="248"/>
        </w:trPr>
        <w:tc>
          <w:tcPr>
            <w:tcW w:w="4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3"/>
              </w:rPr>
              <w:t>Net income (loss)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(3,847,697)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(5,570,241)</w:t>
            </w:r>
          </w:p>
        </w:tc>
        <w:tc>
          <w:tcPr>
            <w:tcW w:w="1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(3,507,587)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Earnings (loss) per share attributable to common</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-Continuing operations-basic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-Discontinuing operations-basic</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Basic</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94"/>
        </w:trPr>
        <w:tc>
          <w:tcPr>
            <w:tcW w:w="43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-Continuing operations-diluted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30"/>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-Discontinuing operations-diluted</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23"/>
        </w:trPr>
        <w:tc>
          <w:tcPr>
            <w:tcW w:w="43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32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14,401,432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14,800,772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14,563,592</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14,904,834</w:t>
            </w:r>
          </w:p>
        </w:tc>
      </w:tr>
      <w:tr>
        <w:trPr>
          <w:trHeight w:val="229"/>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14,401,432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14,800,772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14,563,592</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14,904,834</w:t>
            </w:r>
          </w:p>
        </w:tc>
      </w:tr>
    </w:tbl>
    <w:p>
      <w:pPr>
        <w:sectPr>
          <w:pgSz w:w="11900" w:h="16838" w:orient="portrait"/>
          <w:cols w:equalWidth="0" w:num="1">
            <w:col w:w="10260"/>
          </w:cols>
          <w:pgMar w:left="820" w:top="963" w:right="819" w:bottom="1440" w:gutter="0" w:footer="0" w:header="0"/>
        </w:sectPr>
      </w:pPr>
    </w:p>
    <w:bookmarkStart w:id="12" w:name="page13"/>
    <w:bookmarkEnd w:id="12"/>
    <w:p>
      <w:pPr>
        <w:jc w:val="center"/>
        <w:ind w:left="960" w:right="1760"/>
        <w:spacing w:after="0" w:line="335" w:lineRule="auto"/>
        <w:rPr>
          <w:sz w:val="20"/>
          <w:szCs w:val="20"/>
          <w:color w:val="auto"/>
        </w:rPr>
      </w:pPr>
      <w:r>
        <w:rPr>
          <w:rFonts w:ascii="Arial" w:cs="Arial" w:eastAsia="Arial" w:hAnsi="Arial"/>
          <w:sz w:val="22"/>
          <w:szCs w:val="22"/>
          <w:b w:val="1"/>
          <w:bCs w:val="1"/>
          <w:color w:val="auto"/>
        </w:rPr>
        <w:t xml:space="preserve">CUMBERLAND PHARMACEUTICALS INC. AND SUBSIDIARIES </w:t>
      </w:r>
      <w:r>
        <w:rPr>
          <w:rFonts w:ascii="Arial" w:cs="Arial" w:eastAsia="Arial" w:hAnsi="Arial"/>
          <w:sz w:val="22"/>
          <w:szCs w:val="22"/>
          <w:color w:val="auto"/>
        </w:rPr>
        <w:t>Condensed Consolidated Statements of Cash Flows Years ended December 31, 2022 and 2021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2021</w:t>
            </w:r>
          </w:p>
        </w:tc>
      </w:tr>
      <w:tr>
        <w:trPr>
          <w:trHeight w:val="145"/>
        </w:trPr>
        <w:tc>
          <w:tcPr>
            <w:tcW w:w="6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(5,650,039)</w:t>
            </w:r>
          </w:p>
        </w:tc>
        <w:tc>
          <w:tcPr>
            <w:tcW w:w="1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(3,602,799)</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1,994,322</w:t>
            </w:r>
          </w:p>
        </w:tc>
      </w:tr>
      <w:tr>
        <w:trPr>
          <w:trHeight w:val="223"/>
        </w:trPr>
        <w:tc>
          <w:tcPr>
            <w:tcW w:w="6740" w:type="dxa"/>
            <w:vAlign w:val="bottom"/>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(5,650,039)</w:t>
            </w: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(5,597,121)</w:t>
            </w:r>
          </w:p>
        </w:tc>
      </w:tr>
      <w:tr>
        <w:trPr>
          <w:trHeight w:val="188"/>
        </w:trPr>
        <w:tc>
          <w:tcPr>
            <w:tcW w:w="674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Adjustments to reconcile net income (loss) to net cash flows provided by operating</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activities:</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5,328,113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4,606,366</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741,867</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Decrease in non-cash contingent consideration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(2,620,012)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(1,147,750)</w:t>
            </w:r>
          </w:p>
        </w:tc>
      </w:tr>
      <w:tr>
        <w:trPr>
          <w:trHeight w:val="188"/>
        </w:trPr>
        <w:tc>
          <w:tcPr>
            <w:tcW w:w="67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6"/>
              </w:rPr>
              <w:t>Decrease (increase) in cash surrender value of life insurance policies over premiums</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613,657</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(282,207)</w:t>
            </w: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11,237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34,053</w:t>
            </w:r>
          </w:p>
        </w:tc>
      </w:tr>
      <w:tr>
        <w:trPr>
          <w:trHeight w:val="229"/>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gain on RediTrex transaction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Gain on insurance proceeds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(611,330)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forgiveness of debt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(2,187,140)</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Net changes in assets and liabilities affecting operating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(6,115,640)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5,500,367</w:t>
            </w:r>
          </w:p>
        </w:tc>
      </w:tr>
      <w:tr>
        <w:trPr>
          <w:trHeight w:val="229"/>
        </w:trPr>
        <w:tc>
          <w:tcPr>
            <w:tcW w:w="67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1,375,078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4,816,450</w:t>
            </w:r>
          </w:p>
        </w:tc>
      </w:tr>
      <w:tr>
        <w:trPr>
          <w:trHeight w:val="230"/>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 and other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225,260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(35,568)</w:t>
            </w:r>
          </w:p>
        </w:tc>
      </w:tr>
      <w:tr>
        <w:trPr>
          <w:trHeight w:val="230"/>
        </w:trPr>
        <w:tc>
          <w:tcPr>
            <w:tcW w:w="6740" w:type="dxa"/>
            <w:vAlign w:val="bottom"/>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15,067,792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(757,591)</w:t>
            </w:r>
          </w:p>
        </w:tc>
      </w:tr>
      <w:tr>
        <w:trPr>
          <w:trHeight w:val="229"/>
        </w:trPr>
        <w:tc>
          <w:tcPr>
            <w:tcW w:w="6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419,659</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(1,343,605)</w:t>
            </w:r>
          </w:p>
        </w:tc>
      </w:tr>
      <w:tr>
        <w:trPr>
          <w:trHeight w:val="223"/>
        </w:trPr>
        <w:tc>
          <w:tcPr>
            <w:tcW w:w="674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 from continuing operations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8,453,396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4,348,121</w:t>
            </w:r>
          </w:p>
        </w:tc>
      </w:tr>
      <w:tr>
        <w:trPr>
          <w:trHeight w:val="230"/>
        </w:trPr>
        <w:tc>
          <w:tcPr>
            <w:tcW w:w="6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Discontinued operations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1,994,322</w:t>
            </w:r>
          </w:p>
        </w:tc>
      </w:tr>
      <w:tr>
        <w:trPr>
          <w:trHeight w:val="223"/>
        </w:trPr>
        <w:tc>
          <w:tcPr>
            <w:tcW w:w="67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8,453,396</w:t>
            </w:r>
          </w:p>
        </w:tc>
        <w:tc>
          <w:tcPr>
            <w:tcW w:w="1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6,342,443</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Additions to property and equipment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(102,148)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(103,532)</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Life insurance policy proceeds received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877,597</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surrender of life insurance policies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85,944</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Premiums paid for life insurance policies</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(33,375)</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intangible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(1,971,662)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(250,930)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Return of RediTrex</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 of patent litigation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Note receivable investment funding</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23"/>
        </w:trPr>
        <w:tc>
          <w:tcPr>
            <w:tcW w:w="67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(13,674,456)</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(501,893)</w:t>
            </w:r>
          </w:p>
        </w:tc>
      </w:tr>
    </w:tbl>
    <w:p>
      <w:pPr>
        <w:sectPr>
          <w:pgSz w:w="11900" w:h="16838" w:orient="portrait"/>
          <w:cols w:equalWidth="0" w:num="1">
            <w:col w:w="10120"/>
          </w:cols>
          <w:pgMar w:left="820" w:top="963" w:right="9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2021</w:t>
            </w:r>
          </w:p>
        </w:tc>
      </w:tr>
      <w:tr>
        <w:trPr>
          <w:trHeight w:val="145"/>
        </w:trPr>
        <w:tc>
          <w:tcPr>
            <w:tcW w:w="67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Borrowings on line of credit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52,900,000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59,000,000</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on line of credit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(59,000,000)</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Payments made in connection with repurchase of common shares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(1,053,042)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(1,386,849)</w:t>
            </w:r>
          </w:p>
        </w:tc>
      </w:tr>
      <w:tr>
        <w:trPr>
          <w:trHeight w:val="230"/>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settlement of contingent consideration</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(2,208,744)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(2,166,681)</w:t>
            </w:r>
          </w:p>
        </w:tc>
      </w:tr>
      <w:tr>
        <w:trPr>
          <w:trHeight w:val="22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(2,061,786)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(3,553,530)</w:t>
            </w:r>
          </w:p>
        </w:tc>
      </w:tr>
      <w:tr>
        <w:trPr>
          <w:trHeight w:val="223"/>
        </w:trPr>
        <w:tc>
          <w:tcPr>
            <w:tcW w:w="67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(7,282,846)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2,287,020</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27,040,816</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24,753,796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19,757,970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27,040,816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0120"/>
          </w:cols>
          <w:pgMar w:left="820" w:top="936" w:right="95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CUMBERLAND PHARMACEUTICALS INC. AND SUBSIDIARIES</w:t>
      </w:r>
    </w:p>
    <w:p>
      <w:pPr>
        <w:spacing w:after="0" w:line="82" w:lineRule="exact"/>
        <w:rPr>
          <w:sz w:val="20"/>
          <w:szCs w:val="20"/>
          <w:color w:val="auto"/>
        </w:rPr>
      </w:pPr>
    </w:p>
    <w:p>
      <w:pPr>
        <w:jc w:val="center"/>
        <w:ind w:left="340" w:right="240"/>
        <w:spacing w:after="0" w:line="258" w:lineRule="auto"/>
        <w:rPr>
          <w:sz w:val="20"/>
          <w:szCs w:val="20"/>
          <w:color w:val="auto"/>
        </w:rPr>
      </w:pPr>
      <w:r>
        <w:rPr>
          <w:rFonts w:ascii="Arial" w:cs="Arial" w:eastAsia="Arial" w:hAnsi="Arial"/>
          <w:sz w:val="20"/>
          <w:szCs w:val="20"/>
          <w:color w:val="auto"/>
        </w:rPr>
        <w:t>Reconciliation of Net Income (Loss) Attributable to Common Shareholders to Adjusted Earnings (Loss) and Adjusted Diluted Earnings (Loss) Per Share</w:t>
      </w:r>
    </w:p>
    <w:p>
      <w:pPr>
        <w:jc w:val="center"/>
        <w:spacing w:after="0"/>
        <w:rPr>
          <w:sz w:val="20"/>
          <w:szCs w:val="20"/>
          <w:color w:val="auto"/>
        </w:rPr>
      </w:pPr>
      <w:r>
        <w:rPr>
          <w:rFonts w:ascii="Arial" w:cs="Arial" w:eastAsia="Arial" w:hAnsi="Arial"/>
          <w:sz w:val="22"/>
          <w:szCs w:val="22"/>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8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1"/>
              </w:rPr>
              <w:t>Three months ended December 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89"/>
              </w:rPr>
              <w:t>Three months ended December 31,</w:t>
            </w:r>
          </w:p>
        </w:tc>
        <w:tc>
          <w:tcPr>
            <w:tcW w:w="0" w:type="dxa"/>
            <w:vAlign w:val="bottom"/>
          </w:tcPr>
          <w:p>
            <w:pPr>
              <w:spacing w:after="0"/>
              <w:rPr>
                <w:sz w:val="1"/>
                <w:szCs w:val="1"/>
                <w:color w:val="auto"/>
              </w:rPr>
            </w:pPr>
          </w:p>
        </w:tc>
      </w:tr>
      <w:tr>
        <w:trPr>
          <w:trHeight w:val="222"/>
        </w:trPr>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86"/>
              </w:rPr>
              <w:t>Earnings per share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88"/>
        </w:trPr>
        <w:tc>
          <w:tcPr>
            <w:tcW w:w="5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(2,440,729)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(3,847,697)</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Less: Net loss at subsidiary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(3,884,258)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503,318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(2,459,714)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(4,387,576)</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511,483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1,077,121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 (a)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224,786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Write-down of expired inventory </w:t>
            </w:r>
            <w:r>
              <w:rPr>
                <w:rFonts w:ascii="Arial" w:cs="Arial" w:eastAsia="Arial" w:hAnsi="Arial"/>
                <w:sz w:val="23"/>
                <w:szCs w:val="23"/>
                <w:color w:val="auto"/>
                <w:vertAlign w:val="superscript"/>
              </w:rPr>
              <w:t>(b)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1,135,833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2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w w:val="94"/>
              </w:rPr>
              <w:t>Adjusted Diluted Earnings (loss) from continuing operations Per</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(690,036)</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(1,916,256)</w:t>
            </w:r>
          </w:p>
        </w:tc>
        <w:tc>
          <w:tcPr>
            <w:tcW w:w="1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w:t>
            </w:r>
          </w:p>
        </w:tc>
        <w:tc>
          <w:tcPr>
            <w:tcW w:w="3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14,401,432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14,800,722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w w:val="96"/>
              </w:rPr>
              <w:t>Year ended December 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2"/>
        </w:trPr>
        <w:tc>
          <w:tcPr>
            <w:tcW w:w="5240" w:type="dxa"/>
            <w:vAlign w:val="bottom"/>
          </w:tcPr>
          <w:p>
            <w:pPr>
              <w:spacing w:after="0"/>
              <w:rPr>
                <w:sz w:val="15"/>
                <w:szCs w:val="15"/>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8"/>
                <w:szCs w:val="18"/>
                <w:color w:val="auto"/>
              </w:rPr>
              <w:t>Earnings impact</w:t>
            </w:r>
          </w:p>
        </w:tc>
        <w:tc>
          <w:tcPr>
            <w:tcW w:w="1360" w:type="dxa"/>
            <w:vAlign w:val="bottom"/>
            <w:gridSpan w:val="2"/>
          </w:tcPr>
          <w:p>
            <w:pPr>
              <w:ind w:left="20"/>
              <w:spacing w:after="0" w:line="182" w:lineRule="exact"/>
              <w:rPr>
                <w:sz w:val="20"/>
                <w:szCs w:val="20"/>
                <w:color w:val="auto"/>
              </w:rPr>
            </w:pPr>
            <w:r>
              <w:rPr>
                <w:rFonts w:ascii="Arial" w:cs="Arial" w:eastAsia="Arial" w:hAnsi="Arial"/>
                <w:sz w:val="18"/>
                <w:szCs w:val="18"/>
                <w:color w:val="auto"/>
                <w:w w:val="86"/>
              </w:rPr>
              <w:t>Earnings per share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Earnings impact</w:t>
            </w:r>
          </w:p>
        </w:tc>
        <w:tc>
          <w:tcPr>
            <w:tcW w:w="1400" w:type="dxa"/>
            <w:vAlign w:val="bottom"/>
            <w:gridSpan w:val="2"/>
          </w:tcPr>
          <w:p>
            <w:pPr>
              <w:jc w:val="right"/>
              <w:spacing w:after="0" w:line="182" w:lineRule="exact"/>
              <w:rPr>
                <w:sz w:val="20"/>
                <w:szCs w:val="20"/>
                <w:color w:val="auto"/>
              </w:rPr>
            </w:pPr>
            <w:r>
              <w:rPr>
                <w:rFonts w:ascii="Arial" w:cs="Arial" w:eastAsia="Arial" w:hAnsi="Arial"/>
                <w:sz w:val="18"/>
                <w:szCs w:val="18"/>
                <w:color w:val="auto"/>
                <w:w w:val="89"/>
              </w:rPr>
              <w:t>Earnings per share</w:t>
            </w:r>
          </w:p>
        </w:tc>
        <w:tc>
          <w:tcPr>
            <w:tcW w:w="0" w:type="dxa"/>
            <w:vAlign w:val="bottom"/>
          </w:tcPr>
          <w:p>
            <w:pPr>
              <w:spacing w:after="0"/>
              <w:rPr>
                <w:sz w:val="1"/>
                <w:szCs w:val="1"/>
                <w:color w:val="auto"/>
              </w:rPr>
            </w:pPr>
          </w:p>
        </w:tc>
      </w:tr>
      <w:tr>
        <w:trPr>
          <w:trHeight w:val="136"/>
        </w:trPr>
        <w:tc>
          <w:tcPr>
            <w:tcW w:w="524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right"/>
              <w:ind w:right="350"/>
              <w:spacing w:after="0"/>
              <w:rPr>
                <w:sz w:val="20"/>
                <w:szCs w:val="20"/>
                <w:color w:val="auto"/>
              </w:rPr>
            </w:pPr>
            <w:r>
              <w:rPr>
                <w:rFonts w:ascii="Arial" w:cs="Arial" w:eastAsia="Arial" w:hAnsi="Arial"/>
                <w:sz w:val="18"/>
                <w:szCs w:val="18"/>
                <w:color w:val="auto"/>
              </w:rPr>
              <w:t>impact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70"/>
              <w:spacing w:after="0"/>
              <w:rPr>
                <w:sz w:val="20"/>
                <w:szCs w:val="20"/>
                <w:color w:val="auto"/>
              </w:rPr>
            </w:pPr>
            <w:r>
              <w:rPr>
                <w:rFonts w:ascii="Arial" w:cs="Arial" w:eastAsia="Arial" w:hAnsi="Arial"/>
                <w:sz w:val="18"/>
                <w:szCs w:val="18"/>
                <w:color w:val="auto"/>
              </w:rPr>
              <w:t>impact</w:t>
            </w:r>
          </w:p>
        </w:tc>
        <w:tc>
          <w:tcPr>
            <w:tcW w:w="0" w:type="dxa"/>
            <w:vAlign w:val="bottom"/>
          </w:tcPr>
          <w:p>
            <w:pPr>
              <w:spacing w:after="0"/>
              <w:rPr>
                <w:sz w:val="1"/>
                <w:szCs w:val="1"/>
                <w:color w:val="auto"/>
              </w:rPr>
            </w:pPr>
          </w:p>
        </w:tc>
      </w:tr>
      <w:tr>
        <w:trPr>
          <w:trHeight w:val="94"/>
        </w:trPr>
        <w:tc>
          <w:tcPr>
            <w:tcW w:w="5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(3,507,587)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Less: Net loss at subsidiary attributable to noncontrolling interests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(3,602,799)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1,994,322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(5,597,121)</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Adjustments to net income (loss) from continuing operations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5,328,113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4,606,366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Share-based compensation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Write-down of expired inventory </w:t>
            </w:r>
            <w:r>
              <w:rPr>
                <w:rFonts w:ascii="Arial" w:cs="Arial" w:eastAsia="Arial" w:hAnsi="Arial"/>
                <w:sz w:val="23"/>
                <w:szCs w:val="23"/>
                <w:color w:val="auto"/>
                <w:vertAlign w:val="superscript"/>
              </w:rPr>
              <w:t>(b)</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1,979,380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1,135,833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Gain on insurance proceeds </w:t>
            </w:r>
            <w:r>
              <w:rPr>
                <w:rFonts w:ascii="Arial" w:cs="Arial" w:eastAsia="Arial" w:hAnsi="Arial"/>
                <w:sz w:val="23"/>
                <w:szCs w:val="23"/>
                <w:color w:val="auto"/>
                <w:vertAlign w:val="superscript"/>
              </w:rPr>
              <w:t>(c)</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(611,330)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Gain on forgiveness of debt </w:t>
            </w:r>
            <w:r>
              <w:rPr>
                <w:rFonts w:ascii="Arial" w:cs="Arial" w:eastAsia="Arial" w:hAnsi="Arial"/>
                <w:sz w:val="23"/>
                <w:szCs w:val="23"/>
                <w:color w:val="auto"/>
                <w:vertAlign w:val="superscript"/>
              </w:rPr>
              <w:t>(d)</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(2,187,140)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585,995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98,031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64"/>
        </w:trPr>
        <w:tc>
          <w:tcPr>
            <w:tcW w:w="52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Adjusted Earnings (loss) from continuing operations and</w:t>
            </w: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color w:val="auto"/>
                <w:w w:val="94"/>
              </w:rPr>
              <w:t>Adjusted Diluted Earnings (loss) from continuing operations Per</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2,050,067</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(1,193,354)</w:t>
            </w:r>
          </w:p>
        </w:tc>
        <w:tc>
          <w:tcPr>
            <w:tcW w:w="16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Share</w:t>
            </w:r>
          </w:p>
        </w:tc>
        <w:tc>
          <w:tcPr>
            <w:tcW w:w="28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14,809,257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14,904,834</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both"/>
        <w:spacing w:after="0" w:line="307" w:lineRule="auto"/>
        <w:rPr>
          <w:sz w:val="20"/>
          <w:szCs w:val="20"/>
          <w:color w:val="auto"/>
        </w:rPr>
      </w:pPr>
      <w:r>
        <w:rPr>
          <w:rFonts w:ascii="Arial" w:cs="Arial" w:eastAsia="Arial" w:hAnsi="Arial"/>
          <w:sz w:val="19"/>
          <w:szCs w:val="19"/>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97"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28"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ectPr>
          <w:pgSz w:w="11900" w:h="16838" w:orient="portrait"/>
          <w:cols w:equalWidth="0" w:num="1">
            <w:col w:w="11240"/>
          </w:cols>
          <w:pgMar w:left="320" w:top="945"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The Company defines these supplemental financial measures as follows:</w:t>
      </w:r>
    </w:p>
    <w:p>
      <w:pPr>
        <w:spacing w:after="0" w:line="92" w:lineRule="exact"/>
        <w:rPr>
          <w:sz w:val="20"/>
          <w:szCs w:val="20"/>
          <w:color w:val="auto"/>
        </w:rPr>
      </w:pPr>
    </w:p>
    <w:p>
      <w:pPr>
        <w:jc w:val="both"/>
        <w:ind w:left="660" w:hanging="328"/>
        <w:spacing w:after="0" w:line="250"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Adjusted Earnings: </w:t>
      </w:r>
      <w:r>
        <w:rPr>
          <w:rFonts w:ascii="Arial" w:cs="Arial" w:eastAsia="Arial" w:hAnsi="Arial"/>
          <w:sz w:val="22"/>
          <w:szCs w:val="22"/>
          <w:color w:val="auto"/>
        </w:rPr>
        <w:t>net income (loss) adjusted for the impact of discontinued operations, income taxes, depreciation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amortization expense, share-based compensation, write-down of expired inventory, loan forgiveness and other income and interest expense.</w:t>
      </w:r>
    </w:p>
    <w:p>
      <w:pPr>
        <w:spacing w:after="0" w:line="2" w:lineRule="exact"/>
        <w:rPr>
          <w:rFonts w:ascii="Arial" w:cs="Arial" w:eastAsia="Arial" w:hAnsi="Arial"/>
          <w:sz w:val="22"/>
          <w:szCs w:val="22"/>
          <w:color w:val="auto"/>
        </w:rPr>
      </w:pPr>
    </w:p>
    <w:p>
      <w:pPr>
        <w:ind w:left="1160" w:hanging="288"/>
        <w:spacing w:after="0"/>
        <w:tabs>
          <w:tab w:leader="none" w:pos="1160" w:val="left"/>
        </w:tabs>
        <w:numPr>
          <w:ilvl w:val="1"/>
          <w:numId w:val="5"/>
        </w:numPr>
        <w:rPr>
          <w:rFonts w:ascii="Arial" w:cs="Arial" w:eastAsia="Arial" w:hAnsi="Arial"/>
          <w:sz w:val="22"/>
          <w:szCs w:val="22"/>
          <w:color w:val="auto"/>
        </w:rPr>
      </w:pPr>
      <w:r>
        <w:rPr>
          <w:rFonts w:ascii="Arial" w:cs="Arial" w:eastAsia="Arial" w:hAnsi="Arial"/>
          <w:sz w:val="22"/>
          <w:szCs w:val="22"/>
          <w:color w:val="auto"/>
        </w:rPr>
        <w:t>Represents the share-based compensation of Cumberland.</w:t>
      </w:r>
    </w:p>
    <w:p>
      <w:pPr>
        <w:spacing w:after="0" w:line="228" w:lineRule="exact"/>
        <w:rPr>
          <w:rFonts w:ascii="Arial" w:cs="Arial" w:eastAsia="Arial" w:hAnsi="Arial"/>
          <w:sz w:val="22"/>
          <w:szCs w:val="22"/>
          <w:color w:val="auto"/>
        </w:rPr>
      </w:pPr>
    </w:p>
    <w:p>
      <w:pPr>
        <w:ind w:left="1600" w:hanging="296"/>
        <w:spacing w:after="0"/>
        <w:tabs>
          <w:tab w:leader="none" w:pos="1600" w:val="left"/>
        </w:tabs>
        <w:numPr>
          <w:ilvl w:val="2"/>
          <w:numId w:val="5"/>
        </w:numPr>
        <w:rPr>
          <w:rFonts w:ascii="Arial" w:cs="Arial" w:eastAsia="Arial" w:hAnsi="Arial"/>
          <w:sz w:val="22"/>
          <w:szCs w:val="22"/>
          <w:color w:val="auto"/>
        </w:rPr>
      </w:pPr>
      <w:r>
        <w:rPr>
          <w:rFonts w:ascii="Arial" w:cs="Arial" w:eastAsia="Arial" w:hAnsi="Arial"/>
          <w:sz w:val="22"/>
          <w:szCs w:val="22"/>
          <w:color w:val="auto"/>
        </w:rPr>
        <w:t>Represents the write-down of expired inventory.</w:t>
      </w:r>
    </w:p>
    <w:p>
      <w:pPr>
        <w:spacing w:after="0" w:line="246" w:lineRule="exact"/>
        <w:rPr>
          <w:rFonts w:ascii="Arial" w:cs="Arial" w:eastAsia="Arial" w:hAnsi="Arial"/>
          <w:sz w:val="22"/>
          <w:szCs w:val="22"/>
          <w:color w:val="auto"/>
        </w:rPr>
      </w:pPr>
    </w:p>
    <w:p>
      <w:pPr>
        <w:ind w:left="1600" w:hanging="296"/>
        <w:spacing w:after="0"/>
        <w:tabs>
          <w:tab w:leader="none" w:pos="1600" w:val="left"/>
        </w:tabs>
        <w:numPr>
          <w:ilvl w:val="2"/>
          <w:numId w:val="5"/>
        </w:numPr>
        <w:rPr>
          <w:rFonts w:ascii="Arial" w:cs="Arial" w:eastAsia="Arial" w:hAnsi="Arial"/>
          <w:sz w:val="22"/>
          <w:szCs w:val="22"/>
          <w:color w:val="auto"/>
        </w:rPr>
      </w:pPr>
      <w:r>
        <w:rPr>
          <w:rFonts w:ascii="Arial" w:cs="Arial" w:eastAsia="Arial" w:hAnsi="Arial"/>
          <w:sz w:val="22"/>
          <w:szCs w:val="22"/>
          <w:color w:val="auto"/>
        </w:rPr>
        <w:t>Represents the gain on insurance proceeds.</w:t>
      </w:r>
    </w:p>
    <w:p>
      <w:pPr>
        <w:spacing w:after="0" w:line="260" w:lineRule="exact"/>
        <w:rPr>
          <w:rFonts w:ascii="Arial" w:cs="Arial" w:eastAsia="Arial" w:hAnsi="Arial"/>
          <w:sz w:val="22"/>
          <w:szCs w:val="22"/>
          <w:color w:val="auto"/>
        </w:rPr>
      </w:pPr>
    </w:p>
    <w:p>
      <w:pPr>
        <w:ind w:left="1600" w:hanging="296"/>
        <w:spacing w:after="0"/>
        <w:tabs>
          <w:tab w:leader="none" w:pos="1600" w:val="left"/>
        </w:tabs>
        <w:numPr>
          <w:ilvl w:val="2"/>
          <w:numId w:val="5"/>
        </w:numPr>
        <w:rPr>
          <w:rFonts w:ascii="Arial" w:cs="Arial" w:eastAsia="Arial" w:hAnsi="Arial"/>
          <w:sz w:val="22"/>
          <w:szCs w:val="22"/>
          <w:color w:val="auto"/>
        </w:rPr>
      </w:pPr>
      <w:r>
        <w:rPr>
          <w:rFonts w:ascii="Arial" w:cs="Arial" w:eastAsia="Arial" w:hAnsi="Arial"/>
          <w:sz w:val="22"/>
          <w:szCs w:val="22"/>
          <w:color w:val="auto"/>
        </w:rPr>
        <w:t>Represents the forgiveness of the PPP Loan by the Small Business Administration.</w:t>
      </w:r>
    </w:p>
    <w:p>
      <w:pPr>
        <w:spacing w:after="0" w:line="240" w:lineRule="exact"/>
        <w:rPr>
          <w:rFonts w:ascii="Arial" w:cs="Arial" w:eastAsia="Arial" w:hAnsi="Arial"/>
          <w:sz w:val="22"/>
          <w:szCs w:val="22"/>
          <w:color w:val="auto"/>
        </w:rPr>
      </w:pPr>
    </w:p>
    <w:p>
      <w:pPr>
        <w:ind w:left="660" w:right="20" w:hanging="328"/>
        <w:spacing w:after="0" w:line="269" w:lineRule="auto"/>
        <w:tabs>
          <w:tab w:leader="none" w:pos="655"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Adjusted Diluted Earnings Per Share: </w:t>
      </w:r>
      <w:r>
        <w:rPr>
          <w:rFonts w:ascii="Arial" w:cs="Arial" w:eastAsia="Arial" w:hAnsi="Arial"/>
          <w:sz w:val="22"/>
          <w:szCs w:val="22"/>
          <w:color w:val="auto"/>
        </w:rPr>
        <w:t>Adjusted Earnings (loss) divided by diluted weighted-average common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outstanding.</w:t>
      </w:r>
    </w:p>
    <w:sectPr>
      <w:pgSz w:w="11900" w:h="16838" w:orient="portrait"/>
      <w:cols w:equalWidth="0" w:num="1">
        <w:col w:w="11240"/>
      </w:cols>
      <w:pgMar w:left="320" w:top="9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2023-03-07T16:57:28Z</dcterms:created>
  <dcterms:modified xsi:type="dcterms:W3CDTF">2023-03-07T16:57:28Z</dcterms:modified>
</cp:coreProperties>
</file>