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_________________________________________________________________________________________________________</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 SECURITIES AND EXCHANGE COMMISSION</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WASHINGTON, DC 20549</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10-K</w:t>
      </w: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ANNUAL REPORT 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fiscal year ended December 31, 2022</w:t>
      </w:r>
    </w:p>
    <w:p>
      <w:pPr>
        <w:spacing w:after="0" w:line="27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of</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47"/>
          <w:szCs w:val="47"/>
          <w:b w:val="1"/>
          <w:bCs w:val="1"/>
          <w:color w:val="auto"/>
        </w:rPr>
        <w:t>CUMBERLAND PHARMACEUTICALS INC.</w:t>
      </w:r>
    </w:p>
    <w:p>
      <w:pPr>
        <w:spacing w:after="0" w:line="14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 Tennessee 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IRS Employer Identification No. 62-1765329</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001-33637</w:t>
      </w: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1600 West End Avenue, Suite 1300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Nashville, Tennessee 37203</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(615) 255-0068</w:t>
      </w:r>
    </w:p>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0" w:lineRule="exact"/>
        <w:rPr>
          <w:sz w:val="24"/>
          <w:szCs w:val="24"/>
          <w:color w:val="auto"/>
        </w:rPr>
      </w:pPr>
    </w:p>
    <w:tbl>
      <w:tblPr>
        <w:tblLayout w:type="fixed"/>
        <w:tblInd w:w="380" w:type="dxa"/>
        <w:tblCellMar>
          <w:top w:w="0" w:type="dxa"/>
          <w:left w:w="0" w:type="dxa"/>
          <w:bottom w:w="0" w:type="dxa"/>
          <w:right w:w="0" w:type="dxa"/>
        </w:tblCellMar>
      </w:tblPr>
      <w:tr>
        <w:trPr>
          <w:trHeight w:val="237"/>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42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20" w:type="dxa"/>
            <w:vAlign w:val="bottom"/>
          </w:tcPr>
          <w:p>
            <w:pPr>
              <w:spacing w:after="0"/>
              <w:rPr>
                <w:sz w:val="20"/>
                <w:szCs w:val="20"/>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43"/>
        </w:trPr>
        <w:tc>
          <w:tcPr>
            <w:tcW w:w="44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Common Stock, $0.00 par value per share</w:t>
            </w:r>
          </w:p>
        </w:tc>
        <w:tc>
          <w:tcPr>
            <w:tcW w:w="22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CPIX</w:t>
            </w:r>
          </w:p>
        </w:tc>
        <w:tc>
          <w:tcPr>
            <w:tcW w:w="386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21"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u w:val="single" w:color="auto"/>
          <w:color w:val="auto"/>
        </w:rPr>
        <w:t>None</w:t>
      </w:r>
    </w:p>
    <w:p>
      <w:pPr>
        <w:spacing w:after="0" w:line="15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Cumberland Pharmaceuticals Inc. is not a well-known seasoned issuer, as defined in Rule 405 of the Securities Act.</w:t>
      </w:r>
    </w:p>
    <w:p>
      <w:pPr>
        <w:spacing w:after="0" w:line="14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Cumberland Pharmaceuticals Inc. is required to file reports pursuant to Section 13 or Section 15(d) of the Act. Cumberland Pharmaceuticals Inc.</w:t>
      </w:r>
    </w:p>
    <w:p>
      <w:pPr>
        <w:spacing w:after="0" w:line="46" w:lineRule="exact"/>
        <w:rPr>
          <w:sz w:val="24"/>
          <w:szCs w:val="24"/>
          <w:color w:val="auto"/>
        </w:rPr>
      </w:pPr>
    </w:p>
    <w:p>
      <w:pPr>
        <w:ind w:right="20" w:firstLine="8"/>
        <w:spacing w:after="0" w:line="260"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has filed all reports required to be filed by Section 13 or 15(d) of the Securities Exchange Act of 1934 during the preceding 12 months, and (2) has been subject to such filing requirements for the past 90 days.</w:t>
      </w:r>
    </w:p>
    <w:p>
      <w:pPr>
        <w:spacing w:after="0" w:line="23" w:lineRule="exact"/>
        <w:rPr>
          <w:sz w:val="24"/>
          <w:szCs w:val="24"/>
          <w:color w:val="auto"/>
        </w:rPr>
      </w:pPr>
    </w:p>
    <w:p>
      <w:pPr>
        <w:ind w:right="260" w:firstLine="648"/>
        <w:spacing w:after="0" w:line="277" w:lineRule="auto"/>
        <w:rPr>
          <w:sz w:val="20"/>
          <w:szCs w:val="20"/>
          <w:color w:val="auto"/>
        </w:rPr>
      </w:pPr>
      <w:r>
        <w:rPr>
          <w:rFonts w:ascii="Arial" w:cs="Arial" w:eastAsia="Arial" w:hAnsi="Arial"/>
          <w:sz w:val="18"/>
          <w:szCs w:val="18"/>
          <w:color w:val="auto"/>
        </w:rPr>
        <w:t>Cumberland Pharmaceuticals Inc. has submitted electronically every Interactive Data File required to be submitted and posted pursuant to Rule 405 of Regulation S-T (§232.405 of this chapter) during the preceding 12 months.</w:t>
      </w:r>
    </w:p>
    <w:p>
      <w:pPr>
        <w:spacing w:after="0" w:line="103" w:lineRule="exact"/>
        <w:rPr>
          <w:sz w:val="24"/>
          <w:szCs w:val="24"/>
          <w:color w:val="auto"/>
        </w:rPr>
      </w:pPr>
    </w:p>
    <w:p>
      <w:pPr>
        <w:ind w:right="120" w:firstLine="648"/>
        <w:spacing w:after="0" w:line="277" w:lineRule="auto"/>
        <w:rPr>
          <w:sz w:val="20"/>
          <w:szCs w:val="20"/>
          <w:color w:val="auto"/>
        </w:rPr>
      </w:pPr>
      <w:r>
        <w:rPr>
          <w:rFonts w:ascii="Arial" w:cs="Arial" w:eastAsia="Arial" w:hAnsi="Arial"/>
          <w:sz w:val="18"/>
          <w:szCs w:val="18"/>
          <w:color w:val="auto"/>
        </w:rPr>
        <w:t>Cumberland Pharmaceuticals Inc. is a non-accelerated filer and a smaller reporting company as defined in Rule 12b-2 of the Exchange Act and is not a shell company.</w:t>
      </w:r>
    </w:p>
    <w:p>
      <w:pPr>
        <w:spacing w:after="0" w:line="103" w:lineRule="exact"/>
        <w:rPr>
          <w:sz w:val="24"/>
          <w:szCs w:val="24"/>
          <w:color w:val="auto"/>
        </w:rPr>
      </w:pPr>
    </w:p>
    <w:p>
      <w:pPr>
        <w:ind w:right="40" w:firstLine="648"/>
        <w:spacing w:after="0" w:line="263" w:lineRule="auto"/>
        <w:rPr>
          <w:sz w:val="20"/>
          <w:szCs w:val="20"/>
          <w:color w:val="auto"/>
        </w:rPr>
      </w:pPr>
      <w:r>
        <w:rPr>
          <w:rFonts w:ascii="Arial" w:cs="Arial" w:eastAsia="Arial" w:hAnsi="Arial"/>
          <w:sz w:val="18"/>
          <w:szCs w:val="18"/>
          <w:color w:val="auto"/>
        </w:rPr>
        <w:t>Cumberland Pharmaceuticals Inc. has not filed a report on and attestation to its management's assessment of the effectiveness of its internal control over financial reporting under Section 404(b) of the Sarbanes-Oxley Act (15 U.S.C. 7262(b)) by the registered public accounting firm that prepared and issued its audit report.</w:t>
      </w:r>
    </w:p>
    <w:p>
      <w:pPr>
        <w:spacing w:after="0" w:line="103"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The aggregate market value of common stock held by non-affiliates as of June 30, 2022 was $17,300,356. The number of shares of the registrant’s Common Stock, no par value, outstanding as of March 7, 2023 was 14,395,401.</w:t>
      </w:r>
    </w:p>
    <w:p>
      <w:pPr>
        <w:spacing w:after="0" w:line="103"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15"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spacing w:after="0" w:line="250" w:lineRule="auto"/>
        <w:rPr>
          <w:sz w:val="20"/>
          <w:szCs w:val="20"/>
          <w:color w:val="auto"/>
        </w:rPr>
      </w:pPr>
      <w:r>
        <w:rPr>
          <w:rFonts w:ascii="Arial" w:cs="Arial" w:eastAsia="Arial" w:hAnsi="Arial"/>
          <w:sz w:val="18"/>
          <w:szCs w:val="18"/>
          <w:color w:val="auto"/>
        </w:rPr>
        <w:t>Certain information required in Part III of Form 10-K is incorporated by reference from the registrant’s Proxy Statement for its 2023 annual meeting of shareholders.</w:t>
      </w:r>
    </w:p>
    <w:p>
      <w:pPr>
        <w:spacing w:after="0" w:line="1" w:lineRule="exact"/>
        <w:rPr>
          <w:sz w:val="24"/>
          <w:szCs w:val="24"/>
          <w:color w:val="auto"/>
        </w:rPr>
      </w:pPr>
    </w:p>
    <w:p>
      <w:pPr>
        <w:ind w:left="90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 w:name="page2"/>
    <w:bookmarkEnd w:id="1"/>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0" w:type="dxa"/>
            <w:vAlign w:val="bottom"/>
            <w:gridSpan w:val="5"/>
          </w:tcPr>
          <w:p>
            <w:pPr>
              <w:ind w:left="680"/>
              <w:spacing w:after="0"/>
              <w:rPr>
                <w:sz w:val="20"/>
                <w:szCs w:val="20"/>
                <w:color w:val="auto"/>
              </w:rPr>
            </w:pPr>
            <w:r>
              <w:rPr>
                <w:rFonts w:ascii="Arial" w:cs="Arial" w:eastAsia="Arial" w:hAnsi="Arial"/>
                <w:sz w:val="16"/>
                <w:szCs w:val="16"/>
                <w:b w:val="1"/>
                <w:bCs w:val="1"/>
                <w:color w:val="auto"/>
              </w:rPr>
              <w:t>Page Number</w:t>
            </w:r>
          </w:p>
        </w:tc>
        <w:tc>
          <w:tcPr>
            <w:tcW w:w="0" w:type="dxa"/>
            <w:vAlign w:val="bottom"/>
          </w:tcPr>
          <w:p>
            <w:pPr>
              <w:spacing w:after="0"/>
              <w:rPr>
                <w:sz w:val="1"/>
                <w:szCs w:val="1"/>
                <w:color w:val="auto"/>
              </w:rPr>
            </w:pPr>
          </w:p>
        </w:tc>
      </w:tr>
      <w:tr>
        <w:trPr>
          <w:trHeight w:val="372"/>
        </w:trPr>
        <w:tc>
          <w:tcPr>
            <w:tcW w:w="80" w:type="dxa"/>
            <w:vAlign w:val="bottom"/>
          </w:tcPr>
          <w:p>
            <w:pPr>
              <w:spacing w:after="0"/>
              <w:rPr>
                <w:sz w:val="24"/>
                <w:szCs w:val="24"/>
                <w:color w:val="auto"/>
              </w:rPr>
            </w:pPr>
          </w:p>
        </w:tc>
        <w:tc>
          <w:tcPr>
            <w:tcW w:w="5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PART I</w:t>
            </w:r>
          </w:p>
        </w:tc>
        <w:tc>
          <w:tcPr>
            <w:tcW w:w="8220" w:type="dxa"/>
            <w:vAlign w:val="bottom"/>
            <w:gridSpan w:val="21"/>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auto"/>
              <w:bottom w:val="single" w:sz="8" w:color="0000FF"/>
            </w:tcBorders>
          </w:tcPr>
          <w:p>
            <w:pPr>
              <w:jc w:val="center"/>
              <w:spacing w:after="0"/>
              <w:rPr>
                <w:sz w:val="20"/>
                <w:szCs w:val="20"/>
                <w:color w:val="auto"/>
              </w:rPr>
            </w:pPr>
            <w:r>
              <w:rPr>
                <w:rFonts w:ascii="Arial" w:cs="Arial" w:eastAsia="Arial" w:hAnsi="Arial"/>
                <w:sz w:val="18"/>
                <w:szCs w:val="18"/>
                <w:color w:val="0000FF"/>
                <w:w w:val="99"/>
              </w:rPr>
              <w:t>1</w:t>
            </w:r>
          </w:p>
        </w:tc>
        <w:tc>
          <w:tcPr>
            <w:tcW w:w="42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560" w:type="dxa"/>
            <w:vAlign w:val="bottom"/>
            <w:gridSpan w:val="22"/>
          </w:tcPr>
          <w:p>
            <w:pPr>
              <w:spacing w:after="0"/>
              <w:rPr>
                <w:sz w:val="20"/>
                <w:szCs w:val="20"/>
                <w:color w:val="auto"/>
              </w:rPr>
            </w:pPr>
            <w:r>
              <w:rPr>
                <w:rFonts w:ascii="Arial" w:cs="Arial" w:eastAsia="Arial" w:hAnsi="Arial"/>
                <w:sz w:val="18"/>
                <w:szCs w:val="18"/>
                <w:color w:val="0000FF"/>
              </w:rPr>
              <w:t>Item 1: Business</w:t>
            </w:r>
          </w:p>
        </w:tc>
        <w:tc>
          <w:tcPr>
            <w:tcW w:w="1200" w:type="dxa"/>
            <w:vAlign w:val="bottom"/>
            <w:gridSpan w:val="3"/>
          </w:tcPr>
          <w:p>
            <w:pPr>
              <w:jc w:val="center"/>
              <w:ind w:left="1011"/>
              <w:spacing w:after="0"/>
              <w:rPr>
                <w:sz w:val="20"/>
                <w:szCs w:val="20"/>
                <w:color w:val="auto"/>
              </w:rPr>
            </w:pPr>
            <w:r>
              <w:rPr>
                <w:rFonts w:ascii="Arial" w:cs="Arial" w:eastAsia="Arial" w:hAnsi="Arial"/>
                <w:sz w:val="18"/>
                <w:szCs w:val="18"/>
                <w:color w:val="0000FF"/>
                <w:w w:val="99"/>
              </w:rPr>
              <w:t>1</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560" w:type="dxa"/>
            <w:vAlign w:val="bottom"/>
            <w:gridSpan w:val="22"/>
          </w:tcPr>
          <w:p>
            <w:pPr>
              <w:spacing w:after="0"/>
              <w:rPr>
                <w:sz w:val="20"/>
                <w:szCs w:val="20"/>
                <w:color w:val="auto"/>
              </w:rPr>
            </w:pPr>
            <w:r>
              <w:rPr>
                <w:rFonts w:ascii="Arial" w:cs="Arial" w:eastAsia="Arial" w:hAnsi="Arial"/>
                <w:sz w:val="18"/>
                <w:szCs w:val="18"/>
                <w:color w:val="0000FF"/>
              </w:rPr>
              <w:t>Item 1A: Risk Factors</w:t>
            </w:r>
          </w:p>
        </w:tc>
        <w:tc>
          <w:tcPr>
            <w:tcW w:w="1620" w:type="dxa"/>
            <w:vAlign w:val="bottom"/>
            <w:gridSpan w:val="4"/>
          </w:tcPr>
          <w:p>
            <w:pPr>
              <w:jc w:val="center"/>
              <w:ind w:left="591"/>
              <w:spacing w:after="0"/>
              <w:rPr>
                <w:sz w:val="20"/>
                <w:szCs w:val="20"/>
                <w:color w:val="auto"/>
              </w:rPr>
            </w:pPr>
            <w:r>
              <w:rPr>
                <w:rFonts w:ascii="Arial" w:cs="Arial" w:eastAsia="Arial" w:hAnsi="Arial"/>
                <w:sz w:val="18"/>
                <w:szCs w:val="18"/>
                <w:color w:val="0000FF"/>
                <w:w w:val="89"/>
              </w:rPr>
              <w:t>37</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14"/>
          </w:tcPr>
          <w:p>
            <w:pPr>
              <w:spacing w:after="0"/>
              <w:rPr>
                <w:sz w:val="20"/>
                <w:szCs w:val="20"/>
                <w:color w:val="auto"/>
              </w:rPr>
            </w:pPr>
            <w:r>
              <w:rPr>
                <w:rFonts w:ascii="Arial" w:cs="Arial" w:eastAsia="Arial" w:hAnsi="Arial"/>
                <w:sz w:val="18"/>
                <w:szCs w:val="18"/>
                <w:color w:val="0000FF"/>
                <w:w w:val="91"/>
              </w:rPr>
              <w:t>Item 1B: Unresolved Staff Comments</w:t>
            </w:r>
          </w:p>
        </w:tc>
        <w:tc>
          <w:tcPr>
            <w:tcW w:w="5820" w:type="dxa"/>
            <w:vAlign w:val="bottom"/>
            <w:gridSpan w:val="8"/>
          </w:tcPr>
          <w:p>
            <w:pPr>
              <w:spacing w:after="0"/>
              <w:rPr>
                <w:sz w:val="24"/>
                <w:szCs w:val="24"/>
                <w:color w:val="auto"/>
              </w:rPr>
            </w:pPr>
          </w:p>
        </w:tc>
        <w:tc>
          <w:tcPr>
            <w:tcW w:w="1100" w:type="dxa"/>
            <w:vAlign w:val="bottom"/>
            <w:gridSpan w:val="2"/>
          </w:tcPr>
          <w:p>
            <w:pPr>
              <w:spacing w:after="0"/>
              <w:rPr>
                <w:sz w:val="24"/>
                <w:szCs w:val="24"/>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7"/>
                <w:szCs w:val="17"/>
                <w:color w:val="0000FF"/>
                <w:w w:val="73"/>
              </w:rPr>
              <w:t>58</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7"/>
          </w:tcPr>
          <w:p>
            <w:pPr>
              <w:spacing w:after="0"/>
              <w:rPr>
                <w:sz w:val="20"/>
                <w:szCs w:val="20"/>
                <w:color w:val="auto"/>
              </w:rPr>
            </w:pPr>
            <w:r>
              <w:rPr>
                <w:rFonts w:ascii="Arial" w:cs="Arial" w:eastAsia="Arial" w:hAnsi="Arial"/>
                <w:sz w:val="18"/>
                <w:szCs w:val="18"/>
                <w:color w:val="0000FF"/>
                <w:w w:val="84"/>
              </w:rPr>
              <w:t>Item 2: Properties</w:t>
            </w:r>
          </w:p>
        </w:tc>
        <w:tc>
          <w:tcPr>
            <w:tcW w:w="1500" w:type="dxa"/>
            <w:vAlign w:val="bottom"/>
            <w:gridSpan w:val="7"/>
          </w:tcPr>
          <w:p>
            <w:pPr>
              <w:spacing w:after="0"/>
              <w:rPr>
                <w:sz w:val="24"/>
                <w:szCs w:val="24"/>
                <w:color w:val="auto"/>
              </w:rPr>
            </w:pPr>
          </w:p>
        </w:tc>
        <w:tc>
          <w:tcPr>
            <w:tcW w:w="5820" w:type="dxa"/>
            <w:vAlign w:val="bottom"/>
            <w:gridSpan w:val="8"/>
          </w:tcPr>
          <w:p>
            <w:pPr>
              <w:spacing w:after="0"/>
              <w:rPr>
                <w:sz w:val="24"/>
                <w:szCs w:val="24"/>
                <w:color w:val="auto"/>
              </w:rPr>
            </w:pPr>
          </w:p>
        </w:tc>
        <w:tc>
          <w:tcPr>
            <w:tcW w:w="1100" w:type="dxa"/>
            <w:vAlign w:val="bottom"/>
            <w:gridSpan w:val="2"/>
          </w:tcPr>
          <w:p>
            <w:pPr>
              <w:spacing w:after="0"/>
              <w:rPr>
                <w:sz w:val="24"/>
                <w:szCs w:val="24"/>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7"/>
                <w:szCs w:val="17"/>
                <w:color w:val="0000FF"/>
                <w:w w:val="73"/>
              </w:rPr>
              <w:t>58</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560" w:type="dxa"/>
            <w:vAlign w:val="bottom"/>
            <w:gridSpan w:val="22"/>
          </w:tcPr>
          <w:p>
            <w:pPr>
              <w:spacing w:after="0"/>
              <w:rPr>
                <w:sz w:val="20"/>
                <w:szCs w:val="20"/>
                <w:color w:val="auto"/>
              </w:rPr>
            </w:pPr>
            <w:r>
              <w:rPr>
                <w:rFonts w:ascii="Arial" w:cs="Arial" w:eastAsia="Arial" w:hAnsi="Arial"/>
                <w:sz w:val="18"/>
                <w:szCs w:val="18"/>
                <w:color w:val="0000FF"/>
              </w:rPr>
              <w:t>Item 3: Legal Proceedings</w:t>
            </w:r>
          </w:p>
        </w:tc>
        <w:tc>
          <w:tcPr>
            <w:tcW w:w="1620" w:type="dxa"/>
            <w:vAlign w:val="bottom"/>
            <w:gridSpan w:val="4"/>
          </w:tcPr>
          <w:p>
            <w:pPr>
              <w:jc w:val="center"/>
              <w:ind w:left="591"/>
              <w:spacing w:after="0"/>
              <w:rPr>
                <w:sz w:val="20"/>
                <w:szCs w:val="20"/>
                <w:color w:val="auto"/>
              </w:rPr>
            </w:pPr>
            <w:r>
              <w:rPr>
                <w:rFonts w:ascii="Arial" w:cs="Arial" w:eastAsia="Arial" w:hAnsi="Arial"/>
                <w:sz w:val="18"/>
                <w:szCs w:val="18"/>
                <w:color w:val="0000FF"/>
                <w:w w:val="89"/>
              </w:rPr>
              <w:t>58</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gridSpan w:val="12"/>
          </w:tcPr>
          <w:p>
            <w:pPr>
              <w:spacing w:after="0"/>
              <w:rPr>
                <w:sz w:val="20"/>
                <w:szCs w:val="20"/>
                <w:color w:val="auto"/>
              </w:rPr>
            </w:pPr>
            <w:r>
              <w:rPr>
                <w:rFonts w:ascii="Arial" w:cs="Arial" w:eastAsia="Arial" w:hAnsi="Arial"/>
                <w:sz w:val="18"/>
                <w:szCs w:val="18"/>
                <w:color w:val="0000FF"/>
                <w:w w:val="91"/>
              </w:rPr>
              <w:t>Item 4. Mine Safety Disclosures</w:t>
            </w:r>
          </w:p>
        </w:tc>
        <w:tc>
          <w:tcPr>
            <w:tcW w:w="6220" w:type="dxa"/>
            <w:vAlign w:val="bottom"/>
            <w:gridSpan w:val="10"/>
          </w:tcPr>
          <w:p>
            <w:pPr>
              <w:spacing w:after="0"/>
              <w:rPr>
                <w:sz w:val="24"/>
                <w:szCs w:val="24"/>
                <w:color w:val="auto"/>
              </w:rPr>
            </w:pPr>
          </w:p>
        </w:tc>
        <w:tc>
          <w:tcPr>
            <w:tcW w:w="1100" w:type="dxa"/>
            <w:vAlign w:val="bottom"/>
            <w:gridSpan w:val="2"/>
          </w:tcPr>
          <w:p>
            <w:pPr>
              <w:spacing w:after="0"/>
              <w:rPr>
                <w:sz w:val="24"/>
                <w:szCs w:val="24"/>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7"/>
                <w:szCs w:val="17"/>
                <w:color w:val="0000FF"/>
                <w:w w:val="73"/>
              </w:rPr>
              <w:t>58</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Arial" w:cs="Arial" w:eastAsia="Arial" w:hAnsi="Arial"/>
                <w:sz w:val="18"/>
                <w:szCs w:val="18"/>
                <w:color w:val="0000FF"/>
                <w:w w:val="91"/>
              </w:rPr>
              <w:t>PART II</w:t>
            </w:r>
          </w:p>
        </w:tc>
        <w:tc>
          <w:tcPr>
            <w:tcW w:w="8160" w:type="dxa"/>
            <w:vAlign w:val="bottom"/>
            <w:gridSpan w:val="20"/>
          </w:tcPr>
          <w:p>
            <w:pPr>
              <w:spacing w:after="0"/>
              <w:rPr>
                <w:sz w:val="24"/>
                <w:szCs w:val="24"/>
                <w:color w:val="auto"/>
              </w:rPr>
            </w:pPr>
          </w:p>
        </w:tc>
        <w:tc>
          <w:tcPr>
            <w:tcW w:w="1100" w:type="dxa"/>
            <w:vAlign w:val="bottom"/>
            <w:gridSpan w:val="2"/>
          </w:tcPr>
          <w:p>
            <w:pPr>
              <w:spacing w:after="0"/>
              <w:rPr>
                <w:sz w:val="24"/>
                <w:szCs w:val="24"/>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7"/>
                <w:szCs w:val="17"/>
                <w:color w:val="0000FF"/>
                <w:w w:val="73"/>
              </w:rPr>
              <w:t>58</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560" w:type="dxa"/>
            <w:vAlign w:val="bottom"/>
            <w:gridSpan w:val="22"/>
          </w:tcPr>
          <w:p>
            <w:pPr>
              <w:spacing w:after="0"/>
              <w:rPr>
                <w:sz w:val="20"/>
                <w:szCs w:val="20"/>
                <w:color w:val="auto"/>
              </w:rPr>
            </w:pPr>
            <w:r>
              <w:rPr>
                <w:rFonts w:ascii="Arial" w:cs="Arial" w:eastAsia="Arial" w:hAnsi="Arial"/>
                <w:sz w:val="18"/>
                <w:szCs w:val="18"/>
                <w:color w:val="0000FF"/>
                <w:w w:val="98"/>
              </w:rPr>
              <w:t>Item 5: Market for Registrant’s Common Equity, Related Stockholder Matters and Issuer Purchases of Equity</w:t>
            </w:r>
          </w:p>
        </w:tc>
        <w:tc>
          <w:tcPr>
            <w:tcW w:w="1100" w:type="dxa"/>
            <w:vAlign w:val="bottom"/>
            <w:gridSpan w:val="2"/>
            <w:vMerge w:val="restart"/>
          </w:tcPr>
          <w:p>
            <w:pPr>
              <w:spacing w:after="0"/>
              <w:rPr>
                <w:sz w:val="24"/>
                <w:szCs w:val="24"/>
                <w:color w:val="auto"/>
              </w:rPr>
            </w:pPr>
          </w:p>
        </w:tc>
        <w:tc>
          <w:tcPr>
            <w:tcW w:w="520" w:type="dxa"/>
            <w:vAlign w:val="bottom"/>
            <w:gridSpan w:val="2"/>
            <w:vMerge w:val="restart"/>
          </w:tcPr>
          <w:p>
            <w:pPr>
              <w:jc w:val="center"/>
              <w:ind w:right="380"/>
              <w:spacing w:after="0"/>
              <w:rPr>
                <w:sz w:val="20"/>
                <w:szCs w:val="20"/>
                <w:color w:val="auto"/>
              </w:rPr>
            </w:pPr>
            <w:r>
              <w:rPr>
                <w:rFonts w:ascii="Arial" w:cs="Arial" w:eastAsia="Arial" w:hAnsi="Arial"/>
                <w:sz w:val="17"/>
                <w:szCs w:val="17"/>
                <w:color w:val="0000FF"/>
                <w:w w:val="73"/>
              </w:rPr>
              <w:t>58</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520" w:type="dxa"/>
            <w:vAlign w:val="bottom"/>
            <w:gridSpan w:val="2"/>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0" w:type="dxa"/>
            <w:vAlign w:val="bottom"/>
          </w:tcPr>
          <w:p>
            <w:pPr>
              <w:spacing w:after="0"/>
              <w:rPr>
                <w:sz w:val="13"/>
                <w:szCs w:val="13"/>
                <w:color w:val="auto"/>
              </w:rPr>
            </w:pPr>
          </w:p>
        </w:tc>
        <w:tc>
          <w:tcPr>
            <w:tcW w:w="1100" w:type="dxa"/>
            <w:vAlign w:val="bottom"/>
            <w:gridSpan w:val="6"/>
          </w:tcPr>
          <w:p>
            <w:pPr>
              <w:spacing w:after="0" w:line="142" w:lineRule="exact"/>
              <w:rPr>
                <w:sz w:val="20"/>
                <w:szCs w:val="20"/>
                <w:color w:val="auto"/>
              </w:rPr>
            </w:pPr>
            <w:r>
              <w:rPr>
                <w:rFonts w:ascii="Arial" w:cs="Arial" w:eastAsia="Arial" w:hAnsi="Arial"/>
                <w:sz w:val="16"/>
                <w:szCs w:val="16"/>
                <w:color w:val="0000FF"/>
              </w:rPr>
              <w:t>Securities</w:t>
            </w:r>
          </w:p>
        </w:tc>
        <w:tc>
          <w:tcPr>
            <w:tcW w:w="6980" w:type="dxa"/>
            <w:vAlign w:val="bottom"/>
            <w:gridSpan w:val="16"/>
          </w:tcPr>
          <w:p>
            <w:pPr>
              <w:spacing w:after="0"/>
              <w:rPr>
                <w:sz w:val="13"/>
                <w:szCs w:val="13"/>
                <w:color w:val="auto"/>
              </w:rPr>
            </w:pPr>
          </w:p>
        </w:tc>
        <w:tc>
          <w:tcPr>
            <w:tcW w:w="680" w:type="dxa"/>
            <w:vAlign w:val="bottom"/>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60" w:type="dxa"/>
            <w:vAlign w:val="bottom"/>
            <w:gridSpan w:val="3"/>
            <w:shd w:val="clear" w:color="auto" w:fill="0000FF"/>
          </w:tcPr>
          <w:p>
            <w:pPr>
              <w:spacing w:after="0"/>
              <w:rPr>
                <w:sz w:val="2"/>
                <w:szCs w:val="2"/>
                <w:color w:val="auto"/>
              </w:rPr>
            </w:pPr>
          </w:p>
        </w:tc>
        <w:tc>
          <w:tcPr>
            <w:tcW w:w="440" w:type="dxa"/>
            <w:vAlign w:val="bottom"/>
            <w:gridSpan w:val="2"/>
            <w:shd w:val="clear" w:color="auto" w:fill="0000FF"/>
          </w:tcPr>
          <w:p>
            <w:pPr>
              <w:spacing w:after="0"/>
              <w:rPr>
                <w:sz w:val="2"/>
                <w:szCs w:val="2"/>
                <w:color w:val="auto"/>
              </w:rPr>
            </w:pPr>
          </w:p>
        </w:tc>
        <w:tc>
          <w:tcPr>
            <w:tcW w:w="340" w:type="dxa"/>
            <w:vAlign w:val="bottom"/>
            <w:gridSpan w:val="2"/>
          </w:tcPr>
          <w:p>
            <w:pPr>
              <w:spacing w:after="0"/>
              <w:rPr>
                <w:sz w:val="2"/>
                <w:szCs w:val="2"/>
                <w:color w:val="auto"/>
              </w:rPr>
            </w:pPr>
          </w:p>
        </w:tc>
        <w:tc>
          <w:tcPr>
            <w:tcW w:w="76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100" w:type="dxa"/>
            <w:vAlign w:val="bottom"/>
            <w:tcBorders>
              <w:right w:val="single" w:sz="8" w:color="0000FF"/>
            </w:tcBorders>
            <w:gridSpan w:val="2"/>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20" w:type="dxa"/>
            <w:vAlign w:val="bottom"/>
            <w:tcBorders>
              <w:left w:val="single" w:sz="8" w:color="0000FF"/>
            </w:tcBorders>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7"/>
          </w:tcPr>
          <w:p>
            <w:pPr>
              <w:spacing w:after="0"/>
              <w:rPr>
                <w:sz w:val="20"/>
                <w:szCs w:val="20"/>
                <w:color w:val="auto"/>
              </w:rPr>
            </w:pPr>
            <w:r>
              <w:rPr>
                <w:rFonts w:ascii="Arial" w:cs="Arial" w:eastAsia="Arial" w:hAnsi="Arial"/>
                <w:sz w:val="18"/>
                <w:szCs w:val="18"/>
                <w:color w:val="0000FF"/>
                <w:w w:val="87"/>
              </w:rPr>
              <w:t>Item 6: Reserved</w:t>
            </w:r>
          </w:p>
        </w:tc>
        <w:tc>
          <w:tcPr>
            <w:tcW w:w="7320" w:type="dxa"/>
            <w:vAlign w:val="bottom"/>
            <w:gridSpan w:val="15"/>
          </w:tcPr>
          <w:p>
            <w:pPr>
              <w:spacing w:after="0"/>
              <w:rPr>
                <w:sz w:val="24"/>
                <w:szCs w:val="24"/>
                <w:color w:val="auto"/>
              </w:rPr>
            </w:pPr>
          </w:p>
        </w:tc>
        <w:tc>
          <w:tcPr>
            <w:tcW w:w="1100" w:type="dxa"/>
            <w:vAlign w:val="bottom"/>
            <w:gridSpan w:val="2"/>
          </w:tcPr>
          <w:p>
            <w:pPr>
              <w:spacing w:after="0"/>
              <w:rPr>
                <w:sz w:val="24"/>
                <w:szCs w:val="24"/>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7"/>
                <w:szCs w:val="17"/>
                <w:color w:val="0000FF"/>
                <w:w w:val="73"/>
              </w:rPr>
              <w:t>60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560" w:type="dxa"/>
            <w:vAlign w:val="bottom"/>
            <w:gridSpan w:val="22"/>
          </w:tcPr>
          <w:p>
            <w:pPr>
              <w:spacing w:after="0"/>
              <w:rPr>
                <w:sz w:val="20"/>
                <w:szCs w:val="20"/>
                <w:color w:val="auto"/>
              </w:rPr>
            </w:pPr>
            <w:r>
              <w:rPr>
                <w:rFonts w:ascii="Arial" w:cs="Arial" w:eastAsia="Arial" w:hAnsi="Arial"/>
                <w:sz w:val="18"/>
                <w:szCs w:val="18"/>
                <w:color w:val="0000FF"/>
              </w:rPr>
              <w:t>Item 7: Management’s Discussion and Analysis of Financial Condition and Results of Operations</w:t>
            </w:r>
          </w:p>
        </w:tc>
        <w:tc>
          <w:tcPr>
            <w:tcW w:w="1620" w:type="dxa"/>
            <w:vAlign w:val="bottom"/>
            <w:gridSpan w:val="4"/>
          </w:tcPr>
          <w:p>
            <w:pPr>
              <w:jc w:val="center"/>
              <w:ind w:left="591"/>
              <w:spacing w:after="0"/>
              <w:rPr>
                <w:sz w:val="20"/>
                <w:szCs w:val="20"/>
                <w:color w:val="auto"/>
              </w:rPr>
            </w:pPr>
            <w:r>
              <w:rPr>
                <w:rFonts w:ascii="Arial" w:cs="Arial" w:eastAsia="Arial" w:hAnsi="Arial"/>
                <w:sz w:val="18"/>
                <w:szCs w:val="18"/>
                <w:color w:val="0000FF"/>
                <w:w w:val="89"/>
              </w:rPr>
              <w:t>60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60" w:type="dxa"/>
            <w:vAlign w:val="bottom"/>
            <w:gridSpan w:val="17"/>
          </w:tcPr>
          <w:p>
            <w:pPr>
              <w:spacing w:after="0"/>
              <w:rPr>
                <w:sz w:val="20"/>
                <w:szCs w:val="20"/>
                <w:color w:val="auto"/>
              </w:rPr>
            </w:pPr>
            <w:r>
              <w:rPr>
                <w:rFonts w:ascii="Arial" w:cs="Arial" w:eastAsia="Arial" w:hAnsi="Arial"/>
                <w:sz w:val="18"/>
                <w:szCs w:val="18"/>
                <w:color w:val="0000FF"/>
                <w:w w:val="92"/>
              </w:rPr>
              <w:t>Item 7A: Quantitative and Qualitative Disclosures About Market Risk</w:t>
            </w:r>
          </w:p>
        </w:tc>
        <w:tc>
          <w:tcPr>
            <w:tcW w:w="1960" w:type="dxa"/>
            <w:vAlign w:val="bottom"/>
            <w:gridSpan w:val="2"/>
          </w:tcPr>
          <w:p>
            <w:pPr>
              <w:spacing w:after="0"/>
              <w:rPr>
                <w:sz w:val="24"/>
                <w:szCs w:val="24"/>
                <w:color w:val="auto"/>
              </w:rPr>
            </w:pPr>
          </w:p>
        </w:tc>
        <w:tc>
          <w:tcPr>
            <w:tcW w:w="1540" w:type="dxa"/>
            <w:vAlign w:val="bottom"/>
            <w:gridSpan w:val="3"/>
          </w:tcPr>
          <w:p>
            <w:pPr>
              <w:spacing w:after="0"/>
              <w:rPr>
                <w:sz w:val="24"/>
                <w:szCs w:val="24"/>
                <w:color w:val="auto"/>
              </w:rPr>
            </w:pPr>
          </w:p>
        </w:tc>
        <w:tc>
          <w:tcPr>
            <w:tcW w:w="1100" w:type="dxa"/>
            <w:vAlign w:val="bottom"/>
            <w:gridSpan w:val="2"/>
          </w:tcPr>
          <w:p>
            <w:pPr>
              <w:spacing w:after="0"/>
              <w:rPr>
                <w:sz w:val="24"/>
                <w:szCs w:val="24"/>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7"/>
                <w:szCs w:val="17"/>
                <w:color w:val="0000FF"/>
                <w:w w:val="73"/>
              </w:rPr>
              <w:t>72</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00" w:type="dxa"/>
            <w:vAlign w:val="bottom"/>
            <w:gridSpan w:val="16"/>
          </w:tcPr>
          <w:p>
            <w:pPr>
              <w:spacing w:after="0"/>
              <w:rPr>
                <w:sz w:val="20"/>
                <w:szCs w:val="20"/>
                <w:color w:val="auto"/>
              </w:rPr>
            </w:pPr>
            <w:r>
              <w:rPr>
                <w:rFonts w:ascii="Arial" w:cs="Arial" w:eastAsia="Arial" w:hAnsi="Arial"/>
                <w:sz w:val="18"/>
                <w:szCs w:val="18"/>
                <w:color w:val="0000FF"/>
                <w:w w:val="89"/>
              </w:rPr>
              <w:t>Item 8: Financial Statements and Supplementary Data</w:t>
            </w:r>
          </w:p>
        </w:tc>
        <w:tc>
          <w:tcPr>
            <w:tcW w:w="1160" w:type="dxa"/>
            <w:vAlign w:val="bottom"/>
          </w:tcPr>
          <w:p>
            <w:pPr>
              <w:spacing w:after="0"/>
              <w:rPr>
                <w:sz w:val="24"/>
                <w:szCs w:val="24"/>
                <w:color w:val="auto"/>
              </w:rPr>
            </w:pPr>
          </w:p>
        </w:tc>
        <w:tc>
          <w:tcPr>
            <w:tcW w:w="3500" w:type="dxa"/>
            <w:vAlign w:val="bottom"/>
            <w:gridSpan w:val="5"/>
          </w:tcPr>
          <w:p>
            <w:pPr>
              <w:spacing w:after="0"/>
              <w:rPr>
                <w:sz w:val="24"/>
                <w:szCs w:val="24"/>
                <w:color w:val="auto"/>
              </w:rPr>
            </w:pPr>
          </w:p>
        </w:tc>
        <w:tc>
          <w:tcPr>
            <w:tcW w:w="1100" w:type="dxa"/>
            <w:vAlign w:val="bottom"/>
            <w:gridSpan w:val="2"/>
          </w:tcPr>
          <w:p>
            <w:pPr>
              <w:spacing w:after="0"/>
              <w:rPr>
                <w:sz w:val="24"/>
                <w:szCs w:val="24"/>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7"/>
                <w:szCs w:val="17"/>
                <w:color w:val="0000FF"/>
                <w:w w:val="73"/>
              </w:rPr>
              <w:t>72</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560" w:type="dxa"/>
            <w:vAlign w:val="bottom"/>
            <w:gridSpan w:val="22"/>
          </w:tcPr>
          <w:p>
            <w:pPr>
              <w:spacing w:after="0"/>
              <w:rPr>
                <w:sz w:val="20"/>
                <w:szCs w:val="20"/>
                <w:color w:val="auto"/>
              </w:rPr>
            </w:pPr>
            <w:r>
              <w:rPr>
                <w:rFonts w:ascii="Arial" w:cs="Arial" w:eastAsia="Arial" w:hAnsi="Arial"/>
                <w:sz w:val="18"/>
                <w:szCs w:val="18"/>
                <w:color w:val="0000FF"/>
              </w:rPr>
              <w:t>Item 9: Changes in and Disagreements with Accountants on Accounting and Financial Disclosure</w:t>
            </w:r>
          </w:p>
        </w:tc>
        <w:tc>
          <w:tcPr>
            <w:tcW w:w="1620" w:type="dxa"/>
            <w:vAlign w:val="bottom"/>
            <w:gridSpan w:val="4"/>
          </w:tcPr>
          <w:p>
            <w:pPr>
              <w:jc w:val="center"/>
              <w:ind w:left="591"/>
              <w:spacing w:after="0"/>
              <w:rPr>
                <w:sz w:val="20"/>
                <w:szCs w:val="20"/>
                <w:color w:val="auto"/>
              </w:rPr>
            </w:pPr>
            <w:r>
              <w:rPr>
                <w:rFonts w:ascii="Arial" w:cs="Arial" w:eastAsia="Arial" w:hAnsi="Arial"/>
                <w:sz w:val="18"/>
                <w:szCs w:val="18"/>
                <w:color w:val="0000FF"/>
                <w:w w:val="89"/>
              </w:rPr>
              <w:t>72</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40" w:type="dxa"/>
            <w:vAlign w:val="bottom"/>
            <w:gridSpan w:val="20"/>
          </w:tcPr>
          <w:p>
            <w:pPr>
              <w:spacing w:after="0"/>
              <w:rPr>
                <w:sz w:val="20"/>
                <w:szCs w:val="20"/>
                <w:color w:val="auto"/>
              </w:rPr>
            </w:pPr>
            <w:r>
              <w:rPr>
                <w:rFonts w:ascii="Arial" w:cs="Arial" w:eastAsia="Arial" w:hAnsi="Arial"/>
                <w:sz w:val="18"/>
                <w:szCs w:val="18"/>
                <w:color w:val="0000FF"/>
              </w:rPr>
              <w:t>Item 9A: Controls and Procedures</w:t>
            </w:r>
          </w:p>
        </w:tc>
        <w:tc>
          <w:tcPr>
            <w:tcW w:w="1520" w:type="dxa"/>
            <w:vAlign w:val="bottom"/>
            <w:gridSpan w:val="2"/>
          </w:tcPr>
          <w:p>
            <w:pPr>
              <w:spacing w:after="0"/>
              <w:rPr>
                <w:sz w:val="24"/>
                <w:szCs w:val="24"/>
                <w:color w:val="auto"/>
              </w:rPr>
            </w:pPr>
          </w:p>
        </w:tc>
        <w:tc>
          <w:tcPr>
            <w:tcW w:w="1100" w:type="dxa"/>
            <w:vAlign w:val="bottom"/>
            <w:gridSpan w:val="2"/>
          </w:tcPr>
          <w:p>
            <w:pPr>
              <w:spacing w:after="0"/>
              <w:rPr>
                <w:sz w:val="24"/>
                <w:szCs w:val="24"/>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7"/>
                <w:szCs w:val="17"/>
                <w:color w:val="0000FF"/>
                <w:w w:val="73"/>
              </w:rPr>
              <w:t>72</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11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13"/>
          </w:tcPr>
          <w:p>
            <w:pPr>
              <w:spacing w:after="0"/>
              <w:rPr>
                <w:sz w:val="20"/>
                <w:szCs w:val="20"/>
                <w:color w:val="auto"/>
              </w:rPr>
            </w:pPr>
            <w:r>
              <w:rPr>
                <w:rFonts w:ascii="Arial" w:cs="Arial" w:eastAsia="Arial" w:hAnsi="Arial"/>
                <w:sz w:val="18"/>
                <w:szCs w:val="18"/>
                <w:color w:val="0000FF"/>
              </w:rPr>
              <w:t>Item 9B: Other Information</w:t>
            </w:r>
          </w:p>
        </w:tc>
        <w:tc>
          <w:tcPr>
            <w:tcW w:w="6100" w:type="dxa"/>
            <w:vAlign w:val="bottom"/>
            <w:gridSpan w:val="9"/>
          </w:tcPr>
          <w:p>
            <w:pPr>
              <w:spacing w:after="0"/>
              <w:rPr>
                <w:sz w:val="24"/>
                <w:szCs w:val="24"/>
                <w:color w:val="auto"/>
              </w:rPr>
            </w:pPr>
          </w:p>
        </w:tc>
        <w:tc>
          <w:tcPr>
            <w:tcW w:w="1100" w:type="dxa"/>
            <w:vAlign w:val="bottom"/>
            <w:gridSpan w:val="2"/>
          </w:tcPr>
          <w:p>
            <w:pPr>
              <w:spacing w:after="0"/>
              <w:rPr>
                <w:sz w:val="24"/>
                <w:szCs w:val="24"/>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7"/>
                <w:szCs w:val="17"/>
                <w:color w:val="0000FF"/>
                <w:w w:val="73"/>
              </w:rPr>
              <w:t>73</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11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560" w:type="dxa"/>
            <w:vAlign w:val="bottom"/>
            <w:gridSpan w:val="22"/>
          </w:tcPr>
          <w:p>
            <w:pPr>
              <w:spacing w:after="0"/>
              <w:rPr>
                <w:sz w:val="20"/>
                <w:szCs w:val="20"/>
                <w:color w:val="auto"/>
              </w:rPr>
            </w:pPr>
            <w:r>
              <w:rPr>
                <w:rFonts w:ascii="Arial" w:cs="Arial" w:eastAsia="Arial" w:hAnsi="Arial"/>
                <w:sz w:val="18"/>
                <w:szCs w:val="18"/>
                <w:color w:val="0000FF"/>
              </w:rPr>
              <w:t>Item 9C: Disclosure Regarding Foreign Jurisdictions that Prevent Inspections</w:t>
            </w:r>
          </w:p>
        </w:tc>
        <w:tc>
          <w:tcPr>
            <w:tcW w:w="1620" w:type="dxa"/>
            <w:vAlign w:val="bottom"/>
            <w:gridSpan w:val="4"/>
          </w:tcPr>
          <w:p>
            <w:pPr>
              <w:jc w:val="center"/>
              <w:ind w:left="591"/>
              <w:spacing w:after="0"/>
              <w:rPr>
                <w:sz w:val="20"/>
                <w:szCs w:val="20"/>
                <w:color w:val="auto"/>
              </w:rPr>
            </w:pPr>
            <w:r>
              <w:rPr>
                <w:rFonts w:ascii="Arial" w:cs="Arial" w:eastAsia="Arial" w:hAnsi="Arial"/>
                <w:sz w:val="18"/>
                <w:szCs w:val="18"/>
                <w:color w:val="0000FF"/>
                <w:w w:val="89"/>
              </w:rPr>
              <w:t>73</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11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660" w:type="dxa"/>
            <w:vAlign w:val="bottom"/>
            <w:gridSpan w:val="4"/>
          </w:tcPr>
          <w:p>
            <w:pPr>
              <w:spacing w:after="0"/>
              <w:rPr>
                <w:sz w:val="20"/>
                <w:szCs w:val="20"/>
                <w:color w:val="auto"/>
              </w:rPr>
            </w:pPr>
            <w:r>
              <w:rPr>
                <w:rFonts w:ascii="Arial" w:cs="Arial" w:eastAsia="Arial" w:hAnsi="Arial"/>
                <w:sz w:val="18"/>
                <w:szCs w:val="18"/>
                <w:color w:val="0000FF"/>
                <w:w w:val="94"/>
              </w:rPr>
              <w:t>PART III</w:t>
            </w:r>
          </w:p>
        </w:tc>
        <w:tc>
          <w:tcPr>
            <w:tcW w:w="8100" w:type="dxa"/>
            <w:vAlign w:val="bottom"/>
            <w:gridSpan w:val="19"/>
          </w:tcPr>
          <w:p>
            <w:pPr>
              <w:spacing w:after="0"/>
              <w:rPr>
                <w:sz w:val="22"/>
                <w:szCs w:val="22"/>
                <w:color w:val="auto"/>
              </w:rPr>
            </w:pPr>
          </w:p>
        </w:tc>
        <w:tc>
          <w:tcPr>
            <w:tcW w:w="1100" w:type="dxa"/>
            <w:vAlign w:val="bottom"/>
            <w:gridSpan w:val="2"/>
          </w:tcPr>
          <w:p>
            <w:pPr>
              <w:spacing w:after="0"/>
              <w:rPr>
                <w:sz w:val="22"/>
                <w:szCs w:val="22"/>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7"/>
                <w:szCs w:val="17"/>
                <w:color w:val="0000FF"/>
                <w:w w:val="73"/>
              </w:rPr>
              <w:t>73</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11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8760" w:type="dxa"/>
            <w:vAlign w:val="bottom"/>
            <w:gridSpan w:val="23"/>
          </w:tcPr>
          <w:p>
            <w:pPr>
              <w:spacing w:after="0"/>
              <w:rPr>
                <w:sz w:val="20"/>
                <w:szCs w:val="20"/>
                <w:color w:val="auto"/>
              </w:rPr>
            </w:pPr>
            <w:r>
              <w:rPr>
                <w:rFonts w:ascii="Arial" w:cs="Arial" w:eastAsia="Arial" w:hAnsi="Arial"/>
                <w:sz w:val="18"/>
                <w:szCs w:val="18"/>
                <w:color w:val="0000FF"/>
              </w:rPr>
              <w:t>PART IV</w:t>
            </w:r>
          </w:p>
        </w:tc>
        <w:tc>
          <w:tcPr>
            <w:tcW w:w="1620" w:type="dxa"/>
            <w:vAlign w:val="bottom"/>
            <w:gridSpan w:val="4"/>
          </w:tcPr>
          <w:p>
            <w:pPr>
              <w:jc w:val="center"/>
              <w:ind w:left="591"/>
              <w:spacing w:after="0"/>
              <w:rPr>
                <w:sz w:val="20"/>
                <w:szCs w:val="20"/>
                <w:color w:val="auto"/>
              </w:rPr>
            </w:pPr>
            <w:r>
              <w:rPr>
                <w:rFonts w:ascii="Arial" w:cs="Arial" w:eastAsia="Arial" w:hAnsi="Arial"/>
                <w:sz w:val="18"/>
                <w:szCs w:val="18"/>
                <w:color w:val="0000FF"/>
                <w:w w:val="89"/>
              </w:rPr>
              <w:t>74</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11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gridSpan w:val="15"/>
          </w:tcPr>
          <w:p>
            <w:pPr>
              <w:spacing w:after="0"/>
              <w:rPr>
                <w:sz w:val="20"/>
                <w:szCs w:val="20"/>
                <w:color w:val="auto"/>
              </w:rPr>
            </w:pPr>
            <w:r>
              <w:rPr>
                <w:rFonts w:ascii="Arial" w:cs="Arial" w:eastAsia="Arial" w:hAnsi="Arial"/>
                <w:sz w:val="18"/>
                <w:szCs w:val="18"/>
                <w:color w:val="0000FF"/>
                <w:w w:val="90"/>
              </w:rPr>
              <w:t>Item 15: Exhibits and Financial Statement Schedules</w:t>
            </w:r>
          </w:p>
        </w:tc>
        <w:tc>
          <w:tcPr>
            <w:tcW w:w="4740" w:type="dxa"/>
            <w:vAlign w:val="bottom"/>
            <w:gridSpan w:val="7"/>
          </w:tcPr>
          <w:p>
            <w:pPr>
              <w:spacing w:after="0"/>
              <w:rPr>
                <w:sz w:val="24"/>
                <w:szCs w:val="24"/>
                <w:color w:val="auto"/>
              </w:rPr>
            </w:pPr>
          </w:p>
        </w:tc>
        <w:tc>
          <w:tcPr>
            <w:tcW w:w="1100" w:type="dxa"/>
            <w:vAlign w:val="bottom"/>
            <w:gridSpan w:val="2"/>
          </w:tcPr>
          <w:p>
            <w:pPr>
              <w:spacing w:after="0"/>
              <w:rPr>
                <w:sz w:val="24"/>
                <w:szCs w:val="24"/>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7"/>
                <w:szCs w:val="17"/>
                <w:color w:val="0000FF"/>
                <w:w w:val="73"/>
              </w:rPr>
              <w:t>74</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11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20" w:type="dxa"/>
            <w:vAlign w:val="bottom"/>
            <w:gridSpan w:val="15"/>
          </w:tcPr>
          <w:p>
            <w:pPr>
              <w:spacing w:after="0"/>
              <w:rPr>
                <w:sz w:val="20"/>
                <w:szCs w:val="20"/>
                <w:color w:val="auto"/>
              </w:rPr>
            </w:pPr>
            <w:r>
              <w:rPr>
                <w:rFonts w:ascii="Arial" w:cs="Arial" w:eastAsia="Arial" w:hAnsi="Arial"/>
                <w:sz w:val="18"/>
                <w:szCs w:val="18"/>
                <w:color w:val="0000FF"/>
              </w:rPr>
              <w:t>Item 16: Form 10-K Summary</w:t>
            </w:r>
          </w:p>
        </w:tc>
        <w:tc>
          <w:tcPr>
            <w:tcW w:w="4740" w:type="dxa"/>
            <w:vAlign w:val="bottom"/>
            <w:gridSpan w:val="7"/>
          </w:tcPr>
          <w:p>
            <w:pPr>
              <w:spacing w:after="0"/>
              <w:rPr>
                <w:sz w:val="18"/>
                <w:szCs w:val="18"/>
                <w:color w:val="auto"/>
              </w:rPr>
            </w:pPr>
          </w:p>
        </w:tc>
        <w:tc>
          <w:tcPr>
            <w:tcW w:w="1100" w:type="dxa"/>
            <w:vAlign w:val="bottom"/>
            <w:gridSpan w:val="2"/>
          </w:tcPr>
          <w:p>
            <w:pPr>
              <w:spacing w:after="0"/>
              <w:rPr>
                <w:sz w:val="18"/>
                <w:szCs w:val="18"/>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7"/>
                <w:szCs w:val="17"/>
                <w:color w:val="0000FF"/>
                <w:w w:val="73"/>
              </w:rPr>
              <w:t>80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6360" w:type="dxa"/>
            <w:vAlign w:val="bottom"/>
            <w:gridSpan w:val="11"/>
          </w:tcPr>
          <w:p>
            <w:pPr>
              <w:spacing w:after="0" w:line="20" w:lineRule="exact"/>
              <w:rPr>
                <w:sz w:val="1"/>
                <w:szCs w:val="1"/>
                <w:color w:val="auto"/>
              </w:rPr>
            </w:pPr>
          </w:p>
        </w:tc>
        <w:tc>
          <w:tcPr>
            <w:tcW w:w="11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8760" w:type="dxa"/>
            <w:vAlign w:val="bottom"/>
            <w:gridSpan w:val="23"/>
          </w:tcPr>
          <w:p>
            <w:pPr>
              <w:spacing w:after="0"/>
              <w:rPr>
                <w:sz w:val="20"/>
                <w:szCs w:val="20"/>
                <w:color w:val="auto"/>
              </w:rPr>
            </w:pPr>
            <w:r>
              <w:rPr>
                <w:rFonts w:ascii="Arial" w:cs="Arial" w:eastAsia="Arial" w:hAnsi="Arial"/>
                <w:sz w:val="18"/>
                <w:szCs w:val="18"/>
                <w:color w:val="0000FF"/>
              </w:rPr>
              <w:t>SIGNATURES</w:t>
            </w:r>
          </w:p>
        </w:tc>
        <w:tc>
          <w:tcPr>
            <w:tcW w:w="1620" w:type="dxa"/>
            <w:vAlign w:val="bottom"/>
            <w:gridSpan w:val="4"/>
          </w:tcPr>
          <w:p>
            <w:pPr>
              <w:jc w:val="center"/>
              <w:ind w:left="591"/>
              <w:spacing w:after="0"/>
              <w:rPr>
                <w:sz w:val="20"/>
                <w:szCs w:val="20"/>
                <w:color w:val="auto"/>
              </w:rPr>
            </w:pPr>
            <w:r>
              <w:rPr>
                <w:rFonts w:ascii="Arial" w:cs="Arial" w:eastAsia="Arial" w:hAnsi="Arial"/>
                <w:sz w:val="18"/>
                <w:szCs w:val="18"/>
                <w:color w:val="0000FF"/>
                <w:w w:val="89"/>
              </w:rPr>
              <w:t>81</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7"/>
        </w:trPr>
        <w:tc>
          <w:tcPr>
            <w:tcW w:w="8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Cumberland Pharmaceuticals Inc. (“Cumberland,” the “Company,” or as used in the context of “we,” “us,” or “our”), is a specialty pharmaceutical company focused on the acquisition, development and commercialization of branded prescription pharmaceutical products. We are dedicated to providing innovative products that improve the quality of care for patients and address poorly met medical needs.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target markets are hospital acute care, gastroenterology and oncology. These medical specialties are characterized by relatively concentrated prescriber bases that we believe can be served effectively by small, targeted sales forces. We promote our approved products through our hospital, field and oncology sales divisions in the United States while we continue to build a network of international partners to register and provide our medicines to patients in their countries.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Our portfolio of brands approved for marketing by the U.S. Food and Drug Administration (“FDA”) includes:</w:t>
      </w:r>
    </w:p>
    <w:p>
      <w:pPr>
        <w:spacing w:after="0" w:line="7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Acetadote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acetylcysteine</w:t>
      </w:r>
      <w:r>
        <w:rPr>
          <w:rFonts w:ascii="Arial" w:cs="Arial" w:eastAsia="Arial" w:hAnsi="Arial"/>
          <w:sz w:val="18"/>
          <w:szCs w:val="18"/>
          <w:color w:val="auto"/>
        </w:rPr>
        <w:t>) injection, for the treatment of acetaminophen poisoning;</w:t>
      </w:r>
    </w:p>
    <w:p>
      <w:pPr>
        <w:spacing w:after="0" w:line="9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Caldolor</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ibuprofen</w:t>
      </w:r>
      <w:r>
        <w:rPr>
          <w:rFonts w:ascii="Arial" w:cs="Arial" w:eastAsia="Arial" w:hAnsi="Arial"/>
          <w:sz w:val="18"/>
          <w:szCs w:val="18"/>
          <w:color w:val="auto"/>
        </w:rPr>
        <w:t>) injection, for the treatment of pain and fever;</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Kristalose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lactulose</w:t>
      </w:r>
      <w:r>
        <w:rPr>
          <w:rFonts w:ascii="Arial" w:cs="Arial" w:eastAsia="Arial" w:hAnsi="Arial"/>
          <w:sz w:val="18"/>
          <w:szCs w:val="18"/>
          <w:color w:val="auto"/>
        </w:rPr>
        <w:t>) for oral solution, a prescription laxative, for the treatment of constipation;</w:t>
      </w:r>
    </w:p>
    <w:p>
      <w:pPr>
        <w:spacing w:after="0" w:line="89" w:lineRule="exact"/>
        <w:rPr>
          <w:rFonts w:ascii="Arial" w:cs="Arial" w:eastAsia="Arial" w:hAnsi="Arial"/>
          <w:sz w:val="18"/>
          <w:szCs w:val="18"/>
          <w:color w:val="auto"/>
        </w:rPr>
      </w:pPr>
    </w:p>
    <w:p>
      <w:pPr>
        <w:ind w:left="660" w:hanging="328"/>
        <w:spacing w:after="0" w:line="229"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Omeclamox-Pak</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omeprazole, clarithromycin, amoxicillin</w:t>
      </w:r>
      <w:r>
        <w:rPr>
          <w:rFonts w:ascii="Arial" w:cs="Arial" w:eastAsia="Arial" w:hAnsi="Arial"/>
          <w:sz w:val="18"/>
          <w:szCs w:val="18"/>
          <w:color w:val="auto"/>
        </w:rPr>
        <w:t>) oral, for the treatment of Helicobacter pylori (</w:t>
      </w:r>
      <w:r>
        <w:rPr>
          <w:rFonts w:ascii="Arial" w:cs="Arial" w:eastAsia="Arial" w:hAnsi="Arial"/>
          <w:sz w:val="18"/>
          <w:szCs w:val="18"/>
          <w:i w:val="1"/>
          <w:iCs w:val="1"/>
          <w:color w:val="auto"/>
        </w:rPr>
        <w:t>H. pylori</w:t>
      </w:r>
      <w:r>
        <w:rPr>
          <w:rFonts w:ascii="Arial" w:cs="Arial" w:eastAsia="Arial" w:hAnsi="Arial"/>
          <w:sz w:val="18"/>
          <w:szCs w:val="18"/>
          <w:color w:val="auto"/>
        </w:rPr>
        <w:t>) infection and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duodenal ulcer disease;</w:t>
      </w:r>
    </w:p>
    <w:p>
      <w:pPr>
        <w:spacing w:after="0" w:line="167" w:lineRule="exact"/>
        <w:rPr>
          <w:rFonts w:ascii="Arial" w:cs="Arial" w:eastAsia="Arial" w:hAnsi="Arial"/>
          <w:sz w:val="18"/>
          <w:szCs w:val="18"/>
          <w:color w:val="auto"/>
        </w:rPr>
      </w:pPr>
    </w:p>
    <w:p>
      <w:pPr>
        <w:ind w:left="660" w:right="20" w:hanging="328"/>
        <w:spacing w:after="0" w:line="237" w:lineRule="auto"/>
        <w:tabs>
          <w:tab w:leader="none" w:pos="648" w:val="left"/>
        </w:tabs>
        <w:numPr>
          <w:ilvl w:val="0"/>
          <w:numId w:val="2"/>
        </w:numPr>
        <w:rPr>
          <w:rFonts w:ascii="Arial" w:cs="Arial" w:eastAsia="Arial" w:hAnsi="Arial"/>
          <w:sz w:val="20"/>
          <w:szCs w:val="20"/>
          <w:b w:val="1"/>
          <w:bCs w:val="1"/>
          <w:color w:val="auto"/>
        </w:rPr>
      </w:pPr>
      <w:r>
        <w:rPr>
          <w:rFonts w:ascii="Arial" w:cs="Arial" w:eastAsia="Arial" w:hAnsi="Arial"/>
          <w:sz w:val="18"/>
          <w:szCs w:val="18"/>
          <w:b w:val="1"/>
          <w:bCs w:val="1"/>
          <w:color w:val="auto"/>
        </w:rPr>
        <w:t>RediTrex</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methotrexate</w:t>
      </w:r>
      <w:r>
        <w:rPr>
          <w:rFonts w:ascii="Arial" w:cs="Arial" w:eastAsia="Arial" w:hAnsi="Arial"/>
          <w:sz w:val="18"/>
          <w:szCs w:val="18"/>
          <w:color w:val="auto"/>
        </w:rPr>
        <w:t>) injection, for the treatment of active rheumatoid, juvenile idiopathic and severe psoriatic arthritis, as well as disabling</w:t>
      </w:r>
      <w:r>
        <w:rPr>
          <w:rFonts w:ascii="Arial" w:cs="Arial" w:eastAsia="Arial" w:hAnsi="Arial"/>
          <w:sz w:val="18"/>
          <w:szCs w:val="18"/>
          <w:b w:val="1"/>
          <w:bCs w:val="1"/>
          <w:color w:val="auto"/>
        </w:rPr>
        <w:t xml:space="preserve"> </w:t>
      </w:r>
      <w:r>
        <w:rPr>
          <w:rFonts w:ascii="Arial" w:cs="Arial" w:eastAsia="Arial" w:hAnsi="Arial"/>
          <w:sz w:val="18"/>
          <w:szCs w:val="18"/>
          <w:color w:val="auto"/>
        </w:rPr>
        <w:t>psoriasis;</w:t>
      </w:r>
    </w:p>
    <w:p>
      <w:pPr>
        <w:spacing w:after="0" w:line="158" w:lineRule="exact"/>
        <w:rPr>
          <w:rFonts w:ascii="Arial" w:cs="Arial" w:eastAsia="Arial" w:hAnsi="Arial"/>
          <w:sz w:val="20"/>
          <w:szCs w:val="20"/>
          <w:b w:val="1"/>
          <w:bCs w:val="1"/>
          <w:color w:val="auto"/>
        </w:rPr>
      </w:pPr>
    </w:p>
    <w:p>
      <w:pPr>
        <w:ind w:left="640" w:hanging="308"/>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6"/>
          <w:szCs w:val="16"/>
          <w:b w:val="1"/>
          <w:bCs w:val="1"/>
          <w:color w:val="auto"/>
        </w:rPr>
        <w:t>Sancuso</w:t>
      </w:r>
      <w:r>
        <w:rPr>
          <w:rFonts w:ascii="Arial" w:cs="Arial" w:eastAsia="Arial" w:hAnsi="Arial"/>
          <w:sz w:val="20"/>
          <w:szCs w:val="20"/>
          <w:b w:val="1"/>
          <w:bCs w:val="1"/>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granisetron)</w:t>
      </w:r>
      <w:r>
        <w:rPr>
          <w:rFonts w:ascii="Arial" w:cs="Arial" w:eastAsia="Arial" w:hAnsi="Arial"/>
          <w:sz w:val="16"/>
          <w:szCs w:val="16"/>
          <w:b w:val="1"/>
          <w:bCs w:val="1"/>
          <w:color w:val="auto"/>
        </w:rPr>
        <w:t xml:space="preserve"> </w:t>
      </w:r>
      <w:r>
        <w:rPr>
          <w:rFonts w:ascii="Arial" w:cs="Arial" w:eastAsia="Arial" w:hAnsi="Arial"/>
          <w:sz w:val="16"/>
          <w:szCs w:val="16"/>
          <w:color w:val="auto"/>
        </w:rPr>
        <w:t>transdermal, for the prevention of nausea and vomiting in patients receiving certain types of chemotherapy treatment;</w:t>
      </w:r>
    </w:p>
    <w:p>
      <w:pPr>
        <w:spacing w:after="0" w:line="144"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Vaprisol</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conivaptan</w:t>
      </w:r>
      <w:r>
        <w:rPr>
          <w:rFonts w:ascii="Arial" w:cs="Arial" w:eastAsia="Arial" w:hAnsi="Arial"/>
          <w:sz w:val="17"/>
          <w:szCs w:val="17"/>
          <w:color w:val="auto"/>
        </w:rPr>
        <w:t>) injection, to raise serum sodium levels in hospitalized patients with euvolemic and hypervolemic hyponatremia; and</w:t>
      </w:r>
    </w:p>
    <w:p>
      <w:pPr>
        <w:spacing w:after="0" w:line="101" w:lineRule="exact"/>
        <w:rPr>
          <w:rFonts w:ascii="Arial" w:cs="Arial" w:eastAsia="Arial" w:hAnsi="Arial"/>
          <w:sz w:val="17"/>
          <w:szCs w:val="17"/>
          <w:b w:val="1"/>
          <w:bCs w:val="1"/>
          <w:color w:val="auto"/>
        </w:rPr>
      </w:pPr>
    </w:p>
    <w:p>
      <w:pPr>
        <w:ind w:left="660" w:hanging="328"/>
        <w:spacing w:after="0" w:line="229"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Vibativ</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telavancin</w:t>
      </w:r>
      <w:r>
        <w:rPr>
          <w:rFonts w:ascii="Arial" w:cs="Arial" w:eastAsia="Arial" w:hAnsi="Arial"/>
          <w:sz w:val="18"/>
          <w:szCs w:val="18"/>
          <w:color w:val="auto"/>
        </w:rPr>
        <w:t>) injection, for the treatment of certain serious bacterial infections including hospital-acquired and ventilator-associated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bacterial pneumonia, as well as complicated skin and skin structure infections.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addition to these commercial brands, we have Phase II clinical programs underway evaluating our ifetroban product candidate for patients with cardiomyopathy associated with 1) </w:t>
      </w:r>
      <w:r>
        <w:rPr>
          <w:rFonts w:ascii="Arial" w:cs="Arial" w:eastAsia="Arial" w:hAnsi="Arial"/>
          <w:sz w:val="18"/>
          <w:szCs w:val="18"/>
          <w:i w:val="1"/>
          <w:iCs w:val="1"/>
          <w:color w:val="auto"/>
        </w:rPr>
        <w:t>Duchenne Muscular Dystrophy</w:t>
      </w:r>
      <w:r>
        <w:rPr>
          <w:rFonts w:ascii="Arial" w:cs="Arial" w:eastAsia="Arial" w:hAnsi="Arial"/>
          <w:sz w:val="18"/>
          <w:szCs w:val="18"/>
          <w:color w:val="auto"/>
        </w:rPr>
        <w:t xml:space="preserve"> (“DMD”), a fatal, genetic neuromuscular disease, 2) </w:t>
      </w:r>
      <w:r>
        <w:rPr>
          <w:rFonts w:ascii="Arial" w:cs="Arial" w:eastAsia="Arial" w:hAnsi="Arial"/>
          <w:sz w:val="18"/>
          <w:szCs w:val="18"/>
          <w:i w:val="1"/>
          <w:iCs w:val="1"/>
          <w:color w:val="auto"/>
        </w:rPr>
        <w:t>Systemic Sclerosis</w:t>
      </w:r>
      <w:r>
        <w:rPr>
          <w:rFonts w:ascii="Arial" w:cs="Arial" w:eastAsia="Arial" w:hAnsi="Arial"/>
          <w:sz w:val="18"/>
          <w:szCs w:val="18"/>
          <w:color w:val="auto"/>
        </w:rPr>
        <w:t xml:space="preserve"> (“SSc”) or scleroderma, a debilitating autoimmune disorder characterized by fibrosis of the skin and internal organs and 3) </w:t>
      </w:r>
      <w:r>
        <w:rPr>
          <w:rFonts w:ascii="Arial" w:cs="Arial" w:eastAsia="Arial" w:hAnsi="Arial"/>
          <w:sz w:val="18"/>
          <w:szCs w:val="18"/>
          <w:i w:val="1"/>
          <w:iCs w:val="1"/>
          <w:color w:val="auto"/>
        </w:rPr>
        <w:t>Aspirin-Exacerbated Respiratory Disease</w:t>
      </w:r>
      <w:r>
        <w:rPr>
          <w:rFonts w:ascii="Arial" w:cs="Arial" w:eastAsia="Arial" w:hAnsi="Arial"/>
          <w:sz w:val="18"/>
          <w:szCs w:val="18"/>
          <w:color w:val="auto"/>
        </w:rPr>
        <w:t xml:space="preserve"> (“AERD”), a severe form of asthma.</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Cumberland has built core competencies for the acquisition, development and commercialization of pharmaceutical products in the U.S. – and we believe we can leverage this existing infrastructure to support our continued growth. Our management team consists of pharmaceutical industry veterans with experience in business development, product development, regulatory, manufacturing, sales, marketing and finance.</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development team identifies, evaluates, and negotiates product acquisition, licensing and co- promotion agreements. Our product development team creates proprietary formulations, manages our clinical studies, prepares our FDA submissions and staffs our medical call center. Our quality and manufacturing professionals oversee the manufacturing, release and shipment of our products. Our marketing and sales organization is responsible for our commercial activities, and we work closely with our distribution partners to ensure the availability and delivery of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early 2020, the U.S. declared a health care emergency following the outbreak of SARS-CoV-2, a novel strain of coronavirus that causes COVID-19. The Company managed through the resulting pandemic, continuing to operate our business – keeping facilities open and our organization intact. We moved quickly to ensure the health and safety of our team. We also maintained our ongoing compliance with the many laws and regulations that apply to us as a publicly traded pharmaceutical company.</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Throughout the pandemic, Cumberland faced the same challenges affecting other companies that rely on hospital admissions and patient visits to drive revenue. Our clinical studies were also impacted, as fewer patients sought elective surgeries and our access to medical facilities was substantially limited. We carefully monitored our supply chain, including the flow of raw materials and the batches of finished products emerging from the facilities that manufacture our products.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welcomed a return to a more typical operating environment as 2022 progressed, following the economic and societal effects of the pandemic. We were encouraged to see enrollment in our clinical trials resume, patient procedures return to more customary levels and access for our sales representatives improve as they gained more face-to-face meetings with medical professionals.</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2022, we continued to expand our product portfolio, starting the year with the announcement of our Sancuso acquisition from the U.S. affiliate of Japan-based Kyowa Kirin. With significant contributions from Sancuso, we experienced strong year-over-year revenue growth.</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Throughout the year we continued our mission, delivering our products to improve patient care, while also addressing the interests of our shareholders, employees, partners and community.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Headquarters</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late October 2022, we opened our new headquarter offices at the Broadwest campus in the Vanderbilt/West End corridor of Nashville. Our move into the new state-of-the-art facilities will enable the Company to accommodate our growth, support our team, and better serve our international base of customers and partners.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 Report</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2022, we released our second annual Sustainability Report (the “2021 Sustainability Report”), which detailed Cumberland’s activities pertaining to our environmental, social and governance matters. We issued our inaugural Sustainability Report in 2019 and remain committed to sustainability and to maintaining transparency of our corporate operations. As the largest biopharmaceutical company founded and headquartered in the Mid-South, we hold ourselves to the highest standards of ethical practices and understand the importance of recognizing and addressing our impact on our constituents, the community and the environment.</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2021 Sustainability Report noted that during that year we provided nearly 2.5 million patient doses of our products, safely disposed of over 6,000 pounds of expired and damaged products and had no product recalls. We also had no Company brands listed on the FDA’s MedWatch Safety Alerts for Human Medical Products, no Company product issues identified by the FDA’s Adverse Event Reporting System and no clinical trials terminated due to failure to practice good clinical standards.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2021 Sustainability Report also highlighted our investment in our employees through our continuing education programs, employee development initiatives and employee recognition awards. We reported that women represented 44% of Cumberland’s workforce and 15% of our employees were minorities.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Through our sustainability initiatives, we will continue to identify and address critical industry issues, monitor relevant guidelines and utilize best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taken appropriate steps to monitor an adequate level of cybersecurity. The Company is insured against cyber attacks and has appropriate detection and mitigation controls in place.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We were incorporated in 1999 and have been headquartered in Nashville, Tennessee since inception. During 2009, we completed an initial public offering of our common shares and listing on the Nasdaq stock exchange. Our website address is </w:t>
      </w:r>
      <w:r>
        <w:rPr>
          <w:rFonts w:ascii="Arial" w:cs="Arial" w:eastAsia="Arial" w:hAnsi="Arial"/>
          <w:sz w:val="16"/>
          <w:szCs w:val="16"/>
          <w:i w:val="1"/>
          <w:iCs w:val="1"/>
          <w:color w:val="0000FF"/>
        </w:rPr>
        <w:t>www.cumberlandpharma.com</w:t>
      </w:r>
      <w:r>
        <w:rPr>
          <w:rFonts w:ascii="Arial" w:cs="Arial" w:eastAsia="Arial" w:hAnsi="Arial"/>
          <w:sz w:val="16"/>
          <w:szCs w:val="16"/>
          <w:color w:val="0000FF"/>
        </w:rPr>
        <w:t>.</w:t>
      </w:r>
      <w:r>
        <w:rPr>
          <w:rFonts w:ascii="Arial" w:cs="Arial" w:eastAsia="Arial" w:hAnsi="Arial"/>
          <w:sz w:val="16"/>
          <w:szCs w:val="16"/>
          <w:color w:val="auto"/>
        </w:rPr>
        <w:t xml:space="preserve"> Our Annual Reports (on Form 10-K), Quarterly Reports (on Form 10-Q), Current Reports (on Form 8-K) and all material press releases are available on our website as soon as reasonably practicable after their filing with the U.S. Securities and Exchange Commission (“SEC”). These filings are also available to the public at </w:t>
      </w:r>
      <w:r>
        <w:rPr>
          <w:rFonts w:ascii="Arial" w:cs="Arial" w:eastAsia="Arial" w:hAnsi="Arial"/>
          <w:sz w:val="16"/>
          <w:szCs w:val="16"/>
          <w:i w:val="1"/>
          <w:iCs w:val="1"/>
          <w:color w:val="0000FF"/>
        </w:rPr>
        <w:t>www.sec.gov.</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PRODUCTS</w:t>
            </w:r>
          </w:p>
        </w:tc>
        <w:tc>
          <w:tcPr>
            <w:tcW w:w="5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05"/>
        </w:trPr>
        <w:tc>
          <w:tcPr>
            <w:tcW w:w="3380" w:type="dxa"/>
            <w:vAlign w:val="bottom"/>
            <w:tcBorders>
              <w:bottom w:val="single" w:sz="8" w:color="auto"/>
            </w:tcBorders>
          </w:tcPr>
          <w:p>
            <w:pPr>
              <w:ind w:left="1360"/>
              <w:spacing w:after="0"/>
              <w:rPr>
                <w:sz w:val="20"/>
                <w:szCs w:val="20"/>
                <w:color w:val="auto"/>
              </w:rPr>
            </w:pPr>
            <w:r>
              <w:rPr>
                <w:rFonts w:ascii="Arial" w:cs="Arial" w:eastAsia="Arial" w:hAnsi="Arial"/>
                <w:sz w:val="18"/>
                <w:szCs w:val="18"/>
                <w:b w:val="1"/>
                <w:bCs w:val="1"/>
                <w:color w:val="auto"/>
              </w:rPr>
              <w:t>Products</w:t>
            </w:r>
          </w:p>
        </w:tc>
        <w:tc>
          <w:tcPr>
            <w:tcW w:w="120" w:type="dxa"/>
            <w:vAlign w:val="bottom"/>
          </w:tcPr>
          <w:p>
            <w:pPr>
              <w:spacing w:after="0"/>
              <w:rPr>
                <w:sz w:val="24"/>
                <w:szCs w:val="24"/>
                <w:color w:val="auto"/>
              </w:rPr>
            </w:pPr>
          </w:p>
        </w:tc>
        <w:tc>
          <w:tcPr>
            <w:tcW w:w="5720" w:type="dxa"/>
            <w:vAlign w:val="bottom"/>
            <w:tcBorders>
              <w:bottom w:val="single" w:sz="8" w:color="auto"/>
            </w:tcBorders>
          </w:tcPr>
          <w:p>
            <w:pPr>
              <w:ind w:left="2460"/>
              <w:spacing w:after="0"/>
              <w:rPr>
                <w:sz w:val="20"/>
                <w:szCs w:val="20"/>
                <w:color w:val="auto"/>
              </w:rPr>
            </w:pPr>
            <w:r>
              <w:rPr>
                <w:rFonts w:ascii="Arial" w:cs="Arial" w:eastAsia="Arial" w:hAnsi="Arial"/>
                <w:sz w:val="18"/>
                <w:szCs w:val="18"/>
                <w:b w:val="1"/>
                <w:bCs w:val="1"/>
                <w:color w:val="auto"/>
              </w:rPr>
              <w:t>Indication</w:t>
            </w:r>
          </w:p>
        </w:tc>
        <w:tc>
          <w:tcPr>
            <w:tcW w:w="120" w:type="dxa"/>
            <w:vAlign w:val="bottom"/>
          </w:tcPr>
          <w:p>
            <w:pPr>
              <w:spacing w:after="0"/>
              <w:rPr>
                <w:sz w:val="24"/>
                <w:szCs w:val="2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365"/>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Acetadote</w:t>
            </w:r>
            <w:r>
              <w:rPr>
                <w:rFonts w:ascii="Arial" w:cs="Arial" w:eastAsia="Arial" w:hAnsi="Arial"/>
                <w:sz w:val="23"/>
                <w:szCs w:val="23"/>
                <w:color w:val="auto"/>
                <w:vertAlign w:val="superscript"/>
              </w:rPr>
              <w:t>®</w:t>
            </w:r>
          </w:p>
        </w:tc>
        <w:tc>
          <w:tcPr>
            <w:tcW w:w="5840" w:type="dxa"/>
            <w:vAlign w:val="bottom"/>
            <w:gridSpan w:val="2"/>
          </w:tcPr>
          <w:p>
            <w:pPr>
              <w:ind w:left="20"/>
              <w:spacing w:after="0"/>
              <w:rPr>
                <w:sz w:val="20"/>
                <w:szCs w:val="20"/>
                <w:color w:val="auto"/>
              </w:rPr>
            </w:pPr>
            <w:r>
              <w:rPr>
                <w:rFonts w:ascii="Arial" w:cs="Arial" w:eastAsia="Arial" w:hAnsi="Arial"/>
                <w:sz w:val="18"/>
                <w:szCs w:val="18"/>
                <w:color w:val="auto"/>
              </w:rPr>
              <w:t>Acetaminophen Poisoning</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Marketed</w:t>
            </w:r>
          </w:p>
        </w:tc>
      </w:tr>
      <w:tr>
        <w:trPr>
          <w:trHeight w:val="229"/>
        </w:trPr>
        <w:tc>
          <w:tcPr>
            <w:tcW w:w="35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Caldolor</w:t>
            </w:r>
            <w:r>
              <w:rPr>
                <w:rFonts w:ascii="Arial" w:cs="Arial" w:eastAsia="Arial" w:hAnsi="Arial"/>
                <w:sz w:val="23"/>
                <w:szCs w:val="23"/>
                <w:color w:val="auto"/>
                <w:vertAlign w:val="superscript"/>
              </w:rPr>
              <w:t>®</w:t>
            </w:r>
          </w:p>
        </w:tc>
        <w:tc>
          <w:tcPr>
            <w:tcW w:w="5840" w:type="dxa"/>
            <w:vAlign w:val="bottom"/>
            <w:gridSpan w:val="2"/>
          </w:tcPr>
          <w:p>
            <w:pPr>
              <w:ind w:left="20"/>
              <w:spacing w:after="0"/>
              <w:rPr>
                <w:sz w:val="20"/>
                <w:szCs w:val="20"/>
                <w:color w:val="auto"/>
              </w:rPr>
            </w:pPr>
            <w:r>
              <w:rPr>
                <w:rFonts w:ascii="Arial" w:cs="Arial" w:eastAsia="Arial" w:hAnsi="Arial"/>
                <w:sz w:val="18"/>
                <w:szCs w:val="18"/>
                <w:color w:val="auto"/>
              </w:rPr>
              <w:t>Pain and Fever</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Marketed</w:t>
            </w:r>
          </w:p>
        </w:tc>
      </w:tr>
      <w:tr>
        <w:trPr>
          <w:trHeight w:val="229"/>
        </w:trPr>
        <w:tc>
          <w:tcPr>
            <w:tcW w:w="35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Kristalose</w:t>
            </w:r>
            <w:r>
              <w:rPr>
                <w:rFonts w:ascii="Arial" w:cs="Arial" w:eastAsia="Arial" w:hAnsi="Arial"/>
                <w:sz w:val="23"/>
                <w:szCs w:val="23"/>
                <w:color w:val="auto"/>
                <w:vertAlign w:val="superscript"/>
              </w:rPr>
              <w:t>®</w:t>
            </w:r>
          </w:p>
        </w:tc>
        <w:tc>
          <w:tcPr>
            <w:tcW w:w="5840" w:type="dxa"/>
            <w:vAlign w:val="bottom"/>
            <w:gridSpan w:val="2"/>
          </w:tcPr>
          <w:p>
            <w:pPr>
              <w:ind w:left="20"/>
              <w:spacing w:after="0"/>
              <w:rPr>
                <w:sz w:val="20"/>
                <w:szCs w:val="20"/>
                <w:color w:val="auto"/>
              </w:rPr>
            </w:pPr>
            <w:r>
              <w:rPr>
                <w:rFonts w:ascii="Arial" w:cs="Arial" w:eastAsia="Arial" w:hAnsi="Arial"/>
                <w:sz w:val="18"/>
                <w:szCs w:val="18"/>
                <w:color w:val="auto"/>
              </w:rPr>
              <w:t>Chronic and Acute Constipation</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Marketed</w:t>
            </w:r>
          </w:p>
        </w:tc>
      </w:tr>
      <w:tr>
        <w:trPr>
          <w:trHeight w:val="230"/>
        </w:trPr>
        <w:tc>
          <w:tcPr>
            <w:tcW w:w="35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Omeclamox</w:t>
            </w:r>
            <w:r>
              <w:rPr>
                <w:rFonts w:ascii="Arial" w:cs="Arial" w:eastAsia="Arial" w:hAnsi="Arial"/>
                <w:sz w:val="23"/>
                <w:szCs w:val="23"/>
                <w:color w:val="auto"/>
                <w:vertAlign w:val="superscript"/>
              </w:rPr>
              <w:t>®</w:t>
            </w:r>
            <w:r>
              <w:rPr>
                <w:rFonts w:ascii="Arial" w:cs="Arial" w:eastAsia="Arial" w:hAnsi="Arial"/>
                <w:sz w:val="18"/>
                <w:szCs w:val="18"/>
                <w:color w:val="auto"/>
              </w:rPr>
              <w:t>-Pak</w:t>
            </w:r>
          </w:p>
        </w:tc>
        <w:tc>
          <w:tcPr>
            <w:tcW w:w="5840" w:type="dxa"/>
            <w:vAlign w:val="bottom"/>
            <w:gridSpan w:val="2"/>
          </w:tcPr>
          <w:p>
            <w:pPr>
              <w:ind w:left="20"/>
              <w:spacing w:after="0"/>
              <w:rPr>
                <w:sz w:val="20"/>
                <w:szCs w:val="20"/>
                <w:color w:val="auto"/>
              </w:rPr>
            </w:pPr>
            <w:r>
              <w:rPr>
                <w:rFonts w:ascii="Arial" w:cs="Arial" w:eastAsia="Arial" w:hAnsi="Arial"/>
                <w:sz w:val="18"/>
                <w:szCs w:val="18"/>
                <w:color w:val="auto"/>
              </w:rPr>
              <w:t>H. pylori Infection and Related Duodenal Ulcer Disease</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Marketed</w:t>
            </w:r>
          </w:p>
        </w:tc>
      </w:tr>
      <w:tr>
        <w:trPr>
          <w:trHeight w:val="229"/>
        </w:trPr>
        <w:tc>
          <w:tcPr>
            <w:tcW w:w="35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RediTrex</w:t>
            </w:r>
            <w:r>
              <w:rPr>
                <w:rFonts w:ascii="Arial" w:cs="Arial" w:eastAsia="Arial" w:hAnsi="Arial"/>
                <w:sz w:val="23"/>
                <w:szCs w:val="23"/>
                <w:color w:val="auto"/>
                <w:vertAlign w:val="superscript"/>
              </w:rPr>
              <w:t>®</w:t>
            </w:r>
          </w:p>
        </w:tc>
        <w:tc>
          <w:tcPr>
            <w:tcW w:w="5840" w:type="dxa"/>
            <w:vAlign w:val="bottom"/>
            <w:gridSpan w:val="2"/>
          </w:tcPr>
          <w:p>
            <w:pPr>
              <w:ind w:left="20"/>
              <w:spacing w:after="0"/>
              <w:rPr>
                <w:sz w:val="20"/>
                <w:szCs w:val="20"/>
                <w:color w:val="auto"/>
              </w:rPr>
            </w:pPr>
            <w:r>
              <w:rPr>
                <w:rFonts w:ascii="Arial" w:cs="Arial" w:eastAsia="Arial" w:hAnsi="Arial"/>
                <w:sz w:val="18"/>
                <w:szCs w:val="18"/>
                <w:color w:val="auto"/>
              </w:rPr>
              <w:t>Arthritis and Psoriasis</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Marketed</w:t>
            </w:r>
          </w:p>
        </w:tc>
      </w:tr>
      <w:tr>
        <w:trPr>
          <w:trHeight w:val="229"/>
        </w:trPr>
        <w:tc>
          <w:tcPr>
            <w:tcW w:w="35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Sancuso</w:t>
            </w:r>
            <w:r>
              <w:rPr>
                <w:rFonts w:ascii="Arial" w:cs="Arial" w:eastAsia="Arial" w:hAnsi="Arial"/>
                <w:sz w:val="23"/>
                <w:szCs w:val="23"/>
                <w:color w:val="auto"/>
                <w:vertAlign w:val="superscript"/>
              </w:rPr>
              <w:t>®</w:t>
            </w:r>
          </w:p>
        </w:tc>
        <w:tc>
          <w:tcPr>
            <w:tcW w:w="5840" w:type="dxa"/>
            <w:vAlign w:val="bottom"/>
            <w:gridSpan w:val="2"/>
          </w:tcPr>
          <w:p>
            <w:pPr>
              <w:ind w:left="20"/>
              <w:spacing w:after="0"/>
              <w:rPr>
                <w:sz w:val="20"/>
                <w:szCs w:val="20"/>
                <w:color w:val="auto"/>
              </w:rPr>
            </w:pPr>
            <w:r>
              <w:rPr>
                <w:rFonts w:ascii="Arial" w:cs="Arial" w:eastAsia="Arial" w:hAnsi="Arial"/>
                <w:sz w:val="18"/>
                <w:szCs w:val="18"/>
                <w:color w:val="auto"/>
              </w:rPr>
              <w:t>Nausea and Vomiting Associated with Chemotherapy</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Marketed</w:t>
            </w:r>
          </w:p>
        </w:tc>
      </w:tr>
      <w:tr>
        <w:trPr>
          <w:trHeight w:val="230"/>
        </w:trPr>
        <w:tc>
          <w:tcPr>
            <w:tcW w:w="35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Vaprisol</w:t>
            </w:r>
            <w:r>
              <w:rPr>
                <w:rFonts w:ascii="Arial" w:cs="Arial" w:eastAsia="Arial" w:hAnsi="Arial"/>
                <w:sz w:val="23"/>
                <w:szCs w:val="23"/>
                <w:color w:val="auto"/>
                <w:vertAlign w:val="superscript"/>
              </w:rPr>
              <w:t>®</w:t>
            </w:r>
          </w:p>
        </w:tc>
        <w:tc>
          <w:tcPr>
            <w:tcW w:w="5840" w:type="dxa"/>
            <w:vAlign w:val="bottom"/>
            <w:gridSpan w:val="2"/>
          </w:tcPr>
          <w:p>
            <w:pPr>
              <w:ind w:left="20"/>
              <w:spacing w:after="0"/>
              <w:rPr>
                <w:sz w:val="20"/>
                <w:szCs w:val="20"/>
                <w:color w:val="auto"/>
              </w:rPr>
            </w:pPr>
            <w:r>
              <w:rPr>
                <w:rFonts w:ascii="Arial" w:cs="Arial" w:eastAsia="Arial" w:hAnsi="Arial"/>
                <w:sz w:val="18"/>
                <w:szCs w:val="18"/>
                <w:color w:val="auto"/>
              </w:rPr>
              <w:t>Euvolemic and Hypervolemic Hyponatremia</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Marketed</w:t>
            </w:r>
          </w:p>
        </w:tc>
      </w:tr>
      <w:tr>
        <w:trPr>
          <w:trHeight w:val="304"/>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Vibativ</w:t>
            </w:r>
            <w:r>
              <w:rPr>
                <w:rFonts w:ascii="Arial" w:cs="Arial" w:eastAsia="Arial" w:hAnsi="Arial"/>
                <w:sz w:val="23"/>
                <w:szCs w:val="23"/>
                <w:color w:val="auto"/>
                <w:vertAlign w:val="superscript"/>
              </w:rPr>
              <w:t>®</w:t>
            </w:r>
          </w:p>
        </w:tc>
        <w:tc>
          <w:tcPr>
            <w:tcW w:w="5840" w:type="dxa"/>
            <w:vAlign w:val="bottom"/>
            <w:gridSpan w:val="2"/>
          </w:tcPr>
          <w:p>
            <w:pPr>
              <w:ind w:left="20"/>
              <w:spacing w:after="0"/>
              <w:rPr>
                <w:sz w:val="20"/>
                <w:szCs w:val="20"/>
                <w:color w:val="auto"/>
              </w:rPr>
            </w:pPr>
            <w:r>
              <w:rPr>
                <w:rFonts w:ascii="Arial" w:cs="Arial" w:eastAsia="Arial" w:hAnsi="Arial"/>
                <w:sz w:val="18"/>
                <w:szCs w:val="18"/>
                <w:color w:val="auto"/>
              </w:rPr>
              <w:t>Serious Bacterial Infections</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Marketed</w:t>
            </w:r>
          </w:p>
        </w:tc>
      </w:tr>
    </w:tbl>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Acetadote</w:t>
      </w:r>
      <w:r>
        <w:rPr>
          <w:rFonts w:ascii="Arial" w:cs="Arial" w:eastAsia="Arial" w:hAnsi="Arial"/>
          <w:sz w:val="23"/>
          <w:szCs w:val="23"/>
          <w:color w:val="auto"/>
          <w:vertAlign w:val="superscript"/>
        </w:rPr>
        <w:t>®</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Acetadote is an intravenous formulation of N-acetylcysteine, indicated for the treatment of liver toxicity associated with acetaminophen poisoning.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Cumberland developed and obtained U.S. FDA approval for Acetadote, and then introduced the product through our hospital sales force.</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Acetadote is typically used in hospital emergency departments to prevent or lessen potential liver damage resulting from an overdose of acetaminophen, a common ingredient in many over-the-counter and prescription pain relieving and fever-reducing products. Acetaminophen overdose continues to be a leading cause of poisonings reported by hospital emergency departments in the U.S., and Acetadote has become a standard of care for treating this potentially life-threatening condition.</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Acetadote received U.S. FDA approval as an orphan drug, which provided seven years of marketing exclusivity from the date of approval. That exclusivity has since expired.</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FDA’s approval of Acetadote, we committed to certain post-marketing activities for the product. Completion of our first Phase IV commitment resulted in the FDA’s approval of expanded labeling for the product for use in pediatric patients. Completion of our second Phase IV commitment resulted in further revised labeling for the product with FDA approval of additional safety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Completion of our third and final Phase IV commitment culminated in the FDA’s approval of a new formulation for the product. The next generation formulation contains no ethylene diamine tetracetic acid (“EDTA”) or other stabilization agent, chelating agent or preservative. Cumberland introduced this new Acetadote formulation replacing the original form of the product which we no longer manufacture.</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FDA subsequently approved updated labeling for Acetadote revising the product’s indication and providing new dosing guidance for specific patient populations. As a result, dosing guidance is now included for patients weighing over 100 kg, and new language was added to alert health care providers that, in certain clinical situations, therapy should be extended for some patients.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United States Patent and Trademark Office (the “USPTO”) issued us a series of patents associated with our Acetadote product. These patents are discussed in Part I, Item I – “</w:t>
      </w:r>
      <w:r>
        <w:rPr>
          <w:rFonts w:ascii="Arial" w:cs="Arial" w:eastAsia="Arial" w:hAnsi="Arial"/>
          <w:sz w:val="17"/>
          <w:szCs w:val="17"/>
          <w:i w:val="1"/>
          <w:iCs w:val="1"/>
          <w:color w:val="auto"/>
        </w:rPr>
        <w:t>Business - Trademarks and Patents</w:t>
      </w:r>
      <w:r>
        <w:rPr>
          <w:rFonts w:ascii="Arial" w:cs="Arial" w:eastAsia="Arial" w:hAnsi="Arial"/>
          <w:sz w:val="17"/>
          <w:szCs w:val="17"/>
          <w:color w:val="auto"/>
        </w:rPr>
        <w:t>” – of this Form 10-K. The FDA has approved several abbreviated new drug applications (“ANDA”) filed by various generics companies referencing Acetadote. Those products all possess the old formulation containing EDTA.</w:t>
      </w:r>
    </w:p>
    <w:p>
      <w:pPr>
        <w:spacing w:after="0" w:line="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entered into an agreement with Perrigo Company resulting in the distribution of our Authorized Generic acetylcysteine injection (our “Authorized Generic”) product. Both Acetadote and our Authorized Generic utilize the new, EDTA-free formulation.</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Illinois judge issued a final ruling in favor of Cumberland Pharmaceuticals Inc. in a patent case associated with Acetadote. By ruling in Cumberland’s favor, the court upheld the validity of the patent that encompasses our EDTA-free formulation. The court also granted a permanent injunction preventing challengers from marketing a generic version of our proprietary Acetadote product formulation before the expiration of Cumberland’s patent in August 2025. An Appeals Court affirmed the District Court ruling in the Company's favor upholding Cumberland's Acetadote patent and expressly rejected the validity challenge.</w:t>
      </w:r>
    </w:p>
    <w:p>
      <w:pPr>
        <w:spacing w:after="0" w:line="1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2022, we continued to distribute our Acetadote brand, however our Authorized Generic product is now distributed through Padagis US LLC (formerly a division of Perrigo Company).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Caldolor</w:t>
      </w:r>
      <w:r>
        <w:rPr>
          <w:rFonts w:ascii="Arial" w:cs="Arial" w:eastAsia="Arial" w:hAnsi="Arial"/>
          <w:sz w:val="23"/>
          <w:szCs w:val="23"/>
          <w:b w:val="1"/>
          <w:bCs w:val="1"/>
          <w:i w:val="1"/>
          <w:iCs w:val="1"/>
          <w:color w:val="auto"/>
          <w:vertAlign w:val="superscript"/>
        </w:rPr>
        <w:t>®</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Caldolor, our intravenous formulation of ibuprofen, was the first injectable product approved in the U.S. for the treatment of both pain and fever. We conducted a series of clinical studies in over 900 adult patients to develop the data to support our FDA submission for the product's registration. Following a priority review, the FDA approved Caldolor for marketing in the U.S.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non-steroidal anti-inflammatory drug (“NSAID”), the product was indicated for use in adults as a sole treatment for the management of mild to moderate pain and for the management of moderate to severe pain as an adjunct to opioid analgesics. It was also the first FDA approved intravenous therapy for treating fever.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then launched Caldolor and continue to promote the product in the U.S. through our hospital sales force.</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completed a series of Phase IV studies to gather additional data to support our Caldolor product. Those clinical trials involved another 1,000 adult and pediatric patients. These studies included data on a shortened infusion time and pre-surgical administration of the product. To address our Phase IV commitment to the FDA, these studies also included evaluation of the product for the reduction of fever in hospitalized children and the treatment of pain in children undergoing tonsillectomy surgeries.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then received FDA approval for the use of Caldolor in pediatric patients 6 months of age and older. Caldolor is the first and only injectable non-steroidal anti-inflammatory drug approved for use in children. We subsequently initiated a study to collect data on the use of Caldolor in children ranging in age from birth up to 6 months of age. Enrollment in that study was completed in 2019.</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early 2018, we completed and filed the application for FDA approval of a next generation Caldolor product featuring an improved presentation and formulation which was approved in January 2019. The new, premixed presentation provides healthcare professionals a formulation that is easy to administer, helping manage the treatment of patient pain and fever, while reducing opioid consumption. It is provided in a pre-mixed bag containing 800 mg of ibuprofen in a 200 mL patented low sodium formulation for injection that is ready to use. It is the first and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FDA-approved pre-mixed bag of ibuprofen. Caldolor is still available as an 800 mg/8mL single–dose vial for dilution in addition to the ready-to-use bag.</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2020, we initiated a full-scale launch of this ready-to-use product. Unfortunately, the launch was impacted by the COVID-19 pandemic and the resulting postponement of elective surgeries.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2021, the FDA approved our submission to expand the labeling for Caldolor to include administration of the product prior to surgery. During our clinical studies we found that the product delivered its best results when dosed prior to surgery, reducing both patient pain as well as their need for opiates.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2022, we distributed both the vial and the ready-to-use premixed bag presentations of Caldolor. We also announced an agreement with PiSA Pharmaceutical for the registration and commercialization of Caldolor in Mexico. Under the terms of the agreement, Cumberland will be responsible for providing the product dossier and supplies. PiSA will be responsible for obtaining regulatory approval for the product in Mexico and introducing it to the new market. PiSA expects to provide the product in both 400- and 800-milligram vials.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Kristalose</w:t>
      </w:r>
      <w:r>
        <w:rPr>
          <w:rFonts w:ascii="Arial" w:cs="Arial" w:eastAsia="Arial" w:hAnsi="Arial"/>
          <w:sz w:val="23"/>
          <w:szCs w:val="23"/>
          <w:b w:val="1"/>
          <w:bCs w:val="1"/>
          <w:i w:val="1"/>
          <w:iCs w:val="1"/>
          <w:color w:val="auto"/>
          <w:vertAlign w:val="superscript"/>
        </w:rPr>
        <w:t>®</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Kristalose is a prescription laxative administered orally for the treatment of acute and chronic constipation. An innovative, dry powder crystalline formulation of lactulose, Kristalose is designed to enhance patient acceptance and compliance. It is the only prescription laxative available in pre-measured powder packets.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Kristalose dissolves easily in 4 ounces of water, offering patients a virtually taste-free, grit-free and essentially calorie-free alternative to lactulose syrups. We conducted a preference study which indicated that 77% of patients surveyed prefer the taste, consistency and portability of Kristalose over similar products in syrup forms.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acquired the assets and exclusive rights to Kristalose through a series of transactions, then assembled a dedicated field sales force which re-launched the product as a Cumberland brand. We directed our sales efforts to physicians who are the most prolific writers of prescription laxatives, including gastroenterologists and internists. We supplemented this personal promotion with telemarketing campaigns to expand our reach and support of the product. Using preference data as a cornerstone of our marketing efforts, we repositioned the brand, enhancing patient affordability through a coupon program and expanded managed care coverage for the product.</w:t>
      </w:r>
    </w:p>
    <w:p>
      <w:pPr>
        <w:spacing w:after="0" w:line="12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added a co-promotion partner, Poly Pharmaceuticals, who is promoting Kristalose to physician targets not covered by our field sales forces. We then added another partner, Foxland Pharmaceuticals, Inc., who is repackaging Kristalose and featuring it with additional new physician targets.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2022, we continued to support Kristalose through our field sales force as well as our partnerships with Poly Pharmaceuticals and Foxland Pharmaceuticals, Inc.</w:t>
      </w:r>
    </w:p>
    <w:p>
      <w:pPr>
        <w:spacing w:after="0" w:line="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Kristalose award-winning marketing campaign was refreshed for 2022 to support increased engagement with our customers. We also expanded patient support for the brand and it was added to the GoodRx platform during the year.</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Omeclamox-Pak</w:t>
      </w:r>
      <w:r>
        <w:rPr>
          <w:rFonts w:ascii="Arial" w:cs="Arial" w:eastAsia="Arial" w:hAnsi="Arial"/>
          <w:sz w:val="23"/>
          <w:szCs w:val="23"/>
          <w:b w:val="1"/>
          <w:bCs w:val="1"/>
          <w:i w:val="1"/>
          <w:iCs w:val="1"/>
          <w:color w:val="auto"/>
          <w:vertAlign w:val="superscript"/>
        </w:rPr>
        <w:t>®</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Many ulcers of the gastrointestinal tract are caused by an infection from the Helicobacter pylori (“H. pylori”) bacterium. Omeclamox-Pak is a branded prescription product used for the treatment of these infections and the related duodenal ulcer disease. This innovative product combines three well-known and widely prescribed medications: omeprazole, clarithromycin, and amoxicillin.</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Omeclamox-Pak was the first FDA-approved triple therapy combination medication to contain omeprazole as the proton pump inhibitor, which works to decrease the amount of acid the stomach produces. Clarithromycin and amoxicillin are both antibiotic agents that hinder the growth of the H. pylori bacteria. Interaction of these agents allows the stomach lining to heal effectively. The medications are packaged together on convenient daily dosing cards, making it simple to follow the twice a day dosing before meals.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acquired the assets and exclusive rights to Omeclamox-Pak through a series of transactions and re-launched the product as a Cumberland brand supported by our field sales force.</w:t>
      </w:r>
    </w:p>
    <w:p>
      <w:pPr>
        <w:spacing w:after="0" w:line="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packager for Omeclamox-Pak encountered financial difficulties due to the impact of COVID-19. They are under new management and are in the process of a reorganization. Discussions with the packager are ongoing.</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RediTrex</w:t>
      </w:r>
      <w:r>
        <w:rPr>
          <w:rFonts w:ascii="Arial" w:cs="Arial" w:eastAsia="Arial" w:hAnsi="Arial"/>
          <w:sz w:val="23"/>
          <w:szCs w:val="23"/>
          <w:b w:val="1"/>
          <w:bCs w:val="1"/>
          <w:i w:val="1"/>
          <w:iCs w:val="1"/>
          <w:color w:val="auto"/>
          <w:vertAlign w:val="superscript"/>
        </w:rPr>
        <w:t>®</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entered into an exclusive license and supply agreement to register and commercialize a methotrexate product line in the United States. RediTrex is a line of pre-filled syringes specifically designed for ease of handling and dosing accuracy for the subcutaneous administration of methotrexate in patients with arthritis and psoriasis.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RediTrex treats patients with severe, active rheumatoid arthritis, and polyarticular juvenile idiopathic arthritis who have difficulty tolerating or responding to orally delivered methotrexate. It is also approved for symptomatic control of severe, recalcitrant, disabling psoriasis in adults who are not adequately responsive to other forms of therapy.</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more than 54 million Americans living with some form of arthritis, the disease is among the most common causes of work disability in the U.S., according to the CDC. The oral form of methotrexate is typically the first line of treatment for rheumatoid arthritis. As the disease progresses, the dose must be increased to stay effective, often causing intolerable gastrointestinal side effects.</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Injectable methotrexate has been proven to be more effective than oral delivery, with fewer gastrointestinal reactions. Because of the increased efficacy and tolerability, injectable methotrexate can delay the need to move to costly biologics, lowering overall patient treatment costs. Once disease progression requires the use of biologics, continuing the treatment of injectable methotrexate along with the biologic has been shown to increase overall efficacy.</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injectable methotrexate options available may not optimally meet the needs of arthritis patients who are offered either a vial and syringe for self-injection, or the use of an expensive autoinjector. The vial and syringe method can be difficult for a patient to handle due to limited dexterity in their hands. Additionally, obtaining the exact dose needed while preventing skin exposure to the caustic methotrexate can be quite challenging for many patients. The autoinjectors provide a better alternative to the vial and syringe, but they remove injection control from the patient and can be painful to administer. They are also the most expensive methotrexate delivery.</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2019, we received FDA approval for RediTrex and began planning for a launch of the product line. In late 2020, we received initial product supplies and then provided shipments of RediTrex to select accounts. Due to the pandemic, we delayed the national launch of the product, which was then implemented during the fourth quarter of 2021.</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2022, we entered into two amendments to our agreement with Nordic Pharma, who had provided us with a license for the U.S. rights associated with our RediTrex line. Pursuant to these amendments, in exchange for financial consideration, Nordic may assume responsibility for distributing the methotrexate products in the U.S. after June 30, 2023.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Sancuso</w:t>
      </w:r>
      <w:r>
        <w:rPr>
          <w:rFonts w:ascii="Arial" w:cs="Arial" w:eastAsia="Arial" w:hAnsi="Arial"/>
          <w:sz w:val="23"/>
          <w:szCs w:val="23"/>
          <w:b w:val="1"/>
          <w:bCs w:val="1"/>
          <w:i w:val="1"/>
          <w:iCs w:val="1"/>
          <w:color w:val="auto"/>
          <w:vertAlign w:val="superscript"/>
        </w:rPr>
        <w:t>®</w:t>
      </w:r>
    </w:p>
    <w:p>
      <w:pPr>
        <w:spacing w:after="0" w:line="95"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At the end of 2021, we entered into an agreement with Kyowa Kirin to acquire the U.S. assets and rights to Sancuso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(granisetron transdermal system), an FDA-approved oncology supportive care medicine. This transaction closed in January 2022.</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Sancuso is the first and only FDA-approved prescription patch for the prevention of nausea and vomiting in patients receiving certain types of chemotherapy treatment for their cancer.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early 2022, we assumed full commercial responsibility for the product in the U.S. – including its marketing, promotion, distribution, manufacturing, and medical support activities. Kyowa Kirin retained international rights, continuing to deliver the product to address oncology patients’ needs throughout the rest of the world. In January 2022, we began shipments of the product and formed a new sales force, Cumberland Oncology, to support the brand. During this past year, we completed the transition of Sancuso from Kyowa Kirin to Cumberland. We have already seen Sancuso quickly become one of our most important brands and a significant contributor to our business.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Vaprisol</w:t>
      </w:r>
      <w:r>
        <w:rPr>
          <w:rFonts w:ascii="Arial" w:cs="Arial" w:eastAsia="Arial" w:hAnsi="Arial"/>
          <w:sz w:val="23"/>
          <w:szCs w:val="23"/>
          <w:b w:val="1"/>
          <w:bCs w:val="1"/>
          <w:i w:val="1"/>
          <w:iCs w:val="1"/>
          <w:color w:val="auto"/>
          <w:vertAlign w:val="superscript"/>
        </w:rPr>
        <w:t>®</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acquired the assets and rights to Vaprisol, a prescription brand indicated to raise serum sodium levels in hospitalized patients with euvolemic and hypervolemic hyponatremia. It is one of two branded prescription products indicated for the treatment of hyponatremia, and the only intravenously administered branded treatment.</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Hyponatremia, an imbalance of serum sodium to body water, is the most common electrolyte disorder among hospitalized patients. These electrolyte disturbances occur when the sodium ion concentration in the plasma is lower than normal and are often associated with a variety of critical care conditions including congestive heart failure, liver failure, kidney failure and pneumonia. Vaprisol raises serum sodium to appropriate levels and promotes free water secretion. Our Vaprisol product is one of two branded prescription products indicated for the treatment of hyponatremia, and the only intravenously administered branded treatment. It has a proven day-one response rate to normalize serum sodium levels in hyponatremic patients and move them out of the Intensive Care Unit as efficiently as possible.</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Vaprisol is supported by our hospital sales division. Demand for the product increased in 2020 during the pandemic, and we worked to support the expanded use of the product in hospitals and clinics during the health care crisis. During 2021, we shipped all remaining inventory of the product and have notified the FDA that supplies of the product are not currently available. We have since transferred manufacturing of the product to a new manufacturing facility. Our new manufacturing partner is working with the FDA to address several Form 483 and warning letter issues in a timely manner. Meanwhile, we are working with them to support a special, interim supply of compounded product for critically ill patients, while awaiting the needed facility approval to relaunch Vaprisol.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Vibativ</w:t>
      </w:r>
      <w:r>
        <w:rPr>
          <w:rFonts w:ascii="Arial" w:cs="Arial" w:eastAsia="Arial" w:hAnsi="Arial"/>
          <w:sz w:val="23"/>
          <w:szCs w:val="23"/>
          <w:b w:val="1"/>
          <w:bCs w:val="1"/>
          <w:i w:val="1"/>
          <w:iCs w:val="1"/>
          <w:color w:val="auto"/>
          <w:vertAlign w:val="superscript"/>
        </w:rPr>
        <w:t>®</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2018, the Company announced an agreement to acquire the Vibativ assets and assume global responsibility for the brand including the related marketing, distribution, manufacturing and regulatory activities. In early 2021, we introduced the Cumberland-packaged product, which is supported by our hospital sales force.</w:t>
      </w:r>
    </w:p>
    <w:p>
      <w:pPr>
        <w:spacing w:after="0" w:line="1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Vibativ is a patented, FDA-approved injectable anti-infective. It is designed to treat serious infections due to </w:t>
      </w:r>
      <w:r>
        <w:rPr>
          <w:rFonts w:ascii="Arial" w:cs="Arial" w:eastAsia="Arial" w:hAnsi="Arial"/>
          <w:sz w:val="16"/>
          <w:szCs w:val="16"/>
          <w:i w:val="1"/>
          <w:iCs w:val="1"/>
          <w:color w:val="auto"/>
        </w:rPr>
        <w:t>Staphylococcus aureus (“S. Aureus")</w:t>
      </w:r>
      <w:r>
        <w:rPr>
          <w:rFonts w:ascii="Arial" w:cs="Arial" w:eastAsia="Arial" w:hAnsi="Arial"/>
          <w:sz w:val="16"/>
          <w:szCs w:val="16"/>
          <w:color w:val="auto"/>
        </w:rPr>
        <w:t xml:space="preserve"> and other Gram-positive bacteria, including </w:t>
      </w:r>
      <w:r>
        <w:rPr>
          <w:rFonts w:ascii="Arial" w:cs="Arial" w:eastAsia="Arial" w:hAnsi="Arial"/>
          <w:sz w:val="16"/>
          <w:szCs w:val="16"/>
          <w:i w:val="1"/>
          <w:iCs w:val="1"/>
          <w:color w:val="auto"/>
        </w:rPr>
        <w:t>Methicillin-resistant Staphylococcus aureus (“MRSA”)</w:t>
      </w:r>
      <w:r>
        <w:rPr>
          <w:rFonts w:ascii="Arial" w:cs="Arial" w:eastAsia="Arial" w:hAnsi="Arial"/>
          <w:sz w:val="16"/>
          <w:szCs w:val="16"/>
          <w:color w:val="auto"/>
        </w:rPr>
        <w:t xml:space="preserve"> and </w:t>
      </w:r>
      <w:r>
        <w:rPr>
          <w:rFonts w:ascii="Arial" w:cs="Arial" w:eastAsia="Arial" w:hAnsi="Arial"/>
          <w:sz w:val="16"/>
          <w:szCs w:val="16"/>
          <w:i w:val="1"/>
          <w:iCs w:val="1"/>
          <w:color w:val="auto"/>
        </w:rPr>
        <w:t>Methicillin-sensitive Staphylococcus aureus (“MSSA”</w:t>
      </w:r>
      <w:r>
        <w:rPr>
          <w:rFonts w:ascii="Arial" w:cs="Arial" w:eastAsia="Arial" w:hAnsi="Arial"/>
          <w:sz w:val="16"/>
          <w:szCs w:val="16"/>
          <w:color w:val="auto"/>
        </w:rPr>
        <w:t>). Vibativ addresses a range of Gram-positive bacterial pathogens, including those that are considered difficult-to-treat and multidrug-resistant.</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Vibativ can serve as a potentially life-saving treatment in patients with hospital-acquired and ventilator-associated pneumonia resulting from infections including the flu, RSV and COVID-19.</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Pneumonia caused by secondary bacterial infections is common among patients with viral respiratory infections. The risk of such infections grows as hospitals see more patients with respiratory symptoms due to COVID-19. Research shows that hospital-acquired pneumonia (“HAP”) and ventilator-associated pneumonia (“VAP”) have historically accounted for 22% of common hospital-acquired infections. Methicillin-sensitive and methicillin-resistant </w:t>
      </w:r>
      <w:r>
        <w:rPr>
          <w:rFonts w:ascii="Arial" w:cs="Arial" w:eastAsia="Arial" w:hAnsi="Arial"/>
          <w:sz w:val="18"/>
          <w:szCs w:val="18"/>
          <w:i w:val="1"/>
          <w:iCs w:val="1"/>
          <w:color w:val="auto"/>
        </w:rPr>
        <w:t xml:space="preserve">S. aureus </w:t>
      </w:r>
      <w:r>
        <w:rPr>
          <w:rFonts w:ascii="Arial" w:cs="Arial" w:eastAsia="Arial" w:hAnsi="Arial"/>
          <w:sz w:val="18"/>
          <w:szCs w:val="18"/>
          <w:color w:val="auto"/>
        </w:rPr>
        <w:t>(“MSSA” and “MRSA”) are important disease-causing pathogens in these cases.</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many recently introduced antibiotics are quickly losing the battle to fight the bacteria they were designed to kill because those bacteria have become drug-resistant, Vibativ was specifically designed to kill drug-resistant bacteria.</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molecule of an existing antibiotic to which bacteria had developed a resistance, vancomycin, was altered by adding a lipophilic (fat-loving) component and a hydrophilic (water-loving) component. The lipophilic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increases Vibativ’s ability to penetrate the cell wall and inhibits the formation of new cell walls (the development of new and/or additional cell walls is the most common way that bacteria become resistant to drugs). The hydrophilic addition increases Vibativ’s penetration into tissue – so it is able to attack infections that are not reachable by other antibiotics. In comparison to vancomycin, Vibativ is 32 times more potent against MRSA strains when tested under in vitro conditions. Further, in clinical trials, Vibativ demonstrated superior cure rates of patients with hospital-acquired bacterial pneumonia.</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remain focused on promoting Vibativ in the U.S. market, we are building a network of other established companies to bring Vibativ to patients in their countries and territories. In March 2022, we announced the launch of Vibativ in Puerto Rico through a partnership with Verity Pharmaceuticals, who has a particular strength and experience in that market. Also in March 2022, we announced a new partnership with Saudi Arabia-based Tabuk Pharmaceutical to introduce Vibativ into the Middle East. The arrangement provides Tabuk exclusive rights to distribute Vibativ in Saudi Arabia and Jordan, with the option to expand into other countries in the region.</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Meanwhile, our Vibativ partner for the Chinese market, SciClone Pharmaceuticals, had their approval application in China accepted for review in September 2021. We have since been supporting SciClone and their requests associated with review of that submission. They are working toward the approval and SciClone believes that there is significant potential for Vibativ in their country.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Ifetroban Clinical Studies</w:t>
      </w:r>
    </w:p>
    <w:p>
      <w:pPr>
        <w:spacing w:after="0" w:line="162" w:lineRule="exact"/>
        <w:rPr>
          <w:sz w:val="20"/>
          <w:szCs w:val="20"/>
          <w:color w:val="auto"/>
        </w:rPr>
      </w:pPr>
    </w:p>
    <w:p>
      <w:pPr>
        <w:jc w:val="both"/>
        <w:ind w:firstLine="433"/>
        <w:spacing w:after="0" w:line="275" w:lineRule="auto"/>
        <w:rPr>
          <w:sz w:val="20"/>
          <w:szCs w:val="20"/>
          <w:color w:val="auto"/>
        </w:rPr>
      </w:pPr>
      <w:r>
        <w:rPr>
          <w:rFonts w:ascii="Arial" w:cs="Arial" w:eastAsia="Arial" w:hAnsi="Arial"/>
          <w:sz w:val="17"/>
          <w:szCs w:val="17"/>
          <w:color w:val="auto"/>
        </w:rPr>
        <w:t xml:space="preserve">Ifetroban is a selective thromboxane-prostanoid receptor (“TPr”) antagonist dosed in nearly 1,400 subjects and found to be safe and well tolerated in healthy volunteers and various patient populations. We are currently sponsoring a series of Phase II clinical programs to evaluate our ifetroban product candidates in 1) </w:t>
      </w:r>
      <w:r>
        <w:rPr>
          <w:rFonts w:ascii="Arial" w:cs="Arial" w:eastAsia="Arial" w:hAnsi="Arial"/>
          <w:sz w:val="17"/>
          <w:szCs w:val="17"/>
          <w:i w:val="1"/>
          <w:iCs w:val="1"/>
          <w:color w:val="auto"/>
        </w:rPr>
        <w:t>Aspirin-Exacerbated Respiratory Disease</w:t>
      </w:r>
      <w:r>
        <w:rPr>
          <w:rFonts w:ascii="Arial" w:cs="Arial" w:eastAsia="Arial" w:hAnsi="Arial"/>
          <w:sz w:val="17"/>
          <w:szCs w:val="17"/>
          <w:color w:val="auto"/>
        </w:rPr>
        <w:t xml:space="preserve">, a severe form of asthma, 2) </w:t>
      </w:r>
      <w:r>
        <w:rPr>
          <w:rFonts w:ascii="Arial" w:cs="Arial" w:eastAsia="Arial" w:hAnsi="Arial"/>
          <w:sz w:val="17"/>
          <w:szCs w:val="17"/>
          <w:i w:val="1"/>
          <w:iCs w:val="1"/>
          <w:color w:val="auto"/>
        </w:rPr>
        <w:t>Systemic Sclerosis</w:t>
      </w:r>
      <w:r>
        <w:rPr>
          <w:rFonts w:ascii="Arial" w:cs="Arial" w:eastAsia="Arial" w:hAnsi="Arial"/>
          <w:sz w:val="17"/>
          <w:szCs w:val="17"/>
          <w:color w:val="auto"/>
        </w:rPr>
        <w:t xml:space="preserve"> or scleroderma, a debilitating autoimmune disorder characterized by diffuse fibrosis of the skin and internal organs and 3) patients with cardiomyopathy associated with </w:t>
      </w:r>
      <w:r>
        <w:rPr>
          <w:rFonts w:ascii="Arial" w:cs="Arial" w:eastAsia="Arial" w:hAnsi="Arial"/>
          <w:sz w:val="17"/>
          <w:szCs w:val="17"/>
          <w:i w:val="1"/>
          <w:iCs w:val="1"/>
          <w:color w:val="auto"/>
        </w:rPr>
        <w:t>Duchenne Muscular</w:t>
      </w:r>
      <w:r>
        <w:rPr>
          <w:rFonts w:ascii="Arial" w:cs="Arial" w:eastAsia="Arial" w:hAnsi="Arial"/>
          <w:sz w:val="17"/>
          <w:szCs w:val="17"/>
          <w:color w:val="auto"/>
        </w:rPr>
        <w:t xml:space="preserve"> </w:t>
      </w:r>
      <w:r>
        <w:rPr>
          <w:rFonts w:ascii="Arial" w:cs="Arial" w:eastAsia="Arial" w:hAnsi="Arial"/>
          <w:sz w:val="17"/>
          <w:szCs w:val="17"/>
          <w:i w:val="1"/>
          <w:iCs w:val="1"/>
          <w:color w:val="auto"/>
        </w:rPr>
        <w:t>Dystrophy</w:t>
      </w:r>
      <w:r>
        <w:rPr>
          <w:rFonts w:ascii="Arial" w:cs="Arial" w:eastAsia="Arial" w:hAnsi="Arial"/>
          <w:sz w:val="17"/>
          <w:szCs w:val="17"/>
          <w:color w:val="auto"/>
        </w:rPr>
        <w:t>, a genetic neuromuscular disease that results in deterioration of the skeletal, heart and lung muscles.</w:t>
      </w:r>
    </w:p>
    <w:p>
      <w:pPr>
        <w:spacing w:after="0" w:line="109" w:lineRule="exact"/>
        <w:rPr>
          <w:sz w:val="20"/>
          <w:szCs w:val="20"/>
          <w:color w:val="auto"/>
        </w:rPr>
      </w:pPr>
    </w:p>
    <w:p>
      <w:pPr>
        <w:jc w:val="both"/>
        <w:ind w:firstLine="479"/>
        <w:spacing w:after="0" w:line="259" w:lineRule="auto"/>
        <w:rPr>
          <w:sz w:val="20"/>
          <w:szCs w:val="20"/>
          <w:color w:val="auto"/>
        </w:rPr>
      </w:pPr>
      <w:r>
        <w:rPr>
          <w:rFonts w:ascii="Arial" w:cs="Arial" w:eastAsia="Arial" w:hAnsi="Arial"/>
          <w:sz w:val="18"/>
          <w:szCs w:val="18"/>
          <w:color w:val="auto"/>
        </w:rPr>
        <w:t>Enrollment in our clinical studies was interrupted due to the COVID-19 pandemic. However, many of our clinical study sites have reopened and resumed screening of patients for potential participation into our studies during 2022. We also closed unproductive sites and opened qualified replacements during the year. We are awaiting results from the studies underway before deciding on the best development path for the registration of ifetroban, our first new chemical entity.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Following is more information about the clinical programs in which we are evaluating ifetroban: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Aspirin-Exacerbated Respiratory Disease (“AERD”)</w:t>
      </w:r>
    </w:p>
    <w:p>
      <w:pPr>
        <w:spacing w:after="0" w:line="15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We have completed the manufacturing and initiated clinical development of an oral formulation of ifetroban under the brand name Boxaban</w:t>
      </w:r>
      <w:r>
        <w:rPr>
          <w:rFonts w:ascii="Arial" w:cs="Arial" w:eastAsia="Arial" w:hAnsi="Arial"/>
          <w:sz w:val="20"/>
          <w:szCs w:val="20"/>
          <w:b w:val="1"/>
          <w:bCs w:val="1"/>
          <w:i w:val="1"/>
          <w:iCs w:val="1"/>
          <w:color w:val="auto"/>
          <w:vertAlign w:val="superscript"/>
        </w:rPr>
        <w:t>®</w:t>
      </w:r>
      <w:r>
        <w:rPr>
          <w:rFonts w:ascii="Arial" w:cs="Arial" w:eastAsia="Arial" w:hAnsi="Arial"/>
          <w:sz w:val="16"/>
          <w:szCs w:val="16"/>
          <w:color w:val="auto"/>
        </w:rPr>
        <w:t xml:space="preserve">. We are evaluating this candidate for patients suffering from </w:t>
      </w:r>
      <w:r>
        <w:rPr>
          <w:rFonts w:ascii="Arial" w:cs="Arial" w:eastAsia="Arial" w:hAnsi="Arial"/>
          <w:sz w:val="16"/>
          <w:szCs w:val="16"/>
          <w:i w:val="1"/>
          <w:iCs w:val="1"/>
          <w:color w:val="auto"/>
        </w:rPr>
        <w:t>Aspirin-Exacerbated Respiratory Disease</w:t>
      </w:r>
      <w:r>
        <w:rPr>
          <w:rFonts w:ascii="Arial" w:cs="Arial" w:eastAsia="Arial" w:hAnsi="Arial"/>
          <w:sz w:val="16"/>
          <w:szCs w:val="16"/>
          <w:color w:val="auto"/>
        </w:rPr>
        <w:t xml:space="preserve"> (“AERD”), also known as Samter’s Triad, a chronic medical condition that consists of three clinical features: asthma, sinus disease with nasal polyposis and sensitivity to aspirin. AERD is characterized by sharp increases in inflammatory mediators and platelet activity within the respiratory system. Approximately one in 20 asthmatic adults in the U.S. suffer from AERD and awareness of the disease is growing within the medical community. There is no U.S. approved pharmaceutical treatment for AERD.</w:t>
      </w:r>
    </w:p>
    <w:p>
      <w:pPr>
        <w:spacing w:after="0" w:line="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Researchers at Brigham and Women’s Hospital have completed an investigator-initiated study evaluating the impact of ifetroban on the aspirin desensitization process in patients with AERD. This single center study closed early due to poor patient accrual and exhausted funding. The researchers found no statistical difference in the dose of aspirin needed to provide an increase in an extended version of the patient’s total nasal symptom score. The researchers are pursuing a publication of the full study results. It should be noted that the results from this investigator study were inconsistent with the previously published preclinical findings that demonstrated ifetroban blockade inhibited all features of aspirin reactions in a model of AERD. It also differs in design from our corporate-sponsored AERD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3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We completed an initial Phase II clinical study at several U.S. medical centers led by the Scripps Research Institute entitled, </w:t>
      </w:r>
      <w:r>
        <w:rPr>
          <w:rFonts w:ascii="Arial" w:cs="Arial" w:eastAsia="Arial" w:hAnsi="Arial"/>
          <w:sz w:val="16"/>
          <w:szCs w:val="16"/>
          <w:i w:val="1"/>
          <w:iCs w:val="1"/>
          <w:color w:val="auto"/>
        </w:rPr>
        <w:t>A Multicenter,</w:t>
      </w:r>
      <w:r>
        <w:rPr>
          <w:rFonts w:ascii="Arial" w:cs="Arial" w:eastAsia="Arial" w:hAnsi="Arial"/>
          <w:sz w:val="16"/>
          <w:szCs w:val="16"/>
          <w:color w:val="auto"/>
        </w:rPr>
        <w:t xml:space="preserve"> </w:t>
      </w:r>
      <w:r>
        <w:rPr>
          <w:rFonts w:ascii="Arial" w:cs="Arial" w:eastAsia="Arial" w:hAnsi="Arial"/>
          <w:sz w:val="16"/>
          <w:szCs w:val="16"/>
          <w:i w:val="1"/>
          <w:iCs w:val="1"/>
          <w:color w:val="auto"/>
        </w:rPr>
        <w:t>Double-blind, Randomized, Placebo-Controlled Trial to Determine the Safety of Oral Ifetroban in Patients with a History of AERD</w:t>
      </w:r>
      <w:r>
        <w:rPr>
          <w:rFonts w:ascii="Arial" w:cs="Arial" w:eastAsia="Arial" w:hAnsi="Arial"/>
          <w:sz w:val="16"/>
          <w:szCs w:val="16"/>
          <w:color w:val="auto"/>
        </w:rPr>
        <w:t>. That study randomized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16 subjects 3:1 (ifetroban: placebo), demonstrated no safety concerns and provided several signals of efficacy. A follow-on phase II study designed to evaluate the safety and efficacy of eight weeks of oral ifetroban entitled, </w:t>
      </w:r>
      <w:r>
        <w:rPr>
          <w:rFonts w:ascii="Arial" w:cs="Arial" w:eastAsia="Arial" w:hAnsi="Arial"/>
          <w:sz w:val="16"/>
          <w:szCs w:val="16"/>
          <w:i w:val="1"/>
          <w:iCs w:val="1"/>
          <w:color w:val="auto"/>
        </w:rPr>
        <w:t>A Phase 2 Multicenter, Double-blind, Randomized, Placebo- Controlled Trial to</w:t>
      </w:r>
      <w:r>
        <w:rPr>
          <w:rFonts w:ascii="Arial" w:cs="Arial" w:eastAsia="Arial" w:hAnsi="Arial"/>
          <w:sz w:val="16"/>
          <w:szCs w:val="16"/>
          <w:color w:val="auto"/>
        </w:rPr>
        <w:t xml:space="preserve"> </w:t>
      </w:r>
      <w:r>
        <w:rPr>
          <w:rFonts w:ascii="Arial" w:cs="Arial" w:eastAsia="Arial" w:hAnsi="Arial"/>
          <w:sz w:val="16"/>
          <w:szCs w:val="16"/>
          <w:i w:val="1"/>
          <w:iCs w:val="1"/>
          <w:color w:val="auto"/>
        </w:rPr>
        <w:t>Evaluate Oral Ifetroban in Subjects with Symptomatic Aspirin Exacerbated Respiratory Disease (“AERD”)</w:t>
      </w:r>
      <w:r>
        <w:rPr>
          <w:rFonts w:ascii="Arial" w:cs="Arial" w:eastAsia="Arial" w:hAnsi="Arial"/>
          <w:sz w:val="16"/>
          <w:szCs w:val="16"/>
          <w:color w:val="auto"/>
        </w:rPr>
        <w:t>, was then initiated. The patient enrollment in</w:t>
      </w:r>
      <w:r>
        <w:rPr>
          <w:rFonts w:ascii="Arial" w:cs="Arial" w:eastAsia="Arial" w:hAnsi="Arial"/>
          <w:sz w:val="16"/>
          <w:szCs w:val="16"/>
          <w:i w:val="1"/>
          <w:iCs w:val="1"/>
          <w:color w:val="auto"/>
        </w:rPr>
        <w:t xml:space="preserve"> </w:t>
      </w:r>
      <w:r>
        <w:rPr>
          <w:rFonts w:ascii="Arial" w:cs="Arial" w:eastAsia="Arial" w:hAnsi="Arial"/>
          <w:sz w:val="16"/>
          <w:szCs w:val="16"/>
          <w:color w:val="auto"/>
        </w:rPr>
        <w:t>that study is now closed, and we are awaiting the completion of the data analysis and availability of top line study results.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Systemic Sclerosis (“SSc”)</w:t>
      </w:r>
    </w:p>
    <w:p>
      <w:pPr>
        <w:spacing w:after="0" w:line="15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We have also initiated the clinical development of ifetroban oral capsules under the brand name Vasculan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for the treatment of </w:t>
      </w:r>
      <w:r>
        <w:rPr>
          <w:rFonts w:ascii="Arial" w:cs="Arial" w:eastAsia="Arial" w:hAnsi="Arial"/>
          <w:sz w:val="16"/>
          <w:szCs w:val="16"/>
          <w:i w:val="1"/>
          <w:iCs w:val="1"/>
          <w:color w:val="auto"/>
        </w:rPr>
        <w:t>Systemic sclerosis</w:t>
      </w:r>
      <w:r>
        <w:rPr>
          <w:rFonts w:ascii="Arial" w:cs="Arial" w:eastAsia="Arial" w:hAnsi="Arial"/>
          <w:sz w:val="16"/>
          <w:szCs w:val="16"/>
          <w:color w:val="auto"/>
        </w:rPr>
        <w:t>, also called scleroderma. It’s a debilitating autoimmune disorder characterized by diffuse fibrosis of the skin and internal organs, including the heart, as well as vascular dysfunction. SSc has a high morbidity and the highest case-specific mortality of any rheumatic disorder, with 50% of patients dying or developing major internal organ complications within three years of diagnosis. Although several medications are used to treat the skin disease associated with SSc, there is no universally effective treatment to improve the function of affected internal organs including the cardiovascular system.</w:t>
      </w:r>
    </w:p>
    <w:p>
      <w:pPr>
        <w:spacing w:after="0" w:line="1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Cardiac involvement associated with SSc is often underestimated due to its subtle and atypical presentation. Despite the cardiovascular events associated with its elevated mortality at later stages of the disease, overt signs are suggestive of advance disease including myocardial or pericardial inflammation, heart failure and pulmonary arterial hypertension (“PAH”).</w:t>
      </w:r>
    </w:p>
    <w:p>
      <w:pPr>
        <w:spacing w:after="0" w:line="1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Vanderbilt collaborators completed preclinical studies demonstrating TPr blockade with ifetroban prevents cardiac fibrosis and can restore cardiac function in animal models of PAH.</w:t>
      </w:r>
    </w:p>
    <w:p>
      <w:pPr>
        <w:spacing w:after="0" w:line="10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FDA cleared our Investigational New Drug (IND) application to evaluate 12 months of oral ifetroban (Vasculan) in a 34-subject phase II trial entitled, A </w:t>
      </w:r>
      <w:r>
        <w:rPr>
          <w:rFonts w:ascii="Arial" w:cs="Arial" w:eastAsia="Arial" w:hAnsi="Arial"/>
          <w:sz w:val="17"/>
          <w:szCs w:val="17"/>
          <w:i w:val="1"/>
          <w:iCs w:val="1"/>
          <w:color w:val="auto"/>
        </w:rPr>
        <w:t>Phase II Randomized, Double-Blind, Placebo-Controlled Study to Assess the Safety and Efficacy of Ifetroban in Patients with Diffuse Cutaneous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Systemic Sclerosis or Systemic Sclerosis-Associated Pulmonary Arterial Hypertension. </w:t>
      </w:r>
      <w:r>
        <w:rPr>
          <w:rFonts w:ascii="Arial" w:cs="Arial" w:eastAsia="Arial" w:hAnsi="Arial"/>
          <w:sz w:val="17"/>
          <w:szCs w:val="17"/>
          <w:color w:val="auto"/>
        </w:rPr>
        <w:t>Enrollment in this study is well underway and includes patients with</w:t>
      </w:r>
      <w:r>
        <w:rPr>
          <w:rFonts w:ascii="Arial" w:cs="Arial" w:eastAsia="Arial" w:hAnsi="Arial"/>
          <w:sz w:val="17"/>
          <w:szCs w:val="17"/>
          <w:i w:val="1"/>
          <w:iCs w:val="1"/>
          <w:color w:val="auto"/>
        </w:rPr>
        <w:t xml:space="preserve"> </w:t>
      </w:r>
      <w:r>
        <w:rPr>
          <w:rFonts w:ascii="Arial" w:cs="Arial" w:eastAsia="Arial" w:hAnsi="Arial"/>
          <w:sz w:val="17"/>
          <w:szCs w:val="17"/>
          <w:color w:val="auto"/>
        </w:rPr>
        <w:t>diffuse cutaneous SSc, as well as those with pulmonary arterial hypertension associated with their SSc.</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Duchenne Muscular Dystrophy (“DMD”)</w:t>
      </w:r>
    </w:p>
    <w:p>
      <w:pPr>
        <w:spacing w:after="0" w:line="14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6"/>
          <w:szCs w:val="16"/>
          <w:color w:val="auto"/>
        </w:rPr>
        <w:t>We also initiated the clinical development of oral ifetroban under the brand name Dyscorban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for the treatment of cardiomyopathy associated with </w:t>
      </w:r>
      <w:r>
        <w:rPr>
          <w:rFonts w:ascii="Arial" w:cs="Arial" w:eastAsia="Arial" w:hAnsi="Arial"/>
          <w:sz w:val="16"/>
          <w:szCs w:val="16"/>
          <w:i w:val="1"/>
          <w:iCs w:val="1"/>
          <w:color w:val="auto"/>
        </w:rPr>
        <w:t xml:space="preserve">Duchenne Muscular Dystrophy </w:t>
      </w:r>
      <w:r>
        <w:rPr>
          <w:rFonts w:ascii="Arial" w:cs="Arial" w:eastAsia="Arial" w:hAnsi="Arial"/>
          <w:sz w:val="16"/>
          <w:szCs w:val="16"/>
          <w:color w:val="auto"/>
        </w:rPr>
        <w:t>(“DMD”), a rare and fatal disease caused by a genetic defect which leads to inexorable muscle damage. Cardiomyopathy is</w:t>
      </w:r>
      <w:r>
        <w:rPr>
          <w:rFonts w:ascii="Arial" w:cs="Arial" w:eastAsia="Arial" w:hAnsi="Arial"/>
          <w:sz w:val="16"/>
          <w:szCs w:val="16"/>
          <w:i w:val="1"/>
          <w:iCs w:val="1"/>
          <w:color w:val="auto"/>
        </w:rPr>
        <w:t xml:space="preserve"> </w:t>
      </w:r>
      <w:r>
        <w:rPr>
          <w:rFonts w:ascii="Arial" w:cs="Arial" w:eastAsia="Arial" w:hAnsi="Arial"/>
          <w:sz w:val="16"/>
          <w:szCs w:val="16"/>
          <w:color w:val="auto"/>
        </w:rPr>
        <w:t>the leading cause of death in DMD patients. TPr and its ligand, isoprostanes, are found to have increased in DMD patients.</w:t>
      </w:r>
    </w:p>
    <w:p>
      <w:pPr>
        <w:spacing w:after="0" w:line="10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Preclinical studies by our Vanderbilt collaborators demonstrated TPr blockade by ifetroban prevented cardiac dysfunction and improved mortality in several animal models of muscular dystrophy. These results, published in the </w:t>
      </w:r>
      <w:r>
        <w:rPr>
          <w:rFonts w:ascii="Arial" w:cs="Arial" w:eastAsia="Arial" w:hAnsi="Arial"/>
          <w:sz w:val="17"/>
          <w:szCs w:val="17"/>
          <w:i w:val="1"/>
          <w:iCs w:val="1"/>
          <w:color w:val="auto"/>
        </w:rPr>
        <w:t>Journal of the American Heart Association,</w:t>
      </w:r>
      <w:r>
        <w:rPr>
          <w:rFonts w:ascii="Arial" w:cs="Arial" w:eastAsia="Arial" w:hAnsi="Arial"/>
          <w:sz w:val="17"/>
          <w:szCs w:val="17"/>
          <w:color w:val="auto"/>
        </w:rPr>
        <w:t xml:space="preserve"> suggest TPr activation contributes to DMD cardiomyopathy and blockade with ifetroban may serve as a novel therapeutic for DMD patients.</w:t>
      </w:r>
    </w:p>
    <w:p>
      <w:pPr>
        <w:spacing w:after="0" w:line="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FDA cleared Cumberland’s IND application to evaluate 12 months of oral ifetroban (Dyscorban) in a Phase II study entitled, </w:t>
      </w:r>
      <w:r>
        <w:rPr>
          <w:rFonts w:ascii="Arial" w:cs="Arial" w:eastAsia="Arial" w:hAnsi="Arial"/>
          <w:sz w:val="17"/>
          <w:szCs w:val="17"/>
          <w:i w:val="1"/>
          <w:iCs w:val="1"/>
          <w:color w:val="auto"/>
        </w:rPr>
        <w:t>A Randomized,</w:t>
      </w:r>
      <w:r>
        <w:rPr>
          <w:rFonts w:ascii="Arial" w:cs="Arial" w:eastAsia="Arial" w:hAnsi="Arial"/>
          <w:sz w:val="17"/>
          <w:szCs w:val="17"/>
          <w:color w:val="auto"/>
        </w:rPr>
        <w:t xml:space="preserve"> </w:t>
      </w:r>
      <w:r>
        <w:rPr>
          <w:rFonts w:ascii="Arial" w:cs="Arial" w:eastAsia="Arial" w:hAnsi="Arial"/>
          <w:sz w:val="17"/>
          <w:szCs w:val="17"/>
          <w:i w:val="1"/>
          <w:iCs w:val="1"/>
          <w:color w:val="auto"/>
        </w:rPr>
        <w:t>Double-Blind, Placebo-Controlled, Multiple Dose Study with an Open-Label Extension to Determine the Safety, Pharmacokinetics and Efficacy of Oral Ifetroban in Subjects with Duchenne Muscular Dystrophy</w:t>
      </w:r>
      <w:r>
        <w:rPr>
          <w:rFonts w:ascii="Arial" w:cs="Arial" w:eastAsia="Arial" w:hAnsi="Arial"/>
          <w:sz w:val="17"/>
          <w:szCs w:val="17"/>
          <w:color w:val="auto"/>
        </w:rPr>
        <w:t>. With medical centers across the U.S. screening patients, our clinical study is enrolling those with</w:t>
      </w:r>
      <w:r>
        <w:rPr>
          <w:rFonts w:ascii="Arial" w:cs="Arial" w:eastAsia="Arial" w:hAnsi="Arial"/>
          <w:sz w:val="17"/>
          <w:szCs w:val="17"/>
          <w:i w:val="1"/>
          <w:iCs w:val="1"/>
          <w:color w:val="auto"/>
        </w:rPr>
        <w:t xml:space="preserve"> </w:t>
      </w:r>
      <w:r>
        <w:rPr>
          <w:rFonts w:ascii="Arial" w:cs="Arial" w:eastAsia="Arial" w:hAnsi="Arial"/>
          <w:sz w:val="17"/>
          <w:szCs w:val="17"/>
          <w:color w:val="auto"/>
        </w:rPr>
        <w:t>48 ambulatory and non-ambulatory DMD, 7 years of age and older with stable cardiac function.</w:t>
      </w:r>
    </w:p>
    <w:p>
      <w:pPr>
        <w:spacing w:after="0" w:line="9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Cumberland was awarded just over $1 million in federal funding to support this clinical trial, which is the first DMD clinical study awarded FDA Orphan Product Development funding. As a result of the COVID-19 pandemic and its global impact on clinical research in 2020, the FDA awarded a supplemental grant in support of our Phase II DMD study. During 2022, patient enrollment in this DMD study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Progressive Fibrosing Interstitial Lung Diseases</w:t>
      </w:r>
    </w:p>
    <w:p>
      <w:pPr>
        <w:spacing w:after="0" w:line="14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In September 2021, our Board of Directors approved a new clinical program for the use of ifetroban to treat </w:t>
      </w:r>
      <w:r>
        <w:rPr>
          <w:rFonts w:ascii="Arial" w:cs="Arial" w:eastAsia="Arial" w:hAnsi="Arial"/>
          <w:sz w:val="18"/>
          <w:szCs w:val="18"/>
          <w:i w:val="1"/>
          <w:iCs w:val="1"/>
          <w:color w:val="auto"/>
        </w:rPr>
        <w:t>Progressive Fibrosing Interstitial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Lung Diseases </w:t>
      </w:r>
      <w:r>
        <w:rPr>
          <w:rFonts w:ascii="Arial" w:cs="Arial" w:eastAsia="Arial" w:hAnsi="Arial"/>
          <w:sz w:val="18"/>
          <w:szCs w:val="18"/>
          <w:color w:val="auto"/>
        </w:rPr>
        <w:t>(“PF-ILDs”). Nonclinical studies are complete, and the resulting manuscript was prepared and submitted for publication in 2021. A Phase II</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study is planned and an application to the FDA is in preparation to support this new clinical program.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Ifetroban Programs</w:t>
      </w:r>
    </w:p>
    <w:p>
      <w:pPr>
        <w:spacing w:after="0" w:line="15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have also completed Phase II clinical programs with ifetroban in patients with Hepatorenal Syndrome (“HRS”) and patients with Portal Hypertension (“PH”). Additional preclinical and pilot clinical studies of ifetroban are underway, including several investigator-initiated trials.</w:t>
      </w:r>
    </w:p>
    <w:p>
      <w:pPr>
        <w:spacing w:after="0" w:line="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plan going forward is to complete each of our Company-sponsored studies, analyze their final data, announce top-line results and decide on the best development path for the registration of ifetroban, which we continue to believe has the potential to benefit many patients with orphan diseases that represent unmet medical needs.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Hospital Product Candidate</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Cumberland was responsible for the formulation, development and FDA approval of both Acetadote and Caldolor. Our Medical Advisory Board has helped us identify additional opportunities that address unmet or poorly met medical needs. As a result, Cumberland has successfully designed, formulated and completed the preclinical studies for a cholesterol-reducing agent for use in the hospital setting.</w:t>
      </w:r>
    </w:p>
    <w:p>
      <w:pPr>
        <w:spacing w:after="0" w:line="1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completed a Phase I study which defined the pharmacokinetic properties and provided a favorable safety profile for this new product candidate. The study results and a proposed clinical development plan were discussed with the FDA. A Phase II study has been initiated and patient enrollment is complete. We have also completed the clinical study report, filed it with the FDA and continue to consider any next steps for this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Cumberland’s growth strategy involves maximizing the potential of our existing brands while continuing to build a portfolio of differentiated products. We currently feature eight products approved by the FDA in the United States. We are also continuing to explore international partnerships to bring our medicines to patients in other countries. Additionally, we look for opportunities to expand our products into additional patient populations through clinical trials, new presentations and our support of select, investigator-initiated studies. We actively pursue opportunities to acquire additional marketed products as well as late-stage development product candidates in our target medical specialties. Our clinical team is developing a pipeline of new product candidates largely to address poorly met medical needs.</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supplementing these activities with the earlier-stage drug development at Cumberland Emerging Technologies (“CET”), our majority-owned subsidiary. CET partners with academic research institutions to identify and support the progress of promising new product candidates, which Cumberland has the opportunity to further develop and commercialize. Specifically, we are seeking long-term, sustainable growth by:</w:t>
      </w:r>
    </w:p>
    <w:p>
      <w:pPr>
        <w:spacing w:after="0" w:line="94" w:lineRule="exact"/>
        <w:rPr>
          <w:sz w:val="20"/>
          <w:szCs w:val="20"/>
          <w:color w:val="auto"/>
        </w:rPr>
      </w:pPr>
    </w:p>
    <w:p>
      <w:pPr>
        <w:jc w:val="both"/>
        <w:ind w:left="660" w:hanging="328"/>
        <w:spacing w:after="0" w:line="281"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Supporting and expanding the use of our marketed products. </w:t>
      </w:r>
      <w:r>
        <w:rPr>
          <w:rFonts w:ascii="Arial" w:cs="Arial" w:eastAsia="Arial" w:hAnsi="Arial"/>
          <w:sz w:val="17"/>
          <w:szCs w:val="17"/>
          <w:color w:val="auto"/>
        </w:rPr>
        <w:t>We continue to evaluate our products following their FDA approval to determine</w:t>
      </w:r>
      <w:r>
        <w:rPr>
          <w:rFonts w:ascii="Arial" w:cs="Arial" w:eastAsia="Arial" w:hAnsi="Arial"/>
          <w:sz w:val="17"/>
          <w:szCs w:val="17"/>
          <w:b w:val="1"/>
          <w:bCs w:val="1"/>
          <w:color w:val="auto"/>
        </w:rPr>
        <w:t xml:space="preserve"> </w:t>
      </w:r>
      <w:r>
        <w:rPr>
          <w:rFonts w:ascii="Arial" w:cs="Arial" w:eastAsia="Arial" w:hAnsi="Arial"/>
          <w:sz w:val="17"/>
          <w:szCs w:val="17"/>
          <w:color w:val="auto"/>
        </w:rPr>
        <w:t>if additional clinical data could expand their market and use. For example, we have secured pediatric approval of Acetadote and Caldolor and are expanding the labeling for both brands accordingly. We also recently further expanded the labeling for Caldolor to allow its use prior to surgery. We will continue to explore such opportunities to bring our products to new patient populations.</w:t>
      </w:r>
    </w:p>
    <w:p>
      <w:pPr>
        <w:spacing w:after="0" w:line="83" w:lineRule="exact"/>
        <w:rPr>
          <w:rFonts w:ascii="Arial" w:cs="Arial" w:eastAsia="Arial" w:hAnsi="Arial"/>
          <w:sz w:val="17"/>
          <w:szCs w:val="17"/>
          <w:color w:val="auto"/>
        </w:rPr>
      </w:pPr>
    </w:p>
    <w:p>
      <w:pPr>
        <w:jc w:val="both"/>
        <w:ind w:left="66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Selectively adding complementary brands. </w:t>
      </w:r>
      <w:r>
        <w:rPr>
          <w:rFonts w:ascii="Arial" w:cs="Arial" w:eastAsia="Arial" w:hAnsi="Arial"/>
          <w:sz w:val="18"/>
          <w:szCs w:val="18"/>
          <w:color w:val="auto"/>
        </w:rPr>
        <w:t>In addition to our product development activities, we are also seeking to acquire products or late-stage development product candidates to continue to build a portfolio of complementary brands. We focus on under-promoted, FDA-approved drugs as well as late-stage development products that address poorly met medical needs. We will continue to target product acquisition candidates that are competitively differentiated, have valuable intellectual property or other protective features, and allow us to leverage our existing infrastructure. Our acquisition of Sancuso is an example of this strategy.</w:t>
      </w:r>
    </w:p>
    <w:p>
      <w:pPr>
        <w:spacing w:after="0" w:line="115"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Progressing our clinical pipeline and incubating future product opportunities at CET. </w:t>
      </w:r>
      <w:r>
        <w:rPr>
          <w:rFonts w:ascii="Arial" w:cs="Arial" w:eastAsia="Arial" w:hAnsi="Arial"/>
          <w:sz w:val="18"/>
          <w:szCs w:val="18"/>
          <w:color w:val="auto"/>
        </w:rPr>
        <w:t>We believe it is important to build a pipeline of</w:t>
      </w:r>
      <w:r>
        <w:rPr>
          <w:rFonts w:ascii="Arial" w:cs="Arial" w:eastAsia="Arial" w:hAnsi="Arial"/>
          <w:sz w:val="18"/>
          <w:szCs w:val="18"/>
          <w:b w:val="1"/>
          <w:bCs w:val="1"/>
          <w:color w:val="auto"/>
        </w:rPr>
        <w:t xml:space="preserve"> </w:t>
      </w:r>
      <w:r>
        <w:rPr>
          <w:rFonts w:ascii="Arial" w:cs="Arial" w:eastAsia="Arial" w:hAnsi="Arial"/>
          <w:sz w:val="18"/>
          <w:szCs w:val="18"/>
          <w:color w:val="auto"/>
        </w:rPr>
        <w:t>innovative new product opportunities, as we are doing through our ifetroban Phase II development programs. We are also supplementing our acquisitions and late-stage development activities with early-stage drug development activities with CET.</w:t>
      </w:r>
    </w:p>
    <w:p>
      <w:pPr>
        <w:spacing w:after="0" w:line="108" w:lineRule="exact"/>
        <w:rPr>
          <w:rFonts w:ascii="Arial" w:cs="Arial" w:eastAsia="Arial" w:hAnsi="Arial"/>
          <w:sz w:val="18"/>
          <w:szCs w:val="18"/>
          <w:color w:val="auto"/>
        </w:rPr>
      </w:pPr>
    </w:p>
    <w:p>
      <w:pPr>
        <w:jc w:val="both"/>
        <w:ind w:left="660" w:hanging="328"/>
        <w:spacing w:after="0" w:line="289"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Leveraging our infrastructure through co-promotion partnerships. </w:t>
      </w:r>
      <w:r>
        <w:rPr>
          <w:rFonts w:ascii="Arial" w:cs="Arial" w:eastAsia="Arial" w:hAnsi="Arial"/>
          <w:sz w:val="17"/>
          <w:szCs w:val="17"/>
          <w:color w:val="auto"/>
        </w:rPr>
        <w:t>We believe that our commercial infrastructure can help drive prescription</w:t>
      </w:r>
      <w:r>
        <w:rPr>
          <w:rFonts w:ascii="Arial" w:cs="Arial" w:eastAsia="Arial" w:hAnsi="Arial"/>
          <w:sz w:val="17"/>
          <w:szCs w:val="17"/>
          <w:b w:val="1"/>
          <w:bCs w:val="1"/>
          <w:color w:val="auto"/>
        </w:rPr>
        <w:t xml:space="preserve"> </w:t>
      </w:r>
      <w:r>
        <w:rPr>
          <w:rFonts w:ascii="Arial" w:cs="Arial" w:eastAsia="Arial" w:hAnsi="Arial"/>
          <w:sz w:val="17"/>
          <w:szCs w:val="17"/>
          <w:color w:val="auto"/>
        </w:rPr>
        <w:t>volume and product sales. We look for strategic partners that can complement our capabilities and enhance opportunities for our brands. For example, our co-promotion partnerships have allowed us to expand the support for Kristalose across the U.S.</w:t>
      </w:r>
    </w:p>
    <w:p>
      <w:pPr>
        <w:spacing w:after="0" w:line="76" w:lineRule="exact"/>
        <w:rPr>
          <w:rFonts w:ascii="Arial" w:cs="Arial" w:eastAsia="Arial" w:hAnsi="Arial"/>
          <w:sz w:val="17"/>
          <w:szCs w:val="17"/>
          <w:color w:val="auto"/>
        </w:rPr>
      </w:pPr>
    </w:p>
    <w:p>
      <w:pPr>
        <w:jc w:val="both"/>
        <w:ind w:left="66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Building an international contribution to our business. </w:t>
      </w:r>
      <w:r>
        <w:rPr>
          <w:rFonts w:ascii="Arial" w:cs="Arial" w:eastAsia="Arial" w:hAnsi="Arial"/>
          <w:sz w:val="18"/>
          <w:szCs w:val="18"/>
          <w:color w:val="auto"/>
        </w:rPr>
        <w:t>We have established our own commercial capabilities, including three sales divisions,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to cover the U.S. market for our products. We are also building a network of select international partners to register our products and make them available to patients in their countries. We will continue to develop our network of international partners while supporting our partners’ registration and commercialization efforts in their respective territories. The acquisition of Vibativ resulted in several new international partners and market opportunities. For example, we have new partnerships Tabuk Pharmaceutical for Vibativ in Saudi Arabia and PiSA Pharmaceutical for Caldolor in Mexico.</w:t>
      </w:r>
    </w:p>
    <w:p>
      <w:pPr>
        <w:spacing w:after="0" w:line="119" w:lineRule="exact"/>
        <w:rPr>
          <w:rFonts w:ascii="Arial" w:cs="Arial" w:eastAsia="Arial" w:hAnsi="Arial"/>
          <w:sz w:val="18"/>
          <w:szCs w:val="18"/>
          <w:color w:val="auto"/>
        </w:rPr>
      </w:pPr>
    </w:p>
    <w:p>
      <w:pPr>
        <w:jc w:val="both"/>
        <w:ind w:left="660" w:right="20" w:hanging="328"/>
        <w:spacing w:after="0" w:line="347"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Managing our operations with financial discipline. </w:t>
      </w:r>
      <w:r>
        <w:rPr>
          <w:rFonts w:ascii="Arial" w:cs="Arial" w:eastAsia="Arial" w:hAnsi="Arial"/>
          <w:sz w:val="16"/>
          <w:szCs w:val="16"/>
          <w:color w:val="auto"/>
        </w:rPr>
        <w:t>We continually work to manage our expenses in line with our revenues in order to deliver</w:t>
      </w:r>
      <w:r>
        <w:rPr>
          <w:rFonts w:ascii="Arial" w:cs="Arial" w:eastAsia="Arial" w:hAnsi="Arial"/>
          <w:sz w:val="16"/>
          <w:szCs w:val="16"/>
          <w:b w:val="1"/>
          <w:bCs w:val="1"/>
          <w:color w:val="auto"/>
        </w:rPr>
        <w:t xml:space="preserve"> </w:t>
      </w:r>
      <w:r>
        <w:rPr>
          <w:rFonts w:ascii="Arial" w:cs="Arial" w:eastAsia="Arial" w:hAnsi="Arial"/>
          <w:sz w:val="16"/>
          <w:szCs w:val="16"/>
          <w:color w:val="auto"/>
        </w:rPr>
        <w:t>positive cash flow from operations. We remain in a strong financial position, with favorable gross margins and positive cash flow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9"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Cumberland's sales and marketing team has broad industry experience in selling branded pharmaceuticals. Our sales and marketing executives direct our national marketing campaigns and maintain key national account relationships. They also manage our dedicated hospital, field and oncology sales forces, which are comprised of approximately 60 sales professionals.</w:t>
      </w:r>
    </w:p>
    <w:p>
      <w:pPr>
        <w:spacing w:after="0" w:line="6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b w:val="1"/>
          <w:bCs w:val="1"/>
          <w:i w:val="1"/>
          <w:iCs w:val="1"/>
          <w:color w:val="auto"/>
        </w:rPr>
        <w:t xml:space="preserve">Hospital market: </w:t>
      </w:r>
      <w:r>
        <w:rPr>
          <w:rFonts w:ascii="Arial" w:cs="Arial" w:eastAsia="Arial" w:hAnsi="Arial"/>
          <w:sz w:val="18"/>
          <w:szCs w:val="18"/>
          <w:color w:val="auto"/>
        </w:rPr>
        <w:t>We promote Caldolor, Vaprisol, Acetadote and Vibativ through our dedicated hospital sales division. This organization targets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key hospitals across the U.S. and is comprised of sales professionals with substantial experience in the hospital market. Independent market data continues to indicate that the majority of pharmaceutical promotional spending is directed toward large, outpatient markets on drugs intended for chronic use rather than short-term, hospital use.</w:t>
      </w:r>
    </w:p>
    <w:p>
      <w:pPr>
        <w:spacing w:after="0" w:line="10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We believe the hospital market is under-served and highly concentrated, and that it can be penetrated effectively by a small, dedicated sales force without large-scale promotional activity. Our established position in the hospital market provided the rationale for adding Vibativ as our first infectious disease product that complements our hospital product line. Our strategy has been to focus our hospital sales team on select, high-priority accounts.</w:t>
      </w:r>
    </w:p>
    <w:p>
      <w:pPr>
        <w:spacing w:after="0" w:line="11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b w:val="1"/>
          <w:bCs w:val="1"/>
          <w:i w:val="1"/>
          <w:iCs w:val="1"/>
          <w:color w:val="auto"/>
        </w:rPr>
        <w:t xml:space="preserve">Gastroenterology market: </w:t>
      </w:r>
      <w:r>
        <w:rPr>
          <w:rFonts w:ascii="Arial" w:cs="Arial" w:eastAsia="Arial" w:hAnsi="Arial"/>
          <w:sz w:val="18"/>
          <w:szCs w:val="18"/>
          <w:color w:val="auto"/>
        </w:rPr>
        <w:t>We promote Kristalose and Omeclamox-Pak through a dedicated field sales team addressing a targeted group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physicians who are large prescribers of the products. Because the market for gastrointestinal diseases is broad in-patient scope, yet relatively narrow in physician base, we believe it provides opportunities that can be penetrated with a modest-sized sales force. We also believe that we can increase market share for these products through our sales and marketing activities.</w:t>
      </w:r>
    </w:p>
    <w:p>
      <w:pPr>
        <w:spacing w:after="0" w:line="11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b w:val="1"/>
          <w:bCs w:val="1"/>
          <w:i w:val="1"/>
          <w:iCs w:val="1"/>
          <w:color w:val="auto"/>
        </w:rPr>
        <w:t xml:space="preserve">Oncology market: </w:t>
      </w:r>
      <w:r>
        <w:rPr>
          <w:rFonts w:ascii="Arial" w:cs="Arial" w:eastAsia="Arial" w:hAnsi="Arial"/>
          <w:sz w:val="18"/>
          <w:szCs w:val="18"/>
          <w:color w:val="auto"/>
        </w:rPr>
        <w:t>In early 2022, we formed a new oncology sales force to promote our Sancuso brand. This organization targets key oncologists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clinics across the U.S. and is comprised of both inside and field-based sales professionals. The division is initially comprised of seven individuals who formerly supported Sancuso for Kyowa Kirin. This initial group can be expanded through additional personnel or augmented through co-promotion arrangements.</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commercial executives conduct ongoing analyses to evaluate marketing campaigns and promotional programs in support of our brands. The evaluations include development of product profiles, testing of the profiles against the needs of the market, determining what additional product information or development work is needed to effectively market the products and preparing financial forecasts.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utilize professional branding and packaging as well as promotional items to support our products, including direct mail, sales brochures, journal advertising, educational and reminder leave-behinds, patient educational pieces, coupons and product sampling. We also regularly attend select medical meetings and trade shows to expand the awareness of our products.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national accounts team is responsible for key large buyers and related marketing programs. This team maintains relationships with our wholesaler customers as well as with third-party payors such as group purchasing organizations, pharmacy benefit managers, hospital buying groups, outpatient centers, state and federal government purchasers, and health insurance companies.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CUSTOMERS</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primary customers are wholesale pharmaceutical distributors in the United States. Total revenue by customer for each customer representing 10% or more of consolidated gross revenues are summarized below for the year ended December 31, 2022:</w:t>
      </w:r>
    </w:p>
    <w:p>
      <w:pPr>
        <w:spacing w:after="0" w:line="130" w:lineRule="exact"/>
        <w:rPr>
          <w:sz w:val="20"/>
          <w:szCs w:val="20"/>
          <w:color w:val="auto"/>
        </w:rPr>
      </w:pPr>
    </w:p>
    <w:tbl>
      <w:tblPr>
        <w:tblLayout w:type="fixed"/>
        <w:tblInd w:w="2920" w:type="dxa"/>
        <w:tblCellMar>
          <w:top w:w="0" w:type="dxa"/>
          <w:left w:w="0" w:type="dxa"/>
          <w:bottom w:w="0" w:type="dxa"/>
          <w:right w:w="0" w:type="dxa"/>
        </w:tblCellMar>
      </w:tblPr>
      <w:tr>
        <w:trPr>
          <w:trHeight w:val="213"/>
        </w:trPr>
        <w:tc>
          <w:tcPr>
            <w:tcW w:w="35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CCEEFF"/>
            </w:tcBorders>
          </w:tcPr>
          <w:p>
            <w:pPr>
              <w:spacing w:after="0"/>
              <w:rPr>
                <w:sz w:val="18"/>
                <w:szCs w:val="18"/>
                <w:color w:val="auto"/>
              </w:rPr>
            </w:pPr>
          </w:p>
        </w:tc>
      </w:tr>
      <w:tr>
        <w:trPr>
          <w:trHeight w:val="22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1</w:t>
            </w:r>
          </w:p>
        </w:tc>
        <w:tc>
          <w:tcPr>
            <w:tcW w:w="156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9"/>
                <w:szCs w:val="19"/>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Customer 2</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9"/>
                <w:szCs w:val="19"/>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3</w:t>
            </w:r>
          </w:p>
        </w:tc>
        <w:tc>
          <w:tcPr>
            <w:tcW w:w="156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PARTNERSHIPS</w:t>
      </w:r>
    </w:p>
    <w:p>
      <w:pPr>
        <w:spacing w:after="0" w:line="148"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We have established our own capabilities to support the commercialization of our products in the U.S. Our international strategy is to identify and partner with other companies that have the appropriate capabilities to support our products in their respective countries. We have entered into a series of agreements to establish an international network, which is summarized in the table below and includes information on our primary partners:</w:t>
      </w:r>
    </w:p>
    <w:tbl>
      <w:tblPr>
        <w:tblLayout w:type="fixed"/>
        <w:tblInd w:w="0" w:type="dxa"/>
        <w:tblCellMar>
          <w:top w:w="0" w:type="dxa"/>
          <w:left w:w="0" w:type="dxa"/>
          <w:bottom w:w="0" w:type="dxa"/>
          <w:right w:w="0" w:type="dxa"/>
        </w:tblCellMar>
      </w:tblPr>
      <w:tr>
        <w:trPr>
          <w:trHeight w:val="234"/>
        </w:trPr>
        <w:tc>
          <w:tcPr>
            <w:tcW w:w="3460" w:type="dxa"/>
            <w:vAlign w:val="bottom"/>
            <w:gridSpan w:val="2"/>
          </w:tcPr>
          <w:p>
            <w:pPr>
              <w:ind w:left="840"/>
              <w:spacing w:after="0"/>
              <w:rPr>
                <w:sz w:val="20"/>
                <w:szCs w:val="20"/>
                <w:color w:val="auto"/>
              </w:rPr>
            </w:pPr>
            <w:r>
              <w:rPr>
                <w:rFonts w:ascii="Arial" w:cs="Arial" w:eastAsia="Arial" w:hAnsi="Arial"/>
                <w:sz w:val="18"/>
                <w:szCs w:val="18"/>
                <w:b w:val="1"/>
                <w:bCs w:val="1"/>
                <w:color w:val="auto"/>
              </w:rPr>
              <w:t>International Partner</w:t>
            </w:r>
          </w:p>
        </w:tc>
        <w:tc>
          <w:tcPr>
            <w:tcW w:w="1400" w:type="dxa"/>
            <w:vAlign w:val="bottom"/>
            <w:gridSpan w:val="2"/>
          </w:tcPr>
          <w:p>
            <w:pPr>
              <w:ind w:left="240"/>
              <w:spacing w:after="0"/>
              <w:rPr>
                <w:sz w:val="20"/>
                <w:szCs w:val="20"/>
                <w:color w:val="auto"/>
              </w:rPr>
            </w:pPr>
            <w:r>
              <w:rPr>
                <w:rFonts w:ascii="Arial" w:cs="Arial" w:eastAsia="Arial" w:hAnsi="Arial"/>
                <w:sz w:val="18"/>
                <w:szCs w:val="18"/>
                <w:b w:val="1"/>
                <w:bCs w:val="1"/>
                <w:color w:val="auto"/>
              </w:rPr>
              <w:t>Product(s)</w:t>
            </w:r>
          </w:p>
        </w:tc>
        <w:tc>
          <w:tcPr>
            <w:tcW w:w="4640" w:type="dxa"/>
            <w:vAlign w:val="bottom"/>
            <w:gridSpan w:val="2"/>
          </w:tcPr>
          <w:p>
            <w:pPr>
              <w:ind w:left="1900"/>
              <w:spacing w:after="0"/>
              <w:rPr>
                <w:sz w:val="20"/>
                <w:szCs w:val="20"/>
                <w:color w:val="auto"/>
              </w:rPr>
            </w:pPr>
            <w:r>
              <w:rPr>
                <w:rFonts w:ascii="Arial" w:cs="Arial" w:eastAsia="Arial" w:hAnsi="Arial"/>
                <w:sz w:val="18"/>
                <w:szCs w:val="18"/>
                <w:b w:val="1"/>
                <w:bCs w:val="1"/>
                <w:color w:val="auto"/>
              </w:rPr>
              <w:t>Territory</w:t>
            </w:r>
          </w:p>
        </w:tc>
        <w:tc>
          <w:tcPr>
            <w:tcW w:w="1560" w:type="dxa"/>
            <w:vAlign w:val="bottom"/>
          </w:tcPr>
          <w:p>
            <w:pPr>
              <w:ind w:left="540"/>
              <w:spacing w:after="0"/>
              <w:rPr>
                <w:sz w:val="20"/>
                <w:szCs w:val="20"/>
                <w:color w:val="auto"/>
              </w:rPr>
            </w:pPr>
            <w:r>
              <w:rPr>
                <w:rFonts w:ascii="Arial" w:cs="Arial" w:eastAsia="Arial" w:hAnsi="Arial"/>
                <w:sz w:val="18"/>
                <w:szCs w:val="18"/>
                <w:b w:val="1"/>
                <w:bCs w:val="1"/>
                <w:color w:val="auto"/>
              </w:rPr>
              <w:t>Status</w:t>
            </w:r>
          </w:p>
        </w:tc>
        <w:tc>
          <w:tcPr>
            <w:tcW w:w="120" w:type="dxa"/>
            <w:vAlign w:val="bottom"/>
          </w:tcPr>
          <w:p>
            <w:pPr>
              <w:spacing w:after="0"/>
              <w:rPr>
                <w:sz w:val="20"/>
                <w:szCs w:val="20"/>
                <w:color w:val="auto"/>
              </w:rPr>
            </w:pPr>
          </w:p>
        </w:tc>
      </w:tr>
      <w:tr>
        <w:trPr>
          <w:trHeight w:val="88"/>
        </w:trPr>
        <w:tc>
          <w:tcPr>
            <w:tcW w:w="33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5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5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188"/>
        </w:trPr>
        <w:tc>
          <w:tcPr>
            <w:tcW w:w="34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Phebra Pty Ltd</w:t>
            </w:r>
          </w:p>
        </w:tc>
        <w:tc>
          <w:tcPr>
            <w:tcW w:w="14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Acetadote &amp;</w:t>
            </w:r>
          </w:p>
        </w:tc>
        <w:tc>
          <w:tcPr>
            <w:tcW w:w="46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Australia</w:t>
            </w:r>
          </w:p>
        </w:tc>
        <w:tc>
          <w:tcPr>
            <w:tcW w:w="15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Marketed</w:t>
            </w:r>
          </w:p>
        </w:tc>
        <w:tc>
          <w:tcPr>
            <w:tcW w:w="120" w:type="dxa"/>
            <w:vAlign w:val="bottom"/>
          </w:tcPr>
          <w:p>
            <w:pPr>
              <w:spacing w:after="0"/>
              <w:rPr>
                <w:sz w:val="16"/>
                <w:szCs w:val="16"/>
                <w:color w:val="auto"/>
              </w:rPr>
            </w:pPr>
          </w:p>
        </w:tc>
      </w:tr>
      <w:tr>
        <w:trPr>
          <w:trHeight w:val="230"/>
        </w:trPr>
        <w:tc>
          <w:tcPr>
            <w:tcW w:w="3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Caldolor</w:t>
            </w:r>
          </w:p>
        </w:tc>
        <w:tc>
          <w:tcPr>
            <w:tcW w:w="4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r>
      <w:tr>
        <w:trPr>
          <w:trHeight w:val="229"/>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DB Pharm Korea Co., Ltd.</w:t>
            </w: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Caldolor</w:t>
            </w: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South Korea</w:t>
            </w:r>
          </w:p>
        </w:tc>
        <w:tc>
          <w:tcPr>
            <w:tcW w:w="1560" w:type="dxa"/>
            <w:vAlign w:val="bottom"/>
          </w:tcPr>
          <w:p>
            <w:pPr>
              <w:ind w:left="20"/>
              <w:spacing w:after="0"/>
              <w:rPr>
                <w:sz w:val="20"/>
                <w:szCs w:val="20"/>
                <w:color w:val="auto"/>
              </w:rPr>
            </w:pPr>
            <w:r>
              <w:rPr>
                <w:rFonts w:ascii="Arial" w:cs="Arial" w:eastAsia="Arial" w:hAnsi="Arial"/>
                <w:sz w:val="18"/>
                <w:szCs w:val="18"/>
                <w:color w:val="auto"/>
              </w:rPr>
              <w:t>Marketed</w:t>
            </w:r>
          </w:p>
        </w:tc>
        <w:tc>
          <w:tcPr>
            <w:tcW w:w="120" w:type="dxa"/>
            <w:vAlign w:val="bottom"/>
          </w:tcPr>
          <w:p>
            <w:pPr>
              <w:spacing w:after="0"/>
              <w:rPr>
                <w:sz w:val="19"/>
                <w:szCs w:val="19"/>
                <w:color w:val="auto"/>
              </w:rPr>
            </w:pPr>
          </w:p>
        </w:tc>
      </w:tr>
      <w:tr>
        <w:trPr>
          <w:trHeight w:val="23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Sandor Medicaids Pvt. Ltd.</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Caldolor</w:t>
            </w:r>
          </w:p>
        </w:tc>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India</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Marketed</w:t>
            </w:r>
          </w:p>
        </w:tc>
        <w:tc>
          <w:tcPr>
            <w:tcW w:w="120" w:type="dxa"/>
            <w:vAlign w:val="bottom"/>
            <w:shd w:val="clear" w:color="auto" w:fill="CCEEFF"/>
          </w:tcPr>
          <w:p>
            <w:pPr>
              <w:spacing w:after="0"/>
              <w:rPr>
                <w:sz w:val="19"/>
                <w:szCs w:val="19"/>
                <w:color w:val="auto"/>
              </w:rPr>
            </w:pPr>
          </w:p>
        </w:tc>
      </w:tr>
      <w:tr>
        <w:trPr>
          <w:trHeight w:val="229"/>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GerminMED</w:t>
            </w: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Caldolor</w:t>
            </w: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Qatar</w:t>
            </w:r>
          </w:p>
        </w:tc>
        <w:tc>
          <w:tcPr>
            <w:tcW w:w="1560" w:type="dxa"/>
            <w:vAlign w:val="bottom"/>
          </w:tcPr>
          <w:p>
            <w:pPr>
              <w:ind w:left="20"/>
              <w:spacing w:after="0"/>
              <w:rPr>
                <w:sz w:val="20"/>
                <w:szCs w:val="20"/>
                <w:color w:val="auto"/>
              </w:rPr>
            </w:pPr>
            <w:r>
              <w:rPr>
                <w:rFonts w:ascii="Arial" w:cs="Arial" w:eastAsia="Arial" w:hAnsi="Arial"/>
                <w:sz w:val="18"/>
                <w:szCs w:val="18"/>
                <w:color w:val="auto"/>
              </w:rPr>
              <w:t>Marketed</w:t>
            </w:r>
          </w:p>
        </w:tc>
        <w:tc>
          <w:tcPr>
            <w:tcW w:w="120" w:type="dxa"/>
            <w:vAlign w:val="bottom"/>
          </w:tcPr>
          <w:p>
            <w:pPr>
              <w:spacing w:after="0"/>
              <w:rPr>
                <w:sz w:val="19"/>
                <w:szCs w:val="19"/>
                <w:color w:val="auto"/>
              </w:rPr>
            </w:pPr>
          </w:p>
        </w:tc>
      </w:tr>
      <w:tr>
        <w:trPr>
          <w:trHeight w:val="23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R-Pharm JSC</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Vibativ</w:t>
            </w:r>
          </w:p>
        </w:tc>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Russia</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Marketed</w:t>
            </w:r>
          </w:p>
        </w:tc>
        <w:tc>
          <w:tcPr>
            <w:tcW w:w="120" w:type="dxa"/>
            <w:vAlign w:val="bottom"/>
            <w:shd w:val="clear" w:color="auto" w:fill="CCEEFF"/>
          </w:tcPr>
          <w:p>
            <w:pPr>
              <w:spacing w:after="0"/>
              <w:rPr>
                <w:sz w:val="19"/>
                <w:szCs w:val="19"/>
                <w:color w:val="auto"/>
              </w:rPr>
            </w:pPr>
          </w:p>
        </w:tc>
      </w:tr>
      <w:tr>
        <w:trPr>
          <w:trHeight w:val="229"/>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Tabuk Pharmaceuticals, Inc.</w:t>
            </w: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Vibativ</w:t>
            </w: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Saudi Arabia and Jordan</w:t>
            </w:r>
          </w:p>
        </w:tc>
        <w:tc>
          <w:tcPr>
            <w:tcW w:w="1560" w:type="dxa"/>
            <w:vAlign w:val="bottom"/>
          </w:tcPr>
          <w:p>
            <w:pPr>
              <w:ind w:left="20"/>
              <w:spacing w:after="0"/>
              <w:rPr>
                <w:sz w:val="20"/>
                <w:szCs w:val="20"/>
                <w:color w:val="auto"/>
              </w:rPr>
            </w:pPr>
            <w:r>
              <w:rPr>
                <w:rFonts w:ascii="Arial" w:cs="Arial" w:eastAsia="Arial" w:hAnsi="Arial"/>
                <w:sz w:val="18"/>
                <w:szCs w:val="18"/>
                <w:color w:val="auto"/>
              </w:rPr>
              <w:t>Registration</w:t>
            </w:r>
          </w:p>
        </w:tc>
        <w:tc>
          <w:tcPr>
            <w:tcW w:w="120" w:type="dxa"/>
            <w:vAlign w:val="bottom"/>
          </w:tcPr>
          <w:p>
            <w:pPr>
              <w:spacing w:after="0"/>
              <w:rPr>
                <w:sz w:val="19"/>
                <w:szCs w:val="19"/>
                <w:color w:val="auto"/>
              </w:rPr>
            </w:pPr>
          </w:p>
        </w:tc>
      </w:tr>
      <w:tr>
        <w:trPr>
          <w:trHeight w:val="229"/>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PiSA Pharmaceutical</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Caldolor</w:t>
            </w:r>
          </w:p>
        </w:tc>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Mexico</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Registration</w:t>
            </w:r>
          </w:p>
        </w:tc>
        <w:tc>
          <w:tcPr>
            <w:tcW w:w="120" w:type="dxa"/>
            <w:vAlign w:val="bottom"/>
            <w:shd w:val="clear" w:color="auto" w:fill="CCEEFF"/>
          </w:tcPr>
          <w:p>
            <w:pPr>
              <w:spacing w:after="0"/>
              <w:rPr>
                <w:sz w:val="19"/>
                <w:szCs w:val="19"/>
                <w:color w:val="auto"/>
              </w:rPr>
            </w:pPr>
          </w:p>
        </w:tc>
      </w:tr>
      <w:tr>
        <w:trPr>
          <w:trHeight w:val="230"/>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SciClone Pharmaceuticals, Inc.</w:t>
            </w: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Vibativ</w:t>
            </w: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China and Hong Kong</w:t>
            </w:r>
          </w:p>
        </w:tc>
        <w:tc>
          <w:tcPr>
            <w:tcW w:w="1560" w:type="dxa"/>
            <w:vAlign w:val="bottom"/>
          </w:tcPr>
          <w:p>
            <w:pPr>
              <w:ind w:left="20"/>
              <w:spacing w:after="0"/>
              <w:rPr>
                <w:sz w:val="20"/>
                <w:szCs w:val="20"/>
                <w:color w:val="auto"/>
              </w:rPr>
            </w:pPr>
            <w:r>
              <w:rPr>
                <w:rFonts w:ascii="Arial" w:cs="Arial" w:eastAsia="Arial" w:hAnsi="Arial"/>
                <w:sz w:val="18"/>
                <w:szCs w:val="18"/>
                <w:color w:val="auto"/>
              </w:rPr>
              <w:t>Registration</w:t>
            </w:r>
          </w:p>
        </w:tc>
        <w:tc>
          <w:tcPr>
            <w:tcW w:w="120" w:type="dxa"/>
            <w:vAlign w:val="bottom"/>
          </w:tcPr>
          <w:p>
            <w:pPr>
              <w:spacing w:after="0"/>
              <w:rPr>
                <w:sz w:val="19"/>
                <w:szCs w:val="19"/>
                <w:color w:val="auto"/>
              </w:rPr>
            </w:pPr>
          </w:p>
        </w:tc>
      </w:tr>
      <w:tr>
        <w:trPr>
          <w:trHeight w:val="188"/>
        </w:trPr>
        <w:tc>
          <w:tcPr>
            <w:tcW w:w="34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DB Pharm Korea Co., Ltd.</w:t>
            </w:r>
          </w:p>
        </w:tc>
        <w:tc>
          <w:tcPr>
            <w:tcW w:w="14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Vibativ &amp;</w:t>
            </w:r>
          </w:p>
        </w:tc>
        <w:tc>
          <w:tcPr>
            <w:tcW w:w="46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South Korea</w:t>
            </w:r>
          </w:p>
        </w:tc>
        <w:tc>
          <w:tcPr>
            <w:tcW w:w="15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Registration</w:t>
            </w:r>
          </w:p>
        </w:tc>
        <w:tc>
          <w:tcPr>
            <w:tcW w:w="120" w:type="dxa"/>
            <w:vAlign w:val="bottom"/>
            <w:shd w:val="clear" w:color="auto" w:fill="CCEEFF"/>
          </w:tcPr>
          <w:p>
            <w:pPr>
              <w:spacing w:after="0"/>
              <w:rPr>
                <w:sz w:val="16"/>
                <w:szCs w:val="16"/>
                <w:color w:val="auto"/>
              </w:rPr>
            </w:pPr>
          </w:p>
        </w:tc>
      </w:tr>
      <w:tr>
        <w:trPr>
          <w:trHeight w:val="230"/>
        </w:trPr>
        <w:tc>
          <w:tcPr>
            <w:tcW w:w="3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Vaprisol</w:t>
            </w:r>
          </w:p>
        </w:tc>
        <w:tc>
          <w:tcPr>
            <w:tcW w:w="4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188"/>
        </w:trPr>
        <w:tc>
          <w:tcPr>
            <w:tcW w:w="34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WinHealth Pharma Group Co.</w:t>
            </w:r>
          </w:p>
        </w:tc>
        <w:tc>
          <w:tcPr>
            <w:tcW w:w="14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Caldolor &amp;</w:t>
            </w:r>
          </w:p>
        </w:tc>
        <w:tc>
          <w:tcPr>
            <w:tcW w:w="46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China and Hong Kong</w:t>
            </w:r>
          </w:p>
        </w:tc>
        <w:tc>
          <w:tcPr>
            <w:tcW w:w="1560" w:type="dxa"/>
            <w:vAlign w:val="bottom"/>
          </w:tcPr>
          <w:p>
            <w:pPr>
              <w:ind w:left="20"/>
              <w:spacing w:after="0" w:line="189" w:lineRule="exact"/>
              <w:rPr>
                <w:sz w:val="20"/>
                <w:szCs w:val="20"/>
                <w:color w:val="auto"/>
              </w:rPr>
            </w:pPr>
            <w:r>
              <w:rPr>
                <w:rFonts w:ascii="Arial" w:cs="Arial" w:eastAsia="Arial" w:hAnsi="Arial"/>
                <w:sz w:val="18"/>
                <w:szCs w:val="18"/>
                <w:color w:val="auto"/>
              </w:rPr>
              <w:t>Development</w:t>
            </w:r>
          </w:p>
        </w:tc>
        <w:tc>
          <w:tcPr>
            <w:tcW w:w="120" w:type="dxa"/>
            <w:vAlign w:val="bottom"/>
          </w:tcPr>
          <w:p>
            <w:pPr>
              <w:spacing w:after="0"/>
              <w:rPr>
                <w:sz w:val="16"/>
                <w:szCs w:val="16"/>
                <w:color w:val="auto"/>
              </w:rPr>
            </w:pPr>
          </w:p>
        </w:tc>
      </w:tr>
      <w:tr>
        <w:trPr>
          <w:trHeight w:val="230"/>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Acetadote</w:t>
            </w:r>
          </w:p>
        </w:tc>
        <w:tc>
          <w:tcPr>
            <w:tcW w:w="4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international commercialization agreements include a license to one or more Cumberland products for a specific territory as noted in the table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seek partners who have the local infrastructure to support the registration and commercialization of our products in their territory.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Under the terms of our agreements our partners are responsible for:</w:t>
      </w:r>
    </w:p>
    <w:p>
      <w:pPr>
        <w:spacing w:after="0" w:line="158"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Seeking regulatory approvals for the products;</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Launching the brand;</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Managing the ongoing marketing, sales and product distribution;</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Addressing the ongoing regulatory requirements in the international territories;</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Remitting any upfront, regulatory and sales milestone payments;</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Providing the transfer price for supplies of the product; and</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Calculating and paying any royalties, as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responsibilities include:</w:t>
      </w:r>
    </w:p>
    <w:p>
      <w:pPr>
        <w:spacing w:after="0" w:line="144"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a dossier of relevant information to support product registration;</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Maintaining our intellectual property associated with the product;</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Sharing our marketing strategy, experience and materials for the brand; and</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Manufacturing and providing the finished product for sale.</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2022, we worked to support our existing international partners, conclude unproductive arrangements and identify new companies to represent our products in select additional territories.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inception, we have had an active business development initiative focused on acquiring rights to marketed products and product candidates that fit our strategy and target markets. We source business development opportunities through our international network of advisory firms and individual pharmaceutical industry and medical advisors. A multi-disciplinary internal management team reviews these opportunities on a regular basis using a group of selection criteria. We have historically focused on product opportunities that are a strategic fit with our commercial organization, development expertise and medical focus, employing a variety of transaction structures.</w:t>
      </w:r>
    </w:p>
    <w:p>
      <w:pPr>
        <w:spacing w:after="0" w:line="1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continued to build our product portfolio of complementary, niche brands largely through product acquisitions and late-stage development of product candidates.</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primary targets are under-promoted, FDA - approved drugs with existing brand recognition and late-stage development product candidates that address unmet or poorly met medical needs in the hospital acute care, gastroenterology and oncology markets. We believe that by focusing mainly on approved or late-stage products, we can minimize the significant risk, cost and time associated with drug development.</w:t>
      </w:r>
    </w:p>
    <w:p>
      <w:pPr>
        <w:spacing w:after="0" w:line="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continue to strategically review our brands, pipeline and capabilities, as well as our international partners. We believe that it is prudent to continually evaluate our product portfolio, partners, and organization in order to ensure a proper focus and the needed supporting capabilities.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Partners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D.B. Pharm Korea Co., Ltd. (“D.B. Pharm”) has licensed our Caldolor product for the South Korean market, and they obtained regulatory approval for Caldolor in their country. During 2022, D.B. Pharm continued to purchase supplies of Caldolor and distributed the brand in South Korea. We have also entered into agreements with D.B. Pharm to register and commercialize our Vaprisol and Vibativ brands in their country. During 2022, we worked with them to prepare the submissions for the approval of each brand there.</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executed a license and distribution agreement with HongKong WinHealth Pharma Group Co. Limited (“WinHealth”) for our Caldolor and Acetadote brands in China and Hong Kong. Under the terms of the agreement, WinHealth will provide development milestone payments and purchase supplies of the products following their registration in China.</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entered into a strategic alliance agreement with WinHealth to explore future business opportunities that will further the mission and goals of each organization. Founded in Hangzhou, China and currently headquartered in Hong Kong, WinHealth has developed a wide breadth of capabilities, including drug licensing, product development and registration, and has established a strong network of distribution and sales promotional capabilities for the Chinese market. WinHealth has established partnerships with international companies that include Boehringer-Ingelheim, Janssen, Novartis, Pfizer and Roche, generating several hundred million dollars in sales annually.</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August 2020, we entered into an agreement with WinHealth Investment (Singapore) Ltd. creating </w:t>
      </w:r>
      <w:r>
        <w:rPr>
          <w:rFonts w:ascii="Arial" w:cs="Arial" w:eastAsia="Arial" w:hAnsi="Arial"/>
          <w:sz w:val="18"/>
          <w:szCs w:val="18"/>
          <w:i w:val="1"/>
          <w:iCs w:val="1"/>
          <w:color w:val="auto"/>
        </w:rPr>
        <w:t>WHC Biopharmaceuticals, Pte. Ltd</w:t>
      </w:r>
      <w:r>
        <w:rPr>
          <w:rFonts w:ascii="Arial" w:cs="Arial" w:eastAsia="Arial" w:hAnsi="Arial"/>
          <w:sz w:val="18"/>
          <w:szCs w:val="18"/>
          <w:color w:val="auto"/>
        </w:rPr>
        <w:t>. The joint venture will focus on acquiring, developing, registering, and commercializing development stage and commercial stage biopharmaceuticals for China, Hong Kong and other Asian markets.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R-Pharma JSC (“R Pharma”) has licensed our Vibativ product for a territory that includes Russia and a number of adjacent countries in Eastern Europe. R-Pharma is one of the leading multinational pharmaceutical organizations based in Russia. Headquartered in Moscow and focusing on a wide breadth of therapeutic areas in the specialty and hospital care markets, R-Pharma generates $1 billion in annual revenue. R-Pharma has registered Vibativ in Russia and during 2022, continued to purchase supplies of the product for that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SciClone Pharmaceuticals (Holdings) Limited (“SciClone”) has licensed our Vibativ product for sale and distribution in China and several adjacent countries. In February 2021, SciClone completed an initial public offering and listing of their shares on the Hong Kong stock exchange. In June 2021, SciClone submitted an application to the Chinese regulatory authority for the approval of Vibativ in that country. In October 2021, SciClone informed us that the filing was accepted by the regulatory agency for review. SciClone is in the review period of their application and believes that the potential for Vibativ in China may be significant.</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2021, we signed an agreement with Verity Pharmaceuticals International Limited (“Verity”) to license and commercialize our Vibativ product in Puerto Rico. Verity is a specialty pharmaceutical company with commercial operations in the U.S. and Canada. They have a particular strength and experience in the Puerto Rican market.</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March 2022, we established distribution for our Vibativ product in the Middle East through a partnership with Tabuk Pharmaceutical Manufacturing Company. Through our partnership, Tabuk will introduce the product in Saudi Arabia, Jordan and potentially other countries in the Middle East.</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2022, we announced an agreement with PiSA Pharmaceutical for the registration and commercialization of Caldolor in Mexico. Under the terms of the agreement, Cumberland will be responsible for providing the product dossier and supplies. PiSA will be responsible for obtaining regulatory approval for the product in Mexico and introducing it to the new market.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Verity Co-Promotion Agreement</w:t>
      </w:r>
    </w:p>
    <w:p>
      <w:pPr>
        <w:spacing w:after="0" w:line="15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April 2022, we entered into an agreement with Verity Pharmaceuticals International Limited (“Verity”) for the national co-promotion of Sancuso®. Verity is a specialty pharmaceutical company that agreed to utilize its established oncology commercial organization to co-promote Sancuso throughout the United States.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Verity was to provide sales representation in the U.S. market for an initial three-year term, with an option to extend for an additional two years.</w:t>
      </w:r>
    </w:p>
    <w:p>
      <w:pPr>
        <w:spacing w:after="0" w:line="15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In January 2023, we sent a 30-day notice of default to Verity due to failure of the parties to reach agreement regarding fundamental elements of the agreement, including targets and detailing obligations, among other items. As a result, the agreement </w:t>
      </w:r>
      <w:r>
        <w:rPr>
          <w:rFonts w:ascii="Arial" w:cs="Arial" w:eastAsia="Arial" w:hAnsi="Arial"/>
          <w:sz w:val="18"/>
          <w:szCs w:val="18"/>
          <w:color w:val="auto"/>
          <w:strike w:val="1"/>
        </w:rPr>
        <w:t>t</w:t>
      </w:r>
      <w:r>
        <w:rPr>
          <w:rFonts w:ascii="Arial" w:cs="Arial" w:eastAsia="Arial" w:hAnsi="Arial"/>
          <w:sz w:val="18"/>
          <w:szCs w:val="18"/>
          <w:color w:val="auto"/>
        </w:rPr>
        <w:t>erminated effective February 25, 2023. We hope to work with Verity to seek a new arrangement for their continued co-promotion of Sancuso.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Poly Co-Promotion Agreement</w:t>
      </w:r>
    </w:p>
    <w:p>
      <w:pPr>
        <w:spacing w:after="0" w:line="1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entered into a co-promotion arrangement with Poly Pharmaceuticals, Inc. (“Poly”) for our Kristalose product in 2017. Poly is a privately held U.S. specialty pharmaceutical company that is featuring Kristalose to an expanded number of physicians. Poly’s sales organization is more than doubling the number of nationwide physicians that are reached with the Kristalose brand message. In 2019, we extended our co-promotion arrangement with Poly.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2R and Foxland Agreements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2018, we entered into another co-promotion arrangement related to our Kristalose product. We have agreements with 2R Investments, LLC and with Foxland Pharmaceuticals, Inc. ("Foxland") to package, distribute and promote an authorized generic form of our Kristalose product to physician targets that we do not cover. We renewed our agreement with Foxland in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Nordic License Agreement</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2022, we entered into an amendment to our agreement with Nordic Pharma (“Nordic”) that addresses the responsibilities and financial arrangements regarding our license to Nordic’s methotrexate line of products for the U.S. Our line of prefilled methotrexate syringes, marketed under the brand name RediTrex in the U.S., is covered by the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amendment, Nordic may assume responsibility for commercializing the methotrexate products in the U.S. after June 30, 2023. We will continue to distribute and support the RediTrex product line during a transition period until then. Following the return of the license, Nordic will provide us with a royalty on their future sales of the products through April 2035. The companies will continue to collaborate on any transition and the ongoing commercialization of the product line.</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Cumberland transferred the marketing authorization associated with the RediTrex product line to Nordic. Nordic returned the 180,000 shares we issued to them that were associated with the license and refunded the $1 million we paid them following the brand’s approval in the U.S. Nordic has also issued a credit note in favor of Cumberland in the amount of $1 million for the unpaid milestone payment due from us which was associated with our launch of the product line.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Clinigen Strategic Dissolution Agreement</w:t>
      </w:r>
    </w:p>
    <w:p>
      <w:pPr>
        <w:spacing w:after="0" w:line="15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previously entered into an agreement with the Clinigen Group plc ("Clinigen"), an international specialty pharmaceutical and services company, to commercialize select Clinigen products in the U.S. In May 2016, we announced an agreement with Clinigen to acquire an exclusive license and commercialize Ethyol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U.S. We then announced in January 2017, our second agreement with Clinigen to acquire an exclusive license and launch Totect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U.S.</w:t>
      </w:r>
    </w:p>
    <w:p>
      <w:pPr>
        <w:spacing w:after="0" w:line="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May 2019, following a strategic review of our partners, products and organization, we entered into a dissolution agreement with Clinigen in which Cumberland returned the exclusive rights to commercialize Ethyol and Totect in the United States to Clinigen. Under the final terms of the amended dissolution agreement we transitioned from our current arrangement with Clinigen effective December 31, 2019. Under the terms of the agreement, Cumberland was no longer involved directly or indirectly with the distribution, marketing and promotion of either Ethyol or Totect or any competing products. In exchange for the return of these product license rights and not competing with either product, we received $5 million in financial consideration paid over the two-years ending December 31, 2021.</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CET University Collaboration Agreements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CET, we collaborate with a select group of academic research institutions located in the Mid-South region of the U.S. to identify, co-develop and seek grant funding for promising biomedical technologies emerging from those research institutions. CET is collaborating with Vanderbilt University and other regional academic research institutions and has entered into a series of agreements to access and collaborate on the development of innovative product candidates. These arrangements enable CET to team with university-based researchers to advance their scientific discoveries and breakthroughs by designing new product candidates to improve patient care and address unmet medical needs. CET has been able to help secure federal small business grant funding to support these various projects.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CET operates a Life Sciences Center in downtown Nashville to house its own research and development activities while providing laboratory space for other biomedical ventures.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REGULATORY AFFAIRS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in-house capabilities for the management of our clinical, professional and regulatory affairs. Our team develops and manages our clinical trials, prepares regulatory submissions, manages ongoing product-related regulatory responsibilities and manages our medical information call center. Team members have been responsible for devising the regulatory and clinical strategies for all our products as well as obtaining FDA approvals for Acetadote, Caldolor and RediTrex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clinical development personnel are responsible for:</w:t>
      </w:r>
    </w:p>
    <w:p>
      <w:pPr>
        <w:spacing w:after="0" w:line="158"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creating clinical development strategies;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designing, implementing and monitoring our clinical trials: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creating case report forms and other study-related documents; and</w:t>
      </w:r>
    </w:p>
    <w:p>
      <w:pPr>
        <w:spacing w:after="0" w:line="17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analyzing efficacy and safety data obtained from clinical trials for subsequent submissions and approval of new drugs.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Quality Affairs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internal regulatory and quality affairs team is responsible for:</w:t>
      </w:r>
    </w:p>
    <w:p>
      <w:pPr>
        <w:spacing w:after="0" w:line="158"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preparing and submitting INDs for clearance to begin patient studies;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preparing and submitting NDAs and fulfilling post-approval marketing commitments;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maintaining investigational and marketing applications through the submission of appropriate reports;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submitting supplemental applications for additional label indications, product line extensions and manufacturing improvements;</w:t>
      </w:r>
    </w:p>
    <w:p>
      <w:pPr>
        <w:spacing w:after="0" w:line="15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evaluating regulatory risk profiles for product acquisition candidates, including compliance with manufacturing, labeling, distribution and marketing regulations;</w:t>
      </w:r>
    </w:p>
    <w:p>
      <w:pPr>
        <w:spacing w:after="0" w:line="89" w:lineRule="exact"/>
        <w:rPr>
          <w:rFonts w:ascii="Arial" w:cs="Arial" w:eastAsia="Arial" w:hAnsi="Arial"/>
          <w:sz w:val="18"/>
          <w:szCs w:val="18"/>
          <w:color w:val="auto"/>
        </w:rPr>
      </w:pPr>
    </w:p>
    <w:p>
      <w:pPr>
        <w:ind w:left="980" w:right="20" w:hanging="324"/>
        <w:spacing w:after="0" w:line="308" w:lineRule="auto"/>
        <w:tabs>
          <w:tab w:leader="none" w:pos="975" w:val="left"/>
        </w:tabs>
        <w:numPr>
          <w:ilvl w:val="0"/>
          <w:numId w:val="7"/>
        </w:numPr>
        <w:rPr>
          <w:rFonts w:ascii="Arial" w:cs="Arial" w:eastAsia="Arial" w:hAnsi="Arial"/>
          <w:sz w:val="17"/>
          <w:szCs w:val="17"/>
          <w:color w:val="auto"/>
        </w:rPr>
      </w:pPr>
      <w:r>
        <w:rPr>
          <w:rFonts w:ascii="Arial" w:cs="Arial" w:eastAsia="Arial" w:hAnsi="Arial"/>
          <w:sz w:val="17"/>
          <w:szCs w:val="17"/>
          <w:color w:val="auto"/>
        </w:rPr>
        <w:t>monitoring applicable third-party service providers for quality and compliance with current Good Manufacturing Practices ("GMPs"), Good Laboratory Practices ("GLPs"), and Good Clinical Practices ("GCPs"), and performing periodic audits of such vendors; and</w:t>
      </w:r>
    </w:p>
    <w:p>
      <w:pPr>
        <w:spacing w:after="0" w:line="78"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maintaining systems for document control, product and process change control and customer complaints.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AND MEDICAL AFFAIRS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medical team provides in-house, medical information support for our marketed products. This includes interacting directly with healthcare professionals to address any product or medical inquiries through our medical information call center and medical science liaisons. In addition to coordinating the call center, our clinical/regulatory group generates medical information letters, provides informational memos to our sales forces and assists with ongoing training for the sales forces.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AND STUDY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Vibativ Clinical Manuscripts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Vibativ is a patented, FDA-approved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late 2019, we announced a publication in </w:t>
      </w:r>
      <w:r>
        <w:rPr>
          <w:rFonts w:ascii="Arial" w:cs="Arial" w:eastAsia="Arial" w:hAnsi="Arial"/>
          <w:sz w:val="18"/>
          <w:szCs w:val="18"/>
          <w:i w:val="1"/>
          <w:iCs w:val="1"/>
          <w:color w:val="auto"/>
        </w:rPr>
        <w:t>Infectious Diseases and Therapy</w:t>
      </w:r>
      <w:r>
        <w:rPr>
          <w:rFonts w:ascii="Arial" w:cs="Arial" w:eastAsia="Arial" w:hAnsi="Arial"/>
          <w:sz w:val="18"/>
          <w:szCs w:val="18"/>
          <w:color w:val="auto"/>
        </w:rPr>
        <w:t xml:space="preserve">, with study results showing numerically superior cure rates of telavancin compared to vancomycin within a subset of patients who were enrolled in Phase 3 ATTAIN trials and had hospital-acquired pneumonia caused by bacteria with low susceptibility to vancomycin. Additionally, an online publication in </w:t>
      </w:r>
      <w:r>
        <w:rPr>
          <w:rFonts w:ascii="Arial" w:cs="Arial" w:eastAsia="Arial" w:hAnsi="Arial"/>
          <w:sz w:val="18"/>
          <w:szCs w:val="18"/>
          <w:i w:val="1"/>
          <w:iCs w:val="1"/>
          <w:color w:val="auto"/>
        </w:rPr>
        <w:t>Drugs - Real World Outcomes</w:t>
      </w:r>
      <w:r>
        <w:rPr>
          <w:rFonts w:ascii="Arial" w:cs="Arial" w:eastAsia="Arial" w:hAnsi="Arial"/>
          <w:sz w:val="18"/>
          <w:szCs w:val="18"/>
          <w:color w:val="auto"/>
        </w:rPr>
        <w:t>, detailed the positive clinical outcomes that resulted from treating multiple infection types with Vibativ, including complicated skin infections, bone and joint infections, bacteremia and endocarditis, and lower respiratory tract infections.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2020, Cumberland announced a new study published in </w:t>
      </w:r>
      <w:r>
        <w:rPr>
          <w:rFonts w:ascii="Arial" w:cs="Arial" w:eastAsia="Arial" w:hAnsi="Arial"/>
          <w:sz w:val="18"/>
          <w:szCs w:val="18"/>
          <w:i w:val="1"/>
          <w:iCs w:val="1"/>
          <w:color w:val="auto"/>
        </w:rPr>
        <w:t>Drugs - Real World Outcomes</w:t>
      </w:r>
      <w:r>
        <w:rPr>
          <w:rFonts w:ascii="Arial" w:cs="Arial" w:eastAsia="Arial" w:hAnsi="Arial"/>
          <w:sz w:val="18"/>
          <w:szCs w:val="18"/>
          <w:color w:val="auto"/>
        </w:rPr>
        <w:t>, detailing the positive clinical outcomes that resulted from treating patients with bacteremia or endocarditis with Vibativ. This publication is a sub analysis of The Telavancin Observational Use Registry (TOUR™), a study conducted to record population characteristics, prescription information, and real-world clinical outcomes of patients with Gram-positive infections treated with Vibativ. The analysis suggests Vibativ is a promising and viable option for patients with bacteremia or endocarditis, including those with MRSA or another S. aureus pathogen.</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in May 2020, we announced the publication of two studies confirming the continued in vitro potency of telavancin. Both publications were part of continued surveillance of telavancin activity since 2011. The first publication tested a global collection of 24,408 Gram-positive clinical isolates, and the second publication tested a U.S. collection of 15,882 S. aureus isolates. Both studies documented the sustained in vitro antimicrobial activity and spectrum of telavancin—many years after its clinical approval—against Gram-positive clinical isolates collected worldwide over seven years, from 2011 through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Caldolor Clinical Manuscripts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July 2020, we announced a study published in the </w:t>
      </w:r>
      <w:r>
        <w:rPr>
          <w:rFonts w:ascii="Arial" w:cs="Arial" w:eastAsia="Arial" w:hAnsi="Arial"/>
          <w:sz w:val="18"/>
          <w:szCs w:val="18"/>
          <w:i w:val="1"/>
          <w:iCs w:val="1"/>
          <w:color w:val="auto"/>
        </w:rPr>
        <w:t>Journal of Orthopedic Trauma</w:t>
      </w:r>
      <w:r>
        <w:rPr>
          <w:rFonts w:ascii="Arial" w:cs="Arial" w:eastAsia="Arial" w:hAnsi="Arial"/>
          <w:sz w:val="18"/>
          <w:szCs w:val="18"/>
          <w:color w:val="auto"/>
        </w:rPr>
        <w:t>, evaluating the efficacy of Caldolor administration in the management of acute pain in orthopedic trauma patients. The study also measured Caldolor’s ability in minimizing opioid use. This single-center, randomized, double-blind, placebo-controlled study found that Caldolor (ibuprofen) Injection reduced the quantity of opioids required to manage pain after a traumatic injury with fracture. In addition, the time to first narcotic medication was longer in the Caldolor group than with hospital standard of care. Pain was also managed better in the Caldolor group compared to standard of care narcotics.</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Additionally, in August 2020, we announced the results of a review of nine clinical studies evaluating Caldolor. The comprehensive review was published in the journal </w:t>
      </w:r>
      <w:r>
        <w:rPr>
          <w:rFonts w:ascii="Arial" w:cs="Arial" w:eastAsia="Arial" w:hAnsi="Arial"/>
          <w:sz w:val="18"/>
          <w:szCs w:val="18"/>
          <w:i w:val="1"/>
          <w:iCs w:val="1"/>
          <w:color w:val="auto"/>
        </w:rPr>
        <w:t>Clinical Therapeutics</w:t>
      </w:r>
      <w:r>
        <w:rPr>
          <w:rFonts w:ascii="Arial" w:cs="Arial" w:eastAsia="Arial" w:hAnsi="Arial"/>
          <w:sz w:val="18"/>
          <w:szCs w:val="18"/>
          <w:color w:val="auto"/>
        </w:rPr>
        <w:t xml:space="preserve"> and involved 1,062 adult patients, with 757 receiving Caldolor and 305 receiving placebo or a comparator medication. The data noted that the use of Caldolor improved post-surgery recovery, decreased surgical stress, and reduced the use of opioids and over-the-counter medication. The study determined that patients given Caldolor experienced less postoperative pain and decreased opioid use. Study authors also concluded that the rapid administration and preemptive use of Caldolor should be considered in Enhanced Recovery After Surgery protocols for the management of postoperative pain including that of traumatic origin.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Caldolor Newborn Study</w:t>
      </w:r>
    </w:p>
    <w:p>
      <w:pPr>
        <w:spacing w:after="0" w:line="158" w:lineRule="exact"/>
        <w:rPr>
          <w:sz w:val="20"/>
          <w:szCs w:val="20"/>
          <w:color w:val="auto"/>
        </w:rPr>
      </w:pPr>
    </w:p>
    <w:p>
      <w:pPr>
        <w:ind w:right="200" w:firstLine="648"/>
        <w:spacing w:after="0" w:line="334" w:lineRule="auto"/>
        <w:rPr>
          <w:sz w:val="20"/>
          <w:szCs w:val="20"/>
          <w:color w:val="auto"/>
        </w:rPr>
      </w:pPr>
      <w:r>
        <w:rPr>
          <w:rFonts w:ascii="Arial" w:cs="Arial" w:eastAsia="Arial" w:hAnsi="Arial"/>
          <w:sz w:val="16"/>
          <w:szCs w:val="16"/>
          <w:color w:val="auto"/>
        </w:rPr>
        <w:t>We previously received FDA approval for the use of Caldolor in pediatric patients six months of age and older. Caldolor is the first and only injectable NSAID approved for use in children. We then initiated a study to collect data on the use of Caldolor in children ranging in age from birth up to</w:t>
      </w:r>
    </w:p>
    <w:p>
      <w:pPr>
        <w:spacing w:after="0" w:line="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six months of age. Enrollment in that multi-center study was completed in 2019, and topline results were announced in 2020, indicating that Caldolor was well tolerated in this patient population, with no safety concerns noted.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Renal Colic Study</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2021, we report results from a clinical trial studying the comparison of intravenous ibuprofen with injectable ketorolac in renal colic pain management demonstrated that ibuprofen is the more rapid-acting drug in controlling pain caused by kidney stones. The study also indicated that the complete relief from pain with ibuprofen was twice as much as that of ketorolac. The findings build upon a body of medical evidence supporting the use of our Caldolor product for the treatment of patient pain.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Hyponatremia Publication</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During 2021 we also reported on The </w:t>
      </w:r>
      <w:r>
        <w:rPr>
          <w:rFonts w:ascii="Arial" w:cs="Arial" w:eastAsia="Arial" w:hAnsi="Arial"/>
          <w:sz w:val="18"/>
          <w:szCs w:val="18"/>
          <w:i w:val="1"/>
          <w:iCs w:val="1"/>
          <w:color w:val="auto"/>
        </w:rPr>
        <w:t>Health Outcome Predictive Evaluation</w:t>
      </w:r>
      <w:r>
        <w:rPr>
          <w:rFonts w:ascii="Arial" w:cs="Arial" w:eastAsia="Arial" w:hAnsi="Arial"/>
          <w:sz w:val="18"/>
          <w:szCs w:val="18"/>
          <w:color w:val="auto"/>
        </w:rPr>
        <w:t xml:space="preserve"> (“HOPE”) </w:t>
      </w:r>
      <w:r>
        <w:rPr>
          <w:rFonts w:ascii="Arial" w:cs="Arial" w:eastAsia="Arial" w:hAnsi="Arial"/>
          <w:sz w:val="18"/>
          <w:szCs w:val="18"/>
          <w:i w:val="1"/>
          <w:iCs w:val="1"/>
          <w:color w:val="auto"/>
        </w:rPr>
        <w:t>COVID-19 Registry Analysis.</w:t>
      </w:r>
      <w:r>
        <w:rPr>
          <w:rFonts w:ascii="Arial" w:cs="Arial" w:eastAsia="Arial" w:hAnsi="Arial"/>
          <w:sz w:val="18"/>
          <w:szCs w:val="18"/>
          <w:color w:val="auto"/>
        </w:rPr>
        <w:t xml:space="preserve"> It was an international study of over 4,000 patients published in November 2020, found that patients hospitalized with COVID-19 had a high risk of developing hyponatremia. These COVID-19 patients also had a higher incidence of mortality due to their hyponatremia. The study results support the use of an intravenous vaptan to treat hyponatremia in critically ill patients afflicted with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Hyponatremia, an imbalance of serum sodium to body water, is the most common electrolyte disorder among hospitalized patients. Our Vaprisol product is one of two branded prescription products indicated for the treatment of hyponatremia, and the only intravenously administered branded treatment. Vaprisol has a proven day-1 response rate to normalize serum sodium levels in hyponatremic patients and move them out of the Intensive Care Unit as efficiently as possible.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Ifetroban Phase II Studies</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We have been evaluating our ifetroban product candidate in a series of clinical studies. We have three Phase II clinical programs underway evaluating our ifetroban product candidate in 1) Aspirin-Exacerbated Respiratory Disease, a severe form of asthma, 2) Systemic Sclerosis or scleroderma, a debilitating autoimmune disorder characterized by diffuse fibrosis of the skin and internal organs and 3) patients with cardiomyopathy associated with </w:t>
      </w:r>
      <w:r>
        <w:rPr>
          <w:rFonts w:ascii="Arial" w:cs="Arial" w:eastAsia="Arial" w:hAnsi="Arial"/>
          <w:sz w:val="17"/>
          <w:szCs w:val="17"/>
          <w:i w:val="1"/>
          <w:iCs w:val="1"/>
          <w:color w:val="auto"/>
        </w:rPr>
        <w:t>Duchenne</w:t>
      </w:r>
      <w:r>
        <w:rPr>
          <w:rFonts w:ascii="Arial" w:cs="Arial" w:eastAsia="Arial" w:hAnsi="Arial"/>
          <w:sz w:val="17"/>
          <w:szCs w:val="17"/>
          <w:color w:val="auto"/>
        </w:rPr>
        <w:t xml:space="preserve"> </w:t>
      </w:r>
      <w:r>
        <w:rPr>
          <w:rFonts w:ascii="Arial" w:cs="Arial" w:eastAsia="Arial" w:hAnsi="Arial"/>
          <w:sz w:val="17"/>
          <w:szCs w:val="17"/>
          <w:i w:val="1"/>
          <w:iCs w:val="1"/>
          <w:color w:val="auto"/>
        </w:rPr>
        <w:t>Muscular Dystrophy</w:t>
      </w:r>
      <w:r>
        <w:rPr>
          <w:rFonts w:ascii="Arial" w:cs="Arial" w:eastAsia="Arial" w:hAnsi="Arial"/>
          <w:sz w:val="17"/>
          <w:szCs w:val="17"/>
          <w:color w:val="auto"/>
        </w:rPr>
        <w:t>, a rare, fatal, genetic neuromuscular disease results in deterioration of the skeletal, heart and lung muscles. Investigational new study</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applications have been cleared by the FDA enabling us to launch clinical studies in each of these areas.</w:t>
      </w:r>
    </w:p>
    <w:p>
      <w:pPr>
        <w:spacing w:after="0" w:line="109"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We have also completed two pilot Phase II studies involving 1) patients suffering from Hepatorenal Syndrome, a life-threatening condition involving liver and kidney failure and 2) patients with Portal Hypertension associated with chronic liver disease. There were no significant safety issues identified with the use of ifetroban in these patients.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Additional pilot studies of ifetroban are underway, including several investigator-initiated trials.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Enrollment in our clinical studies was interrupted during 2021 and 2020 due to the COVID-19 pandemic. In 2022, many of our clinical study sites have reopened and resumed screening of patients for potential enrollment into our studies. We are awaiting results from the studies underway before deciding on the best development path for the registration of ifetroban, our first new chemical entity.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Hospital Product Candidate Study</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Cumberland was responsible for the formulation, development and FDA approval of both Acetadote and Caldolor. Our Medical Advisory Board has helped us identify additional opportunities that address unmet or poorly met medical needs. As a result, Cumberland has successfully designed, formulated and completed preclinical studies for a cholesterol reducing agent for use in the hospital setting.</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previously completed a Phase I study which defined the pharmacokinetic properties and provided a favorable safety profile for this new product candidate. The study results and a proposed clinical development plan were discussed with the FDA.</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Phase II study has been initiated and patient enrollment completed. We have completed the study report, filed it with the FDA and continue to consider next steps for this product development program.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Testing Program</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Cumberland entered into a non-clinical evaluation agreement, to test one of our products against bacterial strains utilizing the preclinical services program</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funded by the Division of Microbiology and Infectious Diseases (“DMID”), part of the National Institute of Allergy and Infectious Diseases (“NIAID”), an institute of the National Institutes of Health (“NIH”), which is part of the Department of Health and Human Services (“HHS”), an agency of the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DEVELOPMENT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Cumberland Foundation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We have formed the </w:t>
      </w:r>
      <w:r>
        <w:rPr>
          <w:rFonts w:ascii="Arial" w:cs="Arial" w:eastAsia="Arial" w:hAnsi="Arial"/>
          <w:sz w:val="18"/>
          <w:szCs w:val="18"/>
          <w:i w:val="1"/>
          <w:iCs w:val="1"/>
          <w:color w:val="auto"/>
        </w:rPr>
        <w:t>Cumberland Pharma Foundation</w:t>
      </w:r>
      <w:r>
        <w:rPr>
          <w:rFonts w:ascii="Arial" w:cs="Arial" w:eastAsia="Arial" w:hAnsi="Arial"/>
          <w:sz w:val="18"/>
          <w:szCs w:val="18"/>
          <w:color w:val="auto"/>
        </w:rPr>
        <w:t xml:space="preserve"> (the “Foundation”) to provide the ongoing philanthropic endeavors of Cumberland Pharmaceuticals Inc.</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Foundation was formed as an independent, nonprofit corporation designed to qualify as a tax-exempt organization pursuant to Section 501(a) of the Internal Revenue Code. The Foundation’s Board of Directors is comprised of Cumberland Pharmaceuticals executives who are responsible for overseeing the Foundation’s ongoing activities including charitable contributions.</w:t>
      </w:r>
    </w:p>
    <w:p>
      <w:pPr>
        <w:spacing w:after="0" w:line="10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initially provided a grant of 50,000 shares of our common stock to the Foundation. The shares will address the ongoing financial needs of the Foundation, with most of the shares expected to be held for the opportunity to realize long term appreciation to support the Foundation’s future.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Foundation maintains independent financial statements and its contributions will not impact the financial statements of Cumberland Pharmaceuticals.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Initial annual grants by the Foundation have been and remain consistent with the historic level of contributions made by Cumberland Pharmaceuticals.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Cumberland Health and Wellness Political Action Committee</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have also formed the </w:t>
      </w:r>
      <w:r>
        <w:rPr>
          <w:rFonts w:ascii="Arial" w:cs="Arial" w:eastAsia="Arial" w:hAnsi="Arial"/>
          <w:sz w:val="18"/>
          <w:szCs w:val="18"/>
          <w:i w:val="1"/>
          <w:iCs w:val="1"/>
          <w:color w:val="auto"/>
        </w:rPr>
        <w:t>Cumberland Health and Wellness Political Action Committee</w:t>
      </w:r>
      <w:r>
        <w:rPr>
          <w:rFonts w:ascii="Arial" w:cs="Arial" w:eastAsia="Arial" w:hAnsi="Arial"/>
          <w:sz w:val="18"/>
          <w:szCs w:val="18"/>
          <w:color w:val="auto"/>
        </w:rPr>
        <w:t xml:space="preserve"> (the “PAC”). The objective of the PAC is to support candidates and policies that are consistent with Cumberland’s mission of advancing patient care. The PAC’s activities will be at the local, state and federal level and conducted in a bi-partisan manner.</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initial committee membership is comprised of Cumberland Pharmaceuticals employees. The PAC received initial funding from us, and future funding will include voluntary individual contributions from Cumberland Pharmaceuticals directors and employees.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DISTRIBUTION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partner with third parties for certain non-core, capital-intensive capabilities, including the manufacturing and distribution of our products. We manage these third-party relationships and are responsible for the quality review and release of each lot of our products.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Acetadote</w:t>
      </w:r>
      <w:r>
        <w:rPr>
          <w:rFonts w:ascii="Arial" w:cs="Arial" w:eastAsia="Arial" w:hAnsi="Arial"/>
          <w:sz w:val="23"/>
          <w:szCs w:val="23"/>
          <w:b w:val="1"/>
          <w:bCs w:val="1"/>
          <w:i w:val="1"/>
          <w:iCs w:val="1"/>
          <w:color w:val="auto"/>
          <w:vertAlign w:val="superscript"/>
        </w:rPr>
        <w: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We have an agreement with one manufacturer, who provided commercial supplies of Acetadote in 2022.</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Caldolor</w:t>
      </w:r>
      <w:r>
        <w:rPr>
          <w:rFonts w:ascii="Arial" w:cs="Arial" w:eastAsia="Arial" w:hAnsi="Arial"/>
          <w:sz w:val="23"/>
          <w:szCs w:val="23"/>
          <w:b w:val="1"/>
          <w:bCs w:val="1"/>
          <w:i w:val="1"/>
          <w:iCs w:val="1"/>
          <w:color w:val="auto"/>
          <w:vertAlign w:val="superscript"/>
        </w:rPr>
        <w:t>®</w:t>
      </w:r>
    </w:p>
    <w:p>
      <w:pPr>
        <w:spacing w:after="0" w:line="1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agreements with multiple manufacturers for the supply of Caldolor and during 2022 we obtained commercial supplies from three of these manufacturers for our international and domestic Caldolor requirements.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Kristalose</w:t>
      </w:r>
      <w:r>
        <w:rPr>
          <w:rFonts w:ascii="Arial" w:cs="Arial" w:eastAsia="Arial" w:hAnsi="Arial"/>
          <w:sz w:val="23"/>
          <w:szCs w:val="23"/>
          <w:b w:val="1"/>
          <w:bCs w:val="1"/>
          <w:color w:val="auto"/>
          <w:vertAlign w:val="superscript"/>
        </w:rPr>
        <w:t>®</w:t>
      </w:r>
    </w:p>
    <w:p>
      <w:pPr>
        <w:spacing w:after="0" w:line="1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an agreement for the purchase of Kristalose API with an international supplier. We also had manufacturing arrangements with a packager who provided finished supplies of the product for commercial and sampling purposes during 2022.</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Omeclamox-Pak</w:t>
      </w:r>
      <w:r>
        <w:rPr>
          <w:rFonts w:ascii="Arial" w:cs="Arial" w:eastAsia="Arial" w:hAnsi="Arial"/>
          <w:sz w:val="23"/>
          <w:szCs w:val="23"/>
          <w:b w:val="1"/>
          <w:bCs w:val="1"/>
          <w:color w:val="auto"/>
          <w:vertAlign w:val="superscript"/>
        </w:rPr>
        <w:t>®</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packager for Omeclamox-Pak encountered financial difficulties in 2020 due to the economic impact of COVID-19, and their operations are currently suspended. As a result, we depleted our inventory of the product and notified the FDA that the product is currently unavailable. We are awaiting resumption of those operations, while also exploring other alternatives to restart the product’s packaging.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RediTrex</w:t>
      </w:r>
      <w:r>
        <w:rPr>
          <w:rFonts w:ascii="Arial" w:cs="Arial" w:eastAsia="Arial" w:hAnsi="Arial"/>
          <w:sz w:val="23"/>
          <w:szCs w:val="23"/>
          <w:b w:val="1"/>
          <w:bCs w:val="1"/>
          <w:color w:val="auto"/>
          <w:vertAlign w:val="superscript"/>
        </w:rPr>
        <w:t>®</w:t>
      </w:r>
    </w:p>
    <w:p>
      <w:pPr>
        <w:spacing w:after="0" w:line="9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2016, we entered into an agreement to acquire the exclusive U.S. rights to an injectable methotrexate product line of pre-filled syringes. In 2019, we received FDA approval for the product line. Our licensor is responsible for providing us the packaged and labeled commercial supply of the product.</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2022, we entered into two amendments to our agreement with Nordic Pharma. Pursuant to the amendments, in exchange for financial consideration, Nordic may assume responsibility for distributing the methotrexate products in the U.S. after June 30, 2023.</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Sancuso</w:t>
      </w:r>
      <w:r>
        <w:rPr>
          <w:rFonts w:ascii="Arial" w:cs="Arial" w:eastAsia="Arial" w:hAnsi="Arial"/>
          <w:sz w:val="23"/>
          <w:szCs w:val="23"/>
          <w:i w:val="1"/>
          <w:iCs w:val="1"/>
          <w:color w:val="auto"/>
          <w:vertAlign w:val="superscript"/>
        </w:rPr>
        <w:t>®</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the acquisition of Sancuso, we obtained an initial supply of finished goods inventory. The agreement with the manufacturer of Sancuso was assigned to us and there were additional goods supplied to us during 2022. The production is in the process of being moved to one of the manufacturer’s other facilities. In late 2022, that new facility was approved by the FDA to manufacture and supply Sancuso.</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Vaprisol</w:t>
      </w:r>
      <w:r>
        <w:rPr>
          <w:rFonts w:ascii="Arial" w:cs="Arial" w:eastAsia="Arial" w:hAnsi="Arial"/>
          <w:sz w:val="23"/>
          <w:szCs w:val="23"/>
          <w:b w:val="1"/>
          <w:bCs w:val="1"/>
          <w:color w:val="auto"/>
          <w:vertAlign w:val="superscript"/>
        </w:rPr>
        <w:t>®</w:t>
      </w:r>
    </w:p>
    <w:p>
      <w:pPr>
        <w:spacing w:after="0" w:line="10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part of the acquisition of Vaprisol, we obtained a significant existing supply of raw material inventory. We reached an agreement during 2020 with a new manufacturer to provide us with long-term supplies of the product. We subsequently completed the transfer of the product’s manufacturing to the new facility in 2021. We informed the FDA that supplies of the product are not currently available and are awaiting approval for that new facility. Our new manufacturing partner is working with the FDA to address several Form 483 and warning letter issues in a timely manner. Meanwhile, we are working with them to support a special, interim supply of compounded product for critically ill patients, while awaiting the needed facility approval to relaunch Vaprisol.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Vibativ</w:t>
      </w:r>
      <w:r>
        <w:rPr>
          <w:rFonts w:ascii="Arial" w:cs="Arial" w:eastAsia="Arial" w:hAnsi="Arial"/>
          <w:sz w:val="23"/>
          <w:szCs w:val="23"/>
          <w:b w:val="1"/>
          <w:bCs w:val="1"/>
          <w:color w:val="auto"/>
          <w:vertAlign w:val="superscript"/>
        </w:rPr>
        <w:t>®</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 our acquisition of Vibativ, we obtained a multi-year supply of raw material, work in process and finished goods inventory. As a result of the agreement, we are now responsible for the future manufacturing of the product. We completed the transfer of the product’s manufacturing activities to a new supplier and received FDA approval for that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Like many pharmaceutical companies, we engage a third-party with appropriate facilities and logistical expertise to support the U.S. distribution of our products. In 2022, Cardinal Health Specialty Solutions exclusively handled our U.S. product logistics activities, including warehousing, shipping, and various other customer activities. Our primary customers are the wholesalers of pharmaceuticals who provide our products to hospitals, clinics and retail pharmacies in the U.S.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OTHER INTELLECTUAL PROPRIETARY RIGHTS</w:t>
      </w:r>
    </w:p>
    <w:p>
      <w:pPr>
        <w:spacing w:after="0" w:line="16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own the trademarks for each of our branded pharmaceutical products as well as for our corporate name and logo. We have applied for trademark registration for other various names and logos. Over time, we intend to maintain registrations on trademarks that remain valuable to our business.</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seek to protect our products from competition through a combination of patents, trademarks, trade secrets, FDA exclusivity and contractual restrictions on disclosure. Proprietary rights, including patents, are an important element of our business. We seek to protect our proprietary information by requiring our employees, consultants, contractors and other advisors to execute agreements providing for protection of our confidential information upon commencement of their employment or engagement. We also require confidentiality agreements from entities to which we provide our confidential information or materials.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Acetadote</w:t>
      </w:r>
      <w:r>
        <w:rPr>
          <w:rFonts w:ascii="Arial" w:cs="Arial" w:eastAsia="Arial" w:hAnsi="Arial"/>
          <w:sz w:val="23"/>
          <w:szCs w:val="23"/>
          <w:b w:val="1"/>
          <w:bCs w:val="1"/>
          <w:color w:val="auto"/>
          <w:vertAlign w:val="superscript"/>
        </w:rPr>
        <w:t>®</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developed a new formulation of Acetadote (acetylcysteine) Injection as part of a Phase IV commitment in response to a request by the FDA to evaluate the reduction of ethylene diamine tetraacetic acid ("EDTA")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product's formulation. In April 2012, the USPTO issued U.S. Patent number 8,148,356 (the “356 Acetadote Patent”) which is assigned to us. The claims of the 356 Acetadote Patent encompass the new Acetadote formulation and include composition of matter claims. Following its issuance, the 356 Acetadote Patent was listed in the FDA Orange Book. The 356 Acetadote Patent is scheduled to expire in May 2026, which time period includes a 270-day patent term adjustment granted by the USPTO.</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issuance of the 356 Acetadote Patent, we received separate Paragraph IV certification notices from InnoPharma, Inc. ("InnoPharma"), Paddock Laboratories, LLC (“Paddock”), Mylan Institutional LLC (“Mylan”), Sagent Agila LLC ("Sagent") and Perrigo Company ("Perrigo") challenging the 356 Acetadote Patent on the basis of non-infringement and/or invalidity. We responded by filing five separate infringement lawsuits, in the appropriate United States District Courts, to contest each of the challenges.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12, 2012, we entered into a Settlement Agreement (the “Settlement Agreement”) with Paddock and Perrigo to resolve the challenges and the pending litigation with those two companies.</w:t>
      </w:r>
    </w:p>
    <w:p>
      <w:pPr>
        <w:spacing w:after="0" w:line="10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November 1, 2013, the United States District Courts filed opinions granting Sagent’s and InnoPharma’s motions to dismiss our suits and we agreed not to file an appeal or motion to reconsider, thereby resolving the challenges and the pending litigation with those two companies.</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Settlement Agreement, Paddock and Perrigo admit that the 356 Acetadote Patent is valid and enforceable and that any Paddock or Perrigo generic version of Acetadote (with or without EDTA) would infringe upon the 356 Acetadote Patent. In addition, Paddock and Perrigo will not challenge the validity, enforceability, ownership or patentability of the 356 Acetadote Patent through its expiration currently scheduled for May 2026. On November 12, 2012, in connection with the execution of the Settlement Agreement, we entered into a License and Supply Agreement with Paddock and Perrigo (the “License and Supply Agreement”).</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terms of the License and Supply Agreement, if a third party receives final approval from the FDA for an ANDA to sell a generic Acetadote product and such third party made such generic version available for purchase in commercial quantities in the United States, we are to supply Perrigo with an Authorized Generic version of our Acetadote product.</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18, 2012, we also submitted a Citizen Petition to the FDA requesting that the FDA refrain from approving any applications for acetylcysteine injection that contain EDTA, based in part on the FDA's request that we evaluate the reduction or removal of EDTA from our original Acetadote formulation.</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7, 2012, the FDA responded to the Citizen Petition denying our request and on November 8, 2012, we learned that the FDA approved the ANDA referencing Acetadote filed by InnoPharma, Inc. We brought suit against the FDA contesting the FDA's decision to approve the InnoPharma generic on November 13, 2012.</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On September 30, 2013, the United States District Court filed an opinion granting a summary judgment in favor of the FDA regarding this suit.</w:t>
      </w:r>
    </w:p>
    <w:p>
      <w:pPr>
        <w:spacing w:after="0" w:line="16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noted above, during 2012 the FDA approved the ANDA referencing Acetadote filed by InnoPharma, Inc. Upon this condition, in accordance with the License and Supply agreement with Perrigo, we began to supply Perrigo with our Authorized Generic. On January 7, 2013, Perrigo announced initial distribution of our Authorized Generic acetylcysteine injection product.</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On March 19, 2013, the USPTO issued U.S. Patent number 8,399,445 (the “445 Acetadote Patent”) which is assigned to us. The claims of the 445</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Acetadote Patent encompass the use of the 200 mg/ml Acetadote formulation to treat patients with acetaminophen overdose. On April 8, 2013, the 445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Acetadote Patent was listed in the FDA Orange Book. The 445 Acetadote Patent is scheduled to expire in August 2025. Following the issuance of the 445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Acetadote Patent we received separate Paragraph IV certification notices from Perrigo, Sagent Pharmaceuticals, Inc., and Mylan challenging the 445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Acetadote Patent on the basis of non-infringement, unenforceability and/or invalidity.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10, 2013, we became aware of a Paragraph IV certification notice from Akorn, Inc. challenging the 445 Acetadote Patent and the 356 Acetadote Patent on the basis of non-infringement. On July 12, 2013, we filed a lawsuit for infringement of the 356 Acetadote Patent against Akorn, Inc. in United States District Court.</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18, 2014, the USPTO issued U.S. Patent number 8,653,061 (the “061 Acetadote Patent”) which is assigned to us. The claims of the 061 Acetadote Patent encompass the use of the 200 mg/ml Acetadote formulation to treat patients with acetaminophen overdose. Following its issuance, the 061 Acetadote Patent was listed in the FDA Orange Book. The 061 Acetadote Patent is scheduled to expire in August 2025.</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13, 2014, the USPTO issued U.S. Patent number 8,722,738 (the “738 Acetadote Patent”) which is assigned to us. The claims of the 738 Acetadote Patent encompass administration methods of acetylcysteine injection, without specification of the presence or lack of EDTA in the injection. Following its issuance, the 738 Acetadote Patent was listed in the FDA Orange Book and it is scheduled to expire in April 2032.</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11, 2014, and March 3, 2015, we became aware of Paragraph IV certification notices from Aurobindo Pharma Limited and Zydus Pharmaceuticals (USA) Inc., respectively, challenging the 356, 445, 061, and 738 Acetadote Patents on the basis of non-infringement.</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10, 2015, the USPTO issued U.S. Patent number 8,952,065 (the “065 Acetadote Patent”) which is assigned to us. The claims of the 065 Acetadote Patent encompass the use of the 200 mg/ml Acetadote formulation to treat patients with acute liver failure. The 065 Acetadote Patent is scheduled to expire in August 2025.</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30, 2015, the United States District Court for the Northern District of Illinois, Eastern Division ("District Court") ruled in our favor in our lawsuit against Mylan for infringement of the 445 Acetadote Patent. The opinion upheld our 445 Acetadote Patent and expressly rejected Mylan's validity challenge. The District Court ruled that Mylan is liable to us for infringement of the 445 Acetadote patent in light of Mylan's Abbreviated New Drug Application in which Mylan sought to market a generic version of Acetadote.</w:t>
      </w:r>
    </w:p>
    <w:p>
      <w:pPr>
        <w:spacing w:after="0" w:line="11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November 17, 2015, the District Court entered an order enjoining Mylan and its affiliates from selling or using its generic version of Acetadote until August 2025, the date of expiration of the 445 Acetadote Patent. On October 30, 2015, Mylan filed a notice of appeal to the U.S. Court of Appeals for the Federal Circuit (the "Appeals Court").</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3, 2016, the USPTO issued U.S. Patent number 9,327,028 (the “028 Acetadote Patent”) which is assigned to us. The claims of the 028 Acetadote Patent encompass administration methods of acetylcysteine injection, without specification of the presence or lack of EDTA in the injection. Following its issuance, the 028 Acetadote Patent was listed in the FDA Orange Book and it is scheduled to expire in July 2031.</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26, 2017, the Appeals Court affirmed the District Court ruling in our favor in our lawsuit against Mylan for infringement of the 445 Acetadote Patent. The Appeals Court opinion affirmed the District Court’s ruling upholding our 445 Acetadote Patent and expressly rejected Mylan's validity challenge.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3, 2017, we became aware of a Paragraph IV certification notice from Exela Pharma Sciences, LLC challenging the 356, 445, 061, 738, and 028 Acetadote Patents on the basis of non-infringement.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Caldolor</w:t>
      </w:r>
      <w:r>
        <w:rPr>
          <w:rFonts w:ascii="Arial" w:cs="Arial" w:eastAsia="Arial" w:hAnsi="Arial"/>
          <w:sz w:val="23"/>
          <w:szCs w:val="23"/>
          <w:b w:val="1"/>
          <w:bCs w:val="1"/>
          <w:color w:val="auto"/>
          <w:vertAlign w:val="superscript"/>
        </w:rPr>
        <w:t>®</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an exclusive, worldwide license to clinical data for intravenous ibuprofen from Vanderbilt University, in consideration for royalty obligations related to Caldolor. During 2014, we obtained additional patents for the brand. On May 27, 2014, the USPTO issued U.S. Patent number 8,735,452 (the “452 Caldolor Patent”) which is assigned to us. The claims of the 452 Caldolor Patent encompass methods of treating pain using intravenous ibuprofen. Following its issuance, the 452 Caldolor Patent was listed in the FDA Orange Book and is scheduled to expire in September 2029.</w:t>
      </w:r>
    </w:p>
    <w:p>
      <w:pPr>
        <w:spacing w:after="0" w:line="10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October 28, 2014, the USPTO issued U.S. Patent number 8,871,810 (the “810 Caldolor Patent”) which is assigned to us. The claims of the 810 Caldolor Patent encompass methods of treating pain using intravenous ibuprofen. Following its issuance, the 810 Caldolor Patent was listed in the FDA Orange Book and is scheduled to expire in September 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third quarter of 2015, we obtained four additional patents for Caldolor. On July 7, 2015, the USPTO issued U.S. Patent number’s 9,072,710 (the “710 Caldolor Patent”) and 9,072,661 (the “661 Caldolor Patent”) which are assigned to us. The claims of the 710 Caldolor Patent and the 661 Caldolor Patent include composition and methods of treating pain, inflammation and fever using intravenous ibuprofen. These Caldolor Patents are listed in the FDA Orange Book and are scheduled to expire in March 2032. On April 21, 2015, the USPTO issued U.S. Patent No. 9,012,508 (the “508 Caldolor Patent”) which is assigned to us.</w:t>
      </w:r>
    </w:p>
    <w:p>
      <w:pPr>
        <w:spacing w:after="0" w:line="10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claims of the 508 Caldolor Patent include methods of treating pain using intravenous ibuprofen. Following its issuance, the 508 Caldolor Patent was listed in the FDA Orange Book and is scheduled to expire in September 2030. On August 25, 2015, the USPTO issued U.S. Patent number 9,114,068 (the “068 Caldolor Patent”) which is assigned to us. The claims of the 068 Caldolor Patent include methods of treating pain using intravenous ibuprofen.</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its issuance, the 068 Caldolor Patent was listed in the FDA Orange Book and is scheduled to expire in September 2029. On September 22, 2015, the USPTO issued U.S. Patent number 9,138,404 (the “404 Caldolor Patent”) which is assigned to us.</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claims of the 404 Caldolor Patent include methods of treating pain in critically ill patients with intravenous ibuprofen. Following its issuance, the 404 Caldolor Patent was listed in the FDA Orange Book and is scheduled to expire in September 2029.</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29, 2016, the USPTO issued U.S. Patent number 9,295,639 (the "639 Caldolor Patent") which is assigned to us. The claims of the 639 Caldolor Patent include methods of treating pain in critically ill patients with intravenous ibuprofen. Following its issuance, the 639 Caldolor Patent was listed in the FDA Orange Book and is scheduled to expire in September 2029.</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May 16, 2017, the USPTO issued U.S. Patent number 9,649,284 (the "284 Caldolor Patent") which is assigned to us. The claims of the 284 Caldolor Patent include methods of treating pain in critically ill patients with intravenous ibuprofen. Following its issuance, the 284 Caldolor Patent was listed in the FDA Orange Book and is scheduled to expire in September 2029. We also have additional patent applications related to Caldolor pending with the USPTO.</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Vibativ</w:t>
      </w:r>
      <w:r>
        <w:rPr>
          <w:rFonts w:ascii="Arial" w:cs="Arial" w:eastAsia="Arial" w:hAnsi="Arial"/>
          <w:sz w:val="23"/>
          <w:szCs w:val="23"/>
          <w:b w:val="1"/>
          <w:bCs w:val="1"/>
          <w:color w:val="auto"/>
          <w:vertAlign w:val="superscript"/>
        </w:rPr>
        <w:t>®</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own numerous U.S. patents and related international patents for Vibativ. These patents were acquired in our November 2018 acquisition of certain product rights, intellectual property and related assets of Vibativ from Theravance. Two Vibativ patents are listed in the FDA Orange Book. U.S. Patent number 7,531,623 (the “623 Vibativ Patent”) is scheduled to expire in January 2027 and includes composition of matter claims that encompass the Vibativ drug substance as well as methods for preparing the Vibativ drug substance.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Sancuso</w:t>
      </w:r>
      <w:r>
        <w:rPr>
          <w:rFonts w:ascii="Arial" w:cs="Arial" w:eastAsia="Arial" w:hAnsi="Arial"/>
          <w:sz w:val="23"/>
          <w:szCs w:val="23"/>
          <w:b w:val="1"/>
          <w:bCs w:val="1"/>
          <w:i w:val="1"/>
          <w:iCs w:val="1"/>
          <w:color w:val="auto"/>
          <w:vertAlign w:val="superscript"/>
        </w:rPr>
        <w:t>®</w:t>
      </w:r>
    </w:p>
    <w:p>
      <w:pPr>
        <w:spacing w:after="0" w:line="1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the owner of U.S. Patent number 7,608,282 (the “282 Sancuso Patent”) for Sancuso. This patent was acquired in our December 2021 acquisition, that closed in January 2022, of certain product rights, intellectual property and related assets of Sancuso from Kyowa Kirin, Inc. The 282 Sancuso Patent is listed in the FDA Orange Book and is scheduled to expire in January 2025. The 282 Sancuso Patent includes composition of matter claims that encompass the Sancuso drug product as well as methods of using Sancuso for treatment and/or prophylaxis.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Products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issued patents for our Vaprisol, RediTrex, Omeclamox-Pak or Kristalose products. We have multiple granted patents relating to our ifetroban products and patent applications pending with the USPTO.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pharmaceutical industry is characterized by intense competition and rapid innovation. Our continued success in developing and commercializing pharmaceutical products will depend, in part, upon our ability to compete against existing and future products in our target markets. Competitive factors directly affecting our markets include but are not limited to:</w:t>
      </w:r>
    </w:p>
    <w:p>
      <w:pPr>
        <w:spacing w:after="0" w:line="11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attributes such as efficacy, safety, ease-of-use and cost-effectiveness;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brand awareness and recognition driven by sales, marketing and distribution capabilities;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intellectual property and other exclusivity rights;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availability of resources to build and maintain developmental and commercial capabilities;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 business development activities;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extent of third-party reimbursements, insurance coverage;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establishment of advantageous collaborations to conduct development, manufacturing or commercialization efforts.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number of our competitors possess research and development and sales and marketing capabilities as well as financial resources greater than ours. These competitors, in addition to emerging companies and academic research institutions, may be developing, or in the future could develop, new technologies that could compete with our current and future products or render our products obsolete.</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products face competition from other branded products, generics, and alternate medical treatments. Our task is to position each brand to feature its competitive advantages, implement a well thought out marketing plan and provide focused sales and other tactical support.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Acetadote</w:t>
      </w:r>
      <w:r>
        <w:rPr>
          <w:rFonts w:ascii="Arial" w:cs="Arial" w:eastAsia="Arial" w:hAnsi="Arial"/>
          <w:sz w:val="23"/>
          <w:szCs w:val="23"/>
          <w:b w:val="1"/>
          <w:bCs w:val="1"/>
          <w:color w:val="auto"/>
          <w:vertAlign w:val="superscript"/>
        </w:rPr>
        <w:t>®</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Acetadote is our injectable formulation of N-acetylcysteine </w:t>
      </w:r>
      <w:r>
        <w:rPr>
          <w:rFonts w:ascii="Arial" w:cs="Arial" w:eastAsia="Arial" w:hAnsi="Arial"/>
          <w:sz w:val="18"/>
          <w:szCs w:val="18"/>
          <w:i w:val="1"/>
          <w:iCs w:val="1"/>
          <w:color w:val="auto"/>
        </w:rPr>
        <w:t>("</w:t>
      </w:r>
      <w:r>
        <w:rPr>
          <w:rFonts w:ascii="Arial" w:cs="Arial" w:eastAsia="Arial" w:hAnsi="Arial"/>
          <w:sz w:val="18"/>
          <w:szCs w:val="18"/>
          <w:color w:val="auto"/>
        </w:rPr>
        <w:t>NAC") for the treatment of acetaminophen overdose. NAC is accepted worldwide as the standard of care for acetaminophen overdose. Our competitors in the acetaminophen overdose market are those companies selling orally administered NAC including, but not limited to, Geneva Pharmaceuticals, Inc., Bedford Laboratories division of Hikma Pharmaceuticals, Roxane Laboratories, Inc., InnoPharma Inc. and Hospira Inc.</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2012, InnoPharma Inc. was granted approval by the FDA to distribute their generic form of the old formulation of Acetadote containing EDTA. In late 2012, we entered into the Settlement Agreement with Paddock and Perrigo that included the right to distribute our Authorized Generic Acetadote injection product. Our branded Acetadote now competes with both the EDTA free Authorized Generic Acetadote distributed by Paddock and Perrigo along with generic Acetadote products that contain EDTA.</w:t>
      </w:r>
    </w:p>
    <w:p>
      <w:pPr>
        <w:spacing w:after="0" w:line="119" w:lineRule="exact"/>
        <w:rPr>
          <w:sz w:val="20"/>
          <w:szCs w:val="20"/>
          <w:color w:val="auto"/>
        </w:rPr>
      </w:pPr>
    </w:p>
    <w:p>
      <w:pPr>
        <w:ind w:right="1780"/>
        <w:spacing w:after="0" w:line="364" w:lineRule="auto"/>
        <w:rPr>
          <w:sz w:val="20"/>
          <w:szCs w:val="20"/>
          <w:color w:val="auto"/>
        </w:rPr>
      </w:pPr>
      <w:r>
        <w:rPr>
          <w:rFonts w:ascii="Arial" w:cs="Arial" w:eastAsia="Arial" w:hAnsi="Arial"/>
          <w:sz w:val="18"/>
          <w:szCs w:val="18"/>
          <w:color w:val="auto"/>
        </w:rPr>
        <w:t xml:space="preserve">Manufacturers of the old Acetadote formulation include: Akorn, AuroMedics Pharma, Fresenius Kabi and Sagent Pharmaceuticals. </w:t>
      </w:r>
      <w:r>
        <w:rPr>
          <w:rFonts w:ascii="Arial" w:cs="Arial" w:eastAsia="Arial" w:hAnsi="Arial"/>
          <w:sz w:val="18"/>
          <w:szCs w:val="18"/>
          <w:b w:val="1"/>
          <w:bCs w:val="1"/>
          <w:i w:val="1"/>
          <w:iCs w:val="1"/>
          <w:color w:val="auto"/>
        </w:rPr>
        <w:t>Caldolor</w:t>
      </w:r>
      <w:r>
        <w:rPr>
          <w:rFonts w:ascii="Arial" w:cs="Arial" w:eastAsia="Arial" w:hAnsi="Arial"/>
          <w:sz w:val="23"/>
          <w:szCs w:val="23"/>
          <w:b w:val="1"/>
          <w:bCs w:val="1"/>
          <w:color w:val="auto"/>
          <w:vertAlign w:val="superscript"/>
        </w:rPr>
        <w:t>®</w:t>
      </w:r>
    </w:p>
    <w:p>
      <w:pPr>
        <w:jc w:val="both"/>
        <w:ind w:right="20"/>
        <w:spacing w:after="0" w:line="277" w:lineRule="auto"/>
        <w:rPr>
          <w:sz w:val="20"/>
          <w:szCs w:val="20"/>
          <w:color w:val="auto"/>
        </w:rPr>
      </w:pPr>
      <w:r>
        <w:rPr>
          <w:rFonts w:ascii="Arial" w:cs="Arial" w:eastAsia="Arial" w:hAnsi="Arial"/>
          <w:sz w:val="18"/>
          <w:szCs w:val="18"/>
          <w:color w:val="auto"/>
        </w:rPr>
        <w:t>Caldolor is marketed for the treatment of pain and fever, primarily in a hospital or surgery center setting. A variety of other products address the acute pain market:</w:t>
      </w:r>
    </w:p>
    <w:p>
      <w:pPr>
        <w:spacing w:after="0" w:line="103" w:lineRule="exact"/>
        <w:rPr>
          <w:sz w:val="20"/>
          <w:szCs w:val="20"/>
          <w:color w:val="auto"/>
        </w:rPr>
      </w:pPr>
    </w:p>
    <w:p>
      <w:pPr>
        <w:ind w:left="980" w:right="2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Morphine, the most commonly used product for the treatment of acute, post-operative pain, is manufactured and distributed by several generic pharmaceutical companies;</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generic injectable opioids, including fentanyl, meperidine and hydromorphone, address this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25" w:lineRule="exact"/>
        <w:rPr>
          <w:sz w:val="20"/>
          <w:szCs w:val="20"/>
          <w:color w:val="auto"/>
        </w:rPr>
      </w:pPr>
    </w:p>
    <w:p>
      <w:pPr>
        <w:ind w:left="980" w:hanging="324"/>
        <w:spacing w:after="0" w:line="229"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Ketorolac tromethamine (brand name Toradol</w:t>
      </w:r>
      <w:r>
        <w:rPr>
          <w:rFonts w:ascii="Arial" w:cs="Arial" w:eastAsia="Arial" w:hAnsi="Arial"/>
          <w:sz w:val="23"/>
          <w:szCs w:val="23"/>
          <w:color w:val="auto"/>
          <w:vertAlign w:val="superscript"/>
        </w:rPr>
        <w:t>®</w:t>
      </w:r>
      <w:r>
        <w:rPr>
          <w:rFonts w:ascii="Arial" w:cs="Arial" w:eastAsia="Arial" w:hAnsi="Arial"/>
          <w:sz w:val="18"/>
          <w:szCs w:val="18"/>
          <w:color w:val="auto"/>
        </w:rPr>
        <w:t>), an injectable NSAID, is also manufactured and distributed by several generic pharmaceutical companies;</w:t>
      </w:r>
    </w:p>
    <w:p>
      <w:pPr>
        <w:spacing w:after="0" w:line="122" w:lineRule="exact"/>
        <w:rPr>
          <w:rFonts w:ascii="Arial" w:cs="Arial" w:eastAsia="Arial" w:hAnsi="Arial"/>
          <w:sz w:val="18"/>
          <w:szCs w:val="18"/>
          <w:color w:val="auto"/>
        </w:rPr>
      </w:pPr>
    </w:p>
    <w:p>
      <w:pPr>
        <w:ind w:left="980" w:hanging="324"/>
        <w:spacing w:after="0" w:line="22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IV acetaminophen (brand name Ofirmev</w:t>
      </w:r>
      <w:r>
        <w:rPr>
          <w:rFonts w:ascii="Arial" w:cs="Arial" w:eastAsia="Arial" w:hAnsi="Arial"/>
          <w:sz w:val="23"/>
          <w:szCs w:val="23"/>
          <w:color w:val="auto"/>
          <w:vertAlign w:val="superscript"/>
        </w:rPr>
        <w:t>®)</w:t>
      </w:r>
      <w:r>
        <w:rPr>
          <w:rFonts w:ascii="Arial" w:cs="Arial" w:eastAsia="Arial" w:hAnsi="Arial"/>
          <w:sz w:val="18"/>
          <w:szCs w:val="18"/>
          <w:color w:val="auto"/>
        </w:rPr>
        <w:t>, an injectable analgesic product is sold by Mallinckrodt plc, and there are also generic versions from different manufacturers available; and</w:t>
      </w:r>
    </w:p>
    <w:p>
      <w:pPr>
        <w:spacing w:after="0" w:line="133" w:lineRule="exact"/>
        <w:rPr>
          <w:rFonts w:ascii="Arial" w:cs="Arial" w:eastAsia="Arial" w:hAnsi="Arial"/>
          <w:sz w:val="18"/>
          <w:szCs w:val="18"/>
          <w:color w:val="auto"/>
        </w:rPr>
      </w:pPr>
    </w:p>
    <w:p>
      <w:pPr>
        <w:ind w:left="980" w:hanging="324"/>
        <w:spacing w:after="0" w:line="221" w:lineRule="auto"/>
        <w:tabs>
          <w:tab w:leader="none" w:pos="975" w:val="left"/>
        </w:tabs>
        <w:numPr>
          <w:ilvl w:val="0"/>
          <w:numId w:val="10"/>
        </w:numPr>
        <w:rPr>
          <w:rFonts w:ascii="Arial" w:cs="Arial" w:eastAsia="Arial" w:hAnsi="Arial"/>
          <w:sz w:val="22"/>
          <w:szCs w:val="22"/>
          <w:color w:val="auto"/>
        </w:rPr>
      </w:pPr>
      <w:r>
        <w:rPr>
          <w:rFonts w:ascii="Arial" w:cs="Arial" w:eastAsia="Arial" w:hAnsi="Arial"/>
          <w:sz w:val="18"/>
          <w:szCs w:val="18"/>
          <w:color w:val="auto"/>
        </w:rPr>
        <w:t>Bupivacaine injectable suspension (brand name Exparel</w:t>
      </w:r>
      <w:r>
        <w:rPr>
          <w:rFonts w:ascii="Arial" w:cs="Arial" w:eastAsia="Arial" w:hAnsi="Arial"/>
          <w:sz w:val="28"/>
          <w:szCs w:val="28"/>
          <w:color w:val="auto"/>
          <w:vertAlign w:val="superscript"/>
        </w:rPr>
        <w:t>®</w:t>
      </w:r>
      <w:r>
        <w:rPr>
          <w:rFonts w:ascii="Arial" w:cs="Arial" w:eastAsia="Arial" w:hAnsi="Arial"/>
          <w:sz w:val="18"/>
          <w:szCs w:val="18"/>
          <w:color w:val="auto"/>
        </w:rPr>
        <w:t>), product sold by Pacira Pharmaceuticals, Inc., two additional bupivacaine products, Xaracoll and Posimir, were more recently approved.</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aware of other product candidates in development to treat acute pain including injectable NSAIDs, novel opioids, new formulations of existing therapies and extended release anesthetics. We believe non-narcotic analgesics for the treatment of post-surgical pain are the primary potential competitors to Caldolor.</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the injectable analgesic products above, many companies are developing analgesics for specific indications such as migraine and neuropathic pain, oral extended-release forms of existing narcotic and non-narcotic products, as well as those with new methods of delivery such as transdermal. We are not aware of any approved injectable products indicated for the treatment of fever in the U.S. other than Caldolor and Ofirmev.</w:t>
      </w:r>
    </w:p>
    <w:p>
      <w:pPr>
        <w:spacing w:after="0" w:line="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however, numerous drugs available to physicians to reduce fevers in hospital settings via oral administration to the patient, including ibuprofen, acetaminophen, and aspirin. These drugs are manufactured by numerous pharmaceutical companies.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Kristalose</w:t>
      </w:r>
      <w:r>
        <w:rPr>
          <w:rFonts w:ascii="Arial" w:cs="Arial" w:eastAsia="Arial" w:hAnsi="Arial"/>
          <w:sz w:val="23"/>
          <w:szCs w:val="23"/>
          <w:b w:val="1"/>
          <w:bCs w:val="1"/>
          <w:color w:val="auto"/>
          <w:vertAlign w:val="superscript"/>
        </w:rPr>
        <w:t>®</w:t>
      </w:r>
    </w:p>
    <w:p>
      <w:pPr>
        <w:spacing w:after="0" w:line="9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Kristalose is a dry powder crystalline prescription formulation of lactulose indicated for the treatment of constipation. The U.S. constipation therapy market includes various prescription and over the counter, or OTC, products. The branded prescription products which we believe are our primary competitors are:</w:t>
      </w:r>
    </w:p>
    <w:p>
      <w:pPr>
        <w:spacing w:after="0" w:line="41" w:lineRule="exact"/>
        <w:rPr>
          <w:sz w:val="20"/>
          <w:szCs w:val="20"/>
          <w:color w:val="auto"/>
        </w:rPr>
      </w:pPr>
    </w:p>
    <w:p>
      <w:pPr>
        <w:ind w:left="660" w:hanging="328"/>
        <w:spacing w:after="0" w:line="221"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18"/>
          <w:szCs w:val="18"/>
          <w:color w:val="auto"/>
        </w:rPr>
        <w:t>Lubiproston (brand name Amitiza</w:t>
      </w:r>
      <w:r>
        <w:rPr>
          <w:rFonts w:ascii="Arial" w:cs="Arial" w:eastAsia="Arial" w:hAnsi="Arial"/>
          <w:sz w:val="28"/>
          <w:szCs w:val="28"/>
          <w:color w:val="auto"/>
          <w:vertAlign w:val="superscript"/>
        </w:rPr>
        <w:t>®</w:t>
      </w:r>
      <w:r>
        <w:rPr>
          <w:rFonts w:ascii="Arial" w:cs="Arial" w:eastAsia="Arial" w:hAnsi="Arial"/>
          <w:sz w:val="18"/>
          <w:szCs w:val="18"/>
          <w:color w:val="auto"/>
        </w:rPr>
        <w:t>), an oral product indicated for the treatment of chronic idiopathic constipation, irritable bowel syndrome with constipation in adults, is manufactured and sold by Mallinckrodt Pharmaceuticals.</w:t>
      </w:r>
    </w:p>
    <w:p>
      <w:pPr>
        <w:spacing w:after="0" w:line="106" w:lineRule="exact"/>
        <w:rPr>
          <w:rFonts w:ascii="Arial" w:cs="Arial" w:eastAsia="Arial" w:hAnsi="Arial"/>
          <w:sz w:val="20"/>
          <w:szCs w:val="20"/>
          <w:color w:val="auto"/>
        </w:rPr>
      </w:pPr>
    </w:p>
    <w:p>
      <w:pPr>
        <w:ind w:left="660" w:hanging="328"/>
        <w:spacing w:after="0" w:line="221"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18"/>
          <w:szCs w:val="18"/>
          <w:color w:val="auto"/>
        </w:rPr>
        <w:t>Naloxegol (brand name Movantik</w:t>
      </w:r>
      <w:r>
        <w:rPr>
          <w:rFonts w:ascii="Arial" w:cs="Arial" w:eastAsia="Arial" w:hAnsi="Arial"/>
          <w:sz w:val="28"/>
          <w:szCs w:val="28"/>
          <w:color w:val="auto"/>
          <w:vertAlign w:val="superscript"/>
        </w:rPr>
        <w:t>®</w:t>
      </w:r>
      <w:r>
        <w:rPr>
          <w:rFonts w:ascii="Arial" w:cs="Arial" w:eastAsia="Arial" w:hAnsi="Arial"/>
          <w:sz w:val="18"/>
          <w:szCs w:val="18"/>
          <w:color w:val="auto"/>
        </w:rPr>
        <w:t>), an oral product indicated for the treatment of opioid-induced constipation in adults with chronic non-cancer pain and recently acquired by RedHill Biopharma in the first quarter of 2020.</w:t>
      </w:r>
    </w:p>
    <w:p>
      <w:pPr>
        <w:spacing w:after="0" w:line="106" w:lineRule="exact"/>
        <w:rPr>
          <w:rFonts w:ascii="Arial" w:cs="Arial" w:eastAsia="Arial" w:hAnsi="Arial"/>
          <w:sz w:val="20"/>
          <w:szCs w:val="20"/>
          <w:color w:val="auto"/>
        </w:rPr>
      </w:pPr>
    </w:p>
    <w:p>
      <w:pPr>
        <w:ind w:left="660" w:hanging="328"/>
        <w:spacing w:after="0" w:line="221"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18"/>
          <w:szCs w:val="18"/>
          <w:color w:val="auto"/>
        </w:rPr>
        <w:t>Linaclotide (brand name Linzess</w:t>
      </w:r>
      <w:r>
        <w:rPr>
          <w:rFonts w:ascii="Arial" w:cs="Arial" w:eastAsia="Arial" w:hAnsi="Arial"/>
          <w:sz w:val="28"/>
          <w:szCs w:val="28"/>
          <w:color w:val="auto"/>
          <w:vertAlign w:val="superscript"/>
        </w:rPr>
        <w:t>®</w:t>
      </w:r>
      <w:r>
        <w:rPr>
          <w:rFonts w:ascii="Arial" w:cs="Arial" w:eastAsia="Arial" w:hAnsi="Arial"/>
          <w:sz w:val="18"/>
          <w:szCs w:val="18"/>
          <w:color w:val="auto"/>
        </w:rPr>
        <w:t>), an oral product indicated for the treatment of irritable bowel syndrome with constipation and chronic idiopathic constipation. It is sold by Allergan, Inc. and Ironwood Pharmaceuticals, Inc.</w:t>
      </w:r>
    </w:p>
    <w:p>
      <w:pPr>
        <w:spacing w:after="0" w:line="106" w:lineRule="exact"/>
        <w:rPr>
          <w:rFonts w:ascii="Arial" w:cs="Arial" w:eastAsia="Arial" w:hAnsi="Arial"/>
          <w:sz w:val="20"/>
          <w:szCs w:val="20"/>
          <w:color w:val="auto"/>
        </w:rPr>
      </w:pPr>
    </w:p>
    <w:p>
      <w:pPr>
        <w:ind w:left="660" w:right="20" w:hanging="328"/>
        <w:spacing w:after="0" w:line="239"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18"/>
          <w:szCs w:val="18"/>
          <w:color w:val="auto"/>
        </w:rPr>
        <w:t>Plecanatide (brand name Trulance</w:t>
      </w:r>
      <w:r>
        <w:rPr>
          <w:rFonts w:ascii="Arial" w:cs="Arial" w:eastAsia="Arial" w:hAnsi="Arial"/>
          <w:sz w:val="28"/>
          <w:szCs w:val="28"/>
          <w:color w:val="auto"/>
          <w:vertAlign w:val="superscript"/>
        </w:rPr>
        <w:t>®</w:t>
      </w:r>
      <w:r>
        <w:rPr>
          <w:rFonts w:ascii="Arial" w:cs="Arial" w:eastAsia="Arial" w:hAnsi="Arial"/>
          <w:sz w:val="18"/>
          <w:szCs w:val="18"/>
          <w:color w:val="auto"/>
        </w:rPr>
        <w:t>), an oral product indicated for the treatment of irritable bowel syndrome with constipation and chronic idiopathic constipation. It is sold by Synergy Pharmaceuticals.</w:t>
      </w:r>
    </w:p>
    <w:p>
      <w:pPr>
        <w:spacing w:after="0" w:line="149"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Generic and branded liquid lactulose products are marketed by a number of pharmaceutical companies.</w:t>
      </w:r>
    </w:p>
    <w:p>
      <w:pPr>
        <w:spacing w:after="0" w:line="161" w:lineRule="exact"/>
        <w:rPr>
          <w:rFonts w:ascii="Arial" w:cs="Arial" w:eastAsia="Arial" w:hAnsi="Arial"/>
          <w:sz w:val="20"/>
          <w:szCs w:val="20"/>
          <w:color w:val="auto"/>
        </w:rPr>
      </w:pPr>
    </w:p>
    <w:p>
      <w:pPr>
        <w:ind w:left="660" w:hanging="328"/>
        <w:spacing w:after="0" w:line="250"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18"/>
          <w:szCs w:val="18"/>
          <w:color w:val="auto"/>
        </w:rPr>
        <w:t>Lactitol for oral solution (brand name Pizensy), an oral, osmotic laxative indicated for the treatment of chronic idiopathic constipation and distributed by Braintree Laboratories, Inc. was recently approved by the FDA.</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several hundred OTC products used to treat constipation marketed by numerous pharmaceutical and consumer health companies. MiraLax (polyethylene glycol 3350), previously a prescription product, was indicated for the treatment of constipation and manufactured and marketed by Bayer. MiraLax was converted to an OTC product in February 2007 and recently, the FDA rescinded the approval of the generic prescription polyethylene glycol 3350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Omeclamox-Pak</w:t>
      </w:r>
      <w:r>
        <w:rPr>
          <w:rFonts w:ascii="Arial" w:cs="Arial" w:eastAsia="Arial" w:hAnsi="Arial"/>
          <w:sz w:val="23"/>
          <w:szCs w:val="23"/>
          <w:b w:val="1"/>
          <w:bCs w:val="1"/>
          <w:color w:val="auto"/>
          <w:vertAlign w:val="superscript"/>
        </w:rPr>
        <w:t>®</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Omeclamox-Pak is a branded prescription product used for the treatment of Helicobacter pylori (H. pylori) infection and duodenal ulcer disease. It combines three well-known and widely prescribed medications packaged in a daily dose pack for patient convenience: omeprazole, clarithromycin, and amoxicillin. The three individual components of Omeclamox-Pak are also available from other suppliers through three separate prescriptions.</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there are several competitor products, Omeclamox-Pak is one of the two actively marketed products for this condition. In addition, compared to the competing products, Omeclamox-Pak has the lowest pill burden, fewest days of therapy and convenient twice daily dosing. The prescription combination products, indicated for treatment of H. pylori, which we believe are our primary competitors are:</w:t>
      </w:r>
    </w:p>
    <w:p>
      <w:pPr>
        <w:spacing w:after="0" w:line="11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PrevPac</w:t>
      </w:r>
      <w:r>
        <w:rPr>
          <w:rFonts w:ascii="Arial" w:cs="Arial" w:eastAsia="Arial" w:hAnsi="Arial"/>
          <w:sz w:val="23"/>
          <w:szCs w:val="23"/>
          <w:color w:val="auto"/>
          <w:vertAlign w:val="superscript"/>
        </w:rPr>
        <w:t>®</w:t>
      </w:r>
      <w:r>
        <w:rPr>
          <w:rFonts w:ascii="Arial" w:cs="Arial" w:eastAsia="Arial" w:hAnsi="Arial"/>
          <w:sz w:val="18"/>
          <w:szCs w:val="18"/>
          <w:color w:val="auto"/>
        </w:rPr>
        <w:t>, an oral product sold by Takeda Pharmaceutical Company. There are also approved generic versions of PrevPac;</w:t>
      </w:r>
    </w:p>
    <w:p>
      <w:pPr>
        <w:spacing w:after="0" w:line="9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Pylera</w:t>
      </w:r>
      <w:r>
        <w:rPr>
          <w:rFonts w:ascii="Arial" w:cs="Arial" w:eastAsia="Arial" w:hAnsi="Arial"/>
          <w:sz w:val="23"/>
          <w:szCs w:val="23"/>
          <w:color w:val="auto"/>
          <w:vertAlign w:val="superscript"/>
        </w:rPr>
        <w:t>®</w:t>
      </w:r>
      <w:r>
        <w:rPr>
          <w:rFonts w:ascii="Arial" w:cs="Arial" w:eastAsia="Arial" w:hAnsi="Arial"/>
          <w:sz w:val="18"/>
          <w:szCs w:val="18"/>
          <w:color w:val="auto"/>
        </w:rPr>
        <w:t>, an oral product manufactured and sold by Allergan plc; and</w:t>
      </w:r>
    </w:p>
    <w:p>
      <w:pPr>
        <w:spacing w:after="0" w:line="71" w:lineRule="exact"/>
        <w:rPr>
          <w:rFonts w:ascii="Arial" w:cs="Arial" w:eastAsia="Arial" w:hAnsi="Arial"/>
          <w:sz w:val="18"/>
          <w:szCs w:val="18"/>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Talicia</w:t>
      </w:r>
      <w:r>
        <w:rPr>
          <w:rFonts w:ascii="Arial" w:cs="Arial" w:eastAsia="Arial" w:hAnsi="Arial"/>
          <w:sz w:val="28"/>
          <w:szCs w:val="28"/>
          <w:color w:val="auto"/>
          <w:vertAlign w:val="superscript"/>
        </w:rPr>
        <w:t>®</w:t>
      </w:r>
      <w:r>
        <w:rPr>
          <w:rFonts w:ascii="Arial" w:cs="Arial" w:eastAsia="Arial" w:hAnsi="Arial"/>
          <w:sz w:val="18"/>
          <w:szCs w:val="18"/>
          <w:color w:val="auto"/>
        </w:rPr>
        <w:t>, an oral product manufactured by RedHill Biopharma which was recently approved by the FDA.</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RediTrex</w:t>
      </w:r>
      <w:r>
        <w:rPr>
          <w:rFonts w:ascii="Arial" w:cs="Arial" w:eastAsia="Arial" w:hAnsi="Arial"/>
          <w:sz w:val="28"/>
          <w:szCs w:val="28"/>
          <w:b w:val="1"/>
          <w:bCs w:val="1"/>
          <w:i w:val="1"/>
          <w:iCs w:val="1"/>
          <w:color w:val="auto"/>
          <w:vertAlign w:val="superscript"/>
        </w:rPr>
        <w:t>®</w:t>
      </w:r>
    </w:p>
    <w:p>
      <w:pPr>
        <w:spacing w:after="0" w:line="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RediTrex is methotrexate for subcutaneous administration in a unique syringe designed for ease of use, improved accuracy, and enhanced safety. It is indicated for treatment of rheumatoid arthritis, polyarticular juvenile idiopathic arthritis, and severe, recalcitrant, or disabling psoriasis unresponsive to alternative treatments.</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This market is highly competitive with drugs from several different therapeutic classes available for treatment. Methotrexate is considered a standard of care especially when patients fail to respond adequately to low dose steroids or non-steroidal anti-inflammatory drugs (NSAIDs). Methotrexate is available</w:t>
      </w:r>
    </w:p>
    <w:p>
      <w:pPr>
        <w:jc w:val="both"/>
        <w:spacing w:after="0" w:line="277" w:lineRule="auto"/>
        <w:rPr>
          <w:sz w:val="20"/>
          <w:szCs w:val="20"/>
          <w:color w:val="auto"/>
        </w:rPr>
      </w:pPr>
      <w:r>
        <w:rPr>
          <w:rFonts w:ascii="Arial" w:cs="Arial" w:eastAsia="Arial" w:hAnsi="Arial"/>
          <w:sz w:val="18"/>
          <w:szCs w:val="18"/>
          <w:color w:val="auto"/>
        </w:rPr>
        <w:t>in multiple dose forms including oral, subcutaneous, and intra-venous. Methotrexate may be used alone or in combination with drugs from other therapeutic classes to adequately control patient symptoms.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RediTrex competes with other dose forms and delivery systems for methotrexate including, oral tablets, conventional vial and syringe administration, and</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auto-injector pens. Oral tablets and conventional vials are generic and available from many suppliers. There are two auto-injector pen products available, Rasuvo and Otrexup.</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RediTrex also competes with or may be used in combination with drugs from other therapeutic classes including, injectable biologics like Humira and Enbrel and oral JAK inhibitors like Xaljanz. These newer agents are more expensive than the methotrexate products but benefit from significant promotion to patients and doctors.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Sancuso</w:t>
      </w:r>
      <w:r>
        <w:rPr>
          <w:rFonts w:ascii="Arial" w:cs="Arial" w:eastAsia="Arial" w:hAnsi="Arial"/>
          <w:sz w:val="14"/>
          <w:szCs w:val="14"/>
          <w:b w:val="1"/>
          <w:bCs w:val="1"/>
          <w:i w:val="1"/>
          <w:iCs w:val="1"/>
          <w:color w:val="auto"/>
        </w:rPr>
        <w:t>®</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Sancuso is the only transdermal patch FDA approved for the management of chemotherapy induced nausea and vomiting (CINV). Each patch delivers up to 5 days of treatment with granisetron, a standard of care for CINV, through the skin. Recommended treatment suggests the patch be applied 24 to 48 hours prior to chemotherapy treatment and remain in place for five days.</w:t>
      </w:r>
    </w:p>
    <w:p>
      <w:pPr>
        <w:spacing w:after="0" w:line="103" w:lineRule="exact"/>
        <w:rPr>
          <w:sz w:val="20"/>
          <w:szCs w:val="20"/>
          <w:color w:val="auto"/>
        </w:rPr>
      </w:pPr>
    </w:p>
    <w:p>
      <w:pPr>
        <w:jc w:val="both"/>
        <w:ind w:firstLine="485"/>
        <w:spacing w:after="0" w:line="263" w:lineRule="auto"/>
        <w:rPr>
          <w:sz w:val="20"/>
          <w:szCs w:val="20"/>
          <w:color w:val="auto"/>
        </w:rPr>
      </w:pPr>
      <w:r>
        <w:rPr>
          <w:rFonts w:ascii="Arial" w:cs="Arial" w:eastAsia="Arial" w:hAnsi="Arial"/>
          <w:sz w:val="18"/>
          <w:szCs w:val="18"/>
          <w:color w:val="auto"/>
        </w:rPr>
        <w:t>While there are no other transdermal products available to treat CINV, there are a large number of generic and branded oral products as well as a limited number of injectables. Cumberland considers the oral branded products to be the most important competition including Akynzeo, Emend Oral, Varubi, Zuplenz, and Kytril.</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Vaprisol</w:t>
      </w:r>
      <w:r>
        <w:rPr>
          <w:rFonts w:ascii="Arial" w:cs="Arial" w:eastAsia="Arial" w:hAnsi="Arial"/>
          <w:sz w:val="23"/>
          <w:szCs w:val="23"/>
          <w:b w:val="1"/>
          <w:bCs w:val="1"/>
          <w:color w:val="auto"/>
          <w:vertAlign w:val="superscript"/>
        </w:rPr>
        <w:t>®</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Vaprisol is a patented, prescription brand indicated to raise serum sodium levels in hospitalized patients with euvolemic and hypervolemic hyponatremia. The product was developed and registered by Astellas and then launched in 2006. It is one of two branded prescription products indicated for the treatment of hyponatremia, and the first and only intravenously administered branded treatment. The other competing product is Samsca, an oral product sold by Otsuka Pharmaceutical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Vibativ</w:t>
      </w:r>
      <w:r>
        <w:rPr>
          <w:rFonts w:ascii="Arial" w:cs="Arial" w:eastAsia="Arial" w:hAnsi="Arial"/>
          <w:sz w:val="23"/>
          <w:szCs w:val="23"/>
          <w:b w:val="1"/>
          <w:bCs w:val="1"/>
          <w:i w:val="1"/>
          <w:iCs w:val="1"/>
          <w:color w:val="auto"/>
          <w:vertAlign w:val="superscript"/>
        </w:rPr>
        <w:t>®</w:t>
      </w:r>
    </w:p>
    <w:p>
      <w:pPr>
        <w:spacing w:after="0" w:line="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Vibativ is a potent, once-daily, injectable antibiotic for the treatment of certain gram-positive infections. Vibativ is approved for the treatment of complicated skin and skin structure infections and hospital-acquired or ventilator-associated bacterial pneumonia caused by susceptible isolates of Staphylococcus aureus when alternative treatments are not suitable. There are several generic and branded antibiotics that compete for these indications.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major generic competitors are vancomycin, linezolid, and daptomycin. Vancomycin is by far the most widely used agent. Newer branded agents are also available including:</w:t>
      </w:r>
    </w:p>
    <w:p>
      <w:pPr>
        <w:spacing w:after="0" w:line="101"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18"/>
          <w:szCs w:val="18"/>
          <w:color w:val="auto"/>
        </w:rPr>
        <w:t>Ceftaroline fosamil (brand name Teflaro</w:t>
      </w:r>
      <w:r>
        <w:rPr>
          <w:rFonts w:ascii="Arial" w:cs="Arial" w:eastAsia="Arial" w:hAnsi="Arial"/>
          <w:sz w:val="28"/>
          <w:szCs w:val="28"/>
          <w:color w:val="auto"/>
          <w:vertAlign w:val="superscript"/>
        </w:rPr>
        <w:t>®</w:t>
      </w:r>
      <w:r>
        <w:rPr>
          <w:rFonts w:ascii="Arial" w:cs="Arial" w:eastAsia="Arial" w:hAnsi="Arial"/>
          <w:sz w:val="18"/>
          <w:szCs w:val="18"/>
          <w:color w:val="auto"/>
        </w:rPr>
        <w:t xml:space="preserve"> ) an injectable antibiotic manufactured and sold by Allergan</w:t>
      </w:r>
    </w:p>
    <w:p>
      <w:pPr>
        <w:spacing w:after="0" w:line="83"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18"/>
          <w:szCs w:val="18"/>
          <w:color w:val="auto"/>
        </w:rPr>
        <w:t>Dalbavancin (brand name Dalvance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 an injectable antibiotic manufactured and sold by Allergan</w:t>
      </w:r>
    </w:p>
    <w:p>
      <w:pPr>
        <w:spacing w:after="0" w:line="96"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18"/>
          <w:szCs w:val="18"/>
          <w:color w:val="auto"/>
        </w:rPr>
        <w:t>Oritavancin (brand name Orbactiv</w:t>
      </w:r>
      <w:r>
        <w:rPr>
          <w:rFonts w:ascii="Arial" w:cs="Arial" w:eastAsia="Arial" w:hAnsi="Arial"/>
          <w:sz w:val="28"/>
          <w:szCs w:val="28"/>
          <w:color w:val="auto"/>
          <w:vertAlign w:val="superscript"/>
        </w:rPr>
        <w:t>®</w:t>
      </w:r>
      <w:r>
        <w:rPr>
          <w:rFonts w:ascii="Arial" w:cs="Arial" w:eastAsia="Arial" w:hAnsi="Arial"/>
          <w:sz w:val="18"/>
          <w:szCs w:val="18"/>
          <w:color w:val="auto"/>
        </w:rPr>
        <w:t xml:space="preserve"> ), an injectable antibiotic manufactured and sold by Melinta</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We are aware of a number of other novel antibiotics which are currently in development.</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Antibiotic drug selection is based both on an empiric and susceptibility proven basis. In the hospital setting, cost is an important factor which favors the use of generic agents as long as they are effective. Newer agents are often reserved for two reasons: they are valuable in the treatment of patients that fail to respond to generics and it is considered good practice to conserve the use of these agents to reduce the risk of resistance.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development of new pharmaceutical products can be a long, expensive and risky process. There is no assurance we will obtain successful study results or secure the needed market approvals for our pipeline product candidates. Governmental authorities in the U.S. and other countries extensively regulate the research, development, testing, manufacturing, distribution, marketing and sale of pharmaceutical products. For more information, see </w:t>
      </w:r>
      <w:r>
        <w:rPr>
          <w:rFonts w:ascii="Arial" w:cs="Arial" w:eastAsia="Arial" w:hAnsi="Arial"/>
          <w:sz w:val="18"/>
          <w:szCs w:val="18"/>
          <w:i w:val="1"/>
          <w:iCs w:val="1"/>
          <w:color w:val="auto"/>
        </w:rPr>
        <w:t>"Risks Relating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 Government Regulation" </w:t>
      </w:r>
      <w:r>
        <w:rPr>
          <w:rFonts w:ascii="Arial" w:cs="Arial" w:eastAsia="Arial" w:hAnsi="Arial"/>
          <w:sz w:val="18"/>
          <w:szCs w:val="18"/>
          <w:color w:val="auto"/>
        </w:rPr>
        <w:t>in Part I, Item 1A of this Form 10K.</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U.S., the FDA under the Federal Food, Drug, and Cosmetic Act, ("FDCA"), the Public Health Service Act, and other federal statutes and regulations, subjects pharmaceutical products to rigorous review. Failure to comply with applicable U.S. requirements may subject a company to a variety of administrative or judicial sanctions, such as FDA refusal to approve pending New Drug Application ("NDAs") or biologics license applications, ("BLAs"), warning letters, product recalls, product seizures, total or partial suspension of production or distribution, injunctions, fines, civil penalties, and criminal prosecution.</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our manufacturers and contract research organizations may also be subject to regulations under other federal, state and local laws, including the Occupational Safety and Health Act, (OSHA), the Resource Conservation and Recovery Act, the Clean Air Act and import, export and customs regulations as well as the laws and regulations of other countries.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Approval Process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 is a regulatory agency within the Department of Health and Human Services. A key responsibility is to regulate the safety and effectiveness of drugs sold in the United States. The FDA manages this responsibility into two phases: pre-approval (premarket) and post approval (post market). The FDA reviews manufacturers' applications to market drugs in the United States; a drug may not be sold unless it has FDA approval. The FDA continues its oversight of drug safety and effectiveness as long as the drug is on the market.</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market a prescription drug in the United States, a manufacturer needs FDA approval. To get that approval, the manufacturer must demonstrate the drug's safety and effectiveness according to criteria specified in law and agency regulations, ensure that its manufacturing plant passes FDA inspection, and obtain FDA approval for the drug's labeling, a term that includes all written material about the drug, including, for example, packaging, prescribing information for physicians and patient brochures.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progression to drug approval begins before FDA involvement. First, scientists work in the laboratory to discover and develop a new compound. Next, basic questions on safety are answered by nonclinical testing with animals and then, a drug or biotechnology company develops a prototype drug. That company must seek clearance from the FDA by way of an Investigational New Drug ("IND") application to test the product with human subjects.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Those tests, called clinical trials, are carried out sequentially in Phase I, II, and III studies, which involve increasing numbers of subjects. The manufacturer then compiles the resulting data and analyses in an NDA. The FDA reviews the NDA with three major concerns: (1) safety and effectiveness in the drug's proposed use; (2) appropriateness of the proposed labeling; and (3) adequacy of manufacturing methods to assure the drug's identity, strength, quality, and purity.</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FDA and associated regulations detail the requirements at each step. The FDA uses a few special mechanisms to expedite drug development and the review process when a drug might address an unmet need or a serious disease or condition. Those mechanisms include accelerated approval, fast track and priority reviews and the newer designation, breakthrough therapy.</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sponsor of the drug typically conducts human clinical trials in three sequential phases, but the phases may overlap. Phase I clinical trials are generally conducted in a small number of healthy volunteers, primarily to collect and assess pharmacokinetics and safety data at one or more dosages prior to proceeding into patients.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Phase II clinical trials, the sponsor evaluates the early efficacy of the product in short term trials on the targeted indication and identifies possible adverse effects and safety risks in a patient population.</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Phase III clinical trials typically involve testing for patients in long term trials examining safety and clinical efficacy in an expanded population at geographically-dispersed test sites.</w:t>
      </w:r>
    </w:p>
    <w:p>
      <w:pPr>
        <w:spacing w:after="0" w:line="1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FDA requires that clinical trials be conducted in accordance with the FDA's Good Clinical Practice GCP requirements. The FDA may order the partial, temporary or permanent discontinuation of a clinical trial at any time or impose other sanctions if it believes that the clinical trial is not being conducted in accordance with FDA requirements or presents an unacceptable risk to the clinical trial patients. The institutional review board ("IRB"), or ethics committee (outside of the U.S.), of each clinical site generally must approve the clinical trial design and patient informed consent and may also require the clinical trial at that site to be halted, either temporarily or permanently, for failure to comply with the IRB's requirements or may impose other conditions.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results of the nonclinical and clinical trials, together with detailed information on the manufacturing and composition of the product and proposed labeling, are submitted to the FDA in the form of an NDA for marketing approval. The NDA undergoes a 60-day validation review period before it is accepted for filing.</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NDA is found to be incomplete, it will not be accepted. Once the NDA is validated and accepted for filing, the FDA begins an in-depth review of the NDA.</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policies agreed to by the FDA under the Prescription Drug User Fee Act, or PDUFA (currently PDUFA VI - effective October 1, 2017), the FDA has a target timeline of 10 months in which to complete its initial review of a standard NDA and respond to the applicant. The review process and the PDUFA goal date may be extended by two months to address deficiencies, or by three months if the FDA requests or the NDA sponsor otherwise provides additional information or clarification regarding information already provided in the submission at any time during the review clock period. If the FDA's evaluations of the NDA and the clinical and manufacturing procedures and facilities are favorable and meet all regulations, the FDA will issue an approval letter. Priority review is reserved for drugs that represent a “significant improvement in safety or efficacy” over existing treatments and FDA endeavors to complete these reviews in six months.</w:t>
      </w:r>
    </w:p>
    <w:p>
      <w:pPr>
        <w:spacing w:after="0" w:line="11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the NDA meets with FDA approval, a letter will be sent out indicating approval and final labeling recommendations. If not, a complete response letter will be sent to applicants indicating that the review cycle for an application is complete and that the application is not ready for approval.</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complete response letter will describe the specific deficiencies that the agency has identified in an application and what changes must be made before the application can be approved, with no implication regarding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whether the application will ultimately be approved. An approval letter authorizes commercial marketing of the drug for the proposed indication(s) under study. While the FDA's PDUFA 2021 Performance Report showed a continued increase in the percentage of first-cycle approval letters for new molecular entities rising from 56% for FY 2009 to preliminary reports of 100% for FY 2021, we cannot be certain that timely first-cycle approvals will be maintained by the FDA.</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the time and cost of completing these steps and obtaining FDA approval can vary dramatically depending on the drug, it can take many years and cost millions of dollars for a novel drug.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505(b) New Drug Applications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 NDA may be submitted under different methods, a 505(b)(1), 505(b)(2) or 505(j). Section 505(b) provides for the submission of an NDA to support the approval of a drug. Upon approval, a drug may be marketed only for the FDA-approved indication(s) in the approved dosage form. Further clinical trials may be necessary to gain approval for the use of the product for any additional indications or dosage forms.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FDA also requires post market safety surveillance reporting to monitor the side effects of the drug, which may result in withdrawal of approval after marketing begins if significant adverse safety findings are found.</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Section 505(b)(1) or the 'full' NDA is used for new chemical entities ("NCEs") and requires full clinical and nonclinical development of a compound. Marketing exclusivity assigned to a 505(b)(1) approval is five years. A 505(b)(2) NDA permits the submission of an NDA where at least some of the information required for approval comes from studies not conducted by or for the applicant using previously reported safety and efficacy data, and for which the applicant has not obtained a right of reference. Generally new studies are required to provide data on the proposed change.</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 examples of products that may be allowed to follow a 505(b)(2) path to approval are drugs that have a new dosage form, strength, route of administration, formulation or indication or combination drugs. Marketing exclusivity for a 505(b)(2) submission is three years.</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Both 505 (b)(1) and (b)(2) are eligible for seven years of exclusivity for orphan drugs and/or six months for pediatric exclusivity. Any marketing exclusivity is independent of patent exclusivity. We successfully secured FDA approvals for Acetadote in January 2004, for Caldolor in June 2009 and for RediTrex in 2019 pursuant to the 505(b)(2) pathway.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Orphan Drug Act of 1983 (the "Orphan Drug Act") encourages manufacturers to seek approval of products intended to treat “rare diseases and conditions” with a prevalence of fewer than 200,000 patients in the U.S. or for which there is no reasonable expectation of recovering the development costs for the product. For products that receive orphan drug designation by the FDA, the Orphan Drug Act provides tax credits for clinical research, FDA assistance with protocol design, eligibility for FDA grants to fund clinical studies, waiver of the FDA application fee, and a period of seven years of marketing exclusivity for the product following FDA marketing approval.</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Acetadote received Orphan Drug designation in October 2001 and in 2004 the FDA approved the product to prevent or lessen hepatic injury after ingestion of a potentially hepatotoxic quantity of acetaminophen. Acetadote was entitled to marketing exclusivity until January 2011 for the treatment of this approved indication.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505(j) abbreviated new drug applications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abbreviated new drug application ("ANDA") is a type of NDA where approval of a generic drug is based on demonstrating comparability to an innovator drug product (the RLD or Reference Listed Drug). Applications are "abbreviated" because they generally don't include preclinical and clinical data to establish safety and effectiveness. Generics must demonstrate that the product is bioequivalent (i.e., performs in the same manner and is comparable to the 'innovator' product in active ingredient, dosage form, strength, route of administration, labeling, quality, performance characteristics and intended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Abbreviated applications may be submitted for drug products that are the same as a listed drug and must be identical in active ingredient(s), form, strength, route of administration, and identical in conditions of use (non-exclusive uses). Products are declared suitable based on a suitability petition to the FDA. If the petition is approved, the sponsor may then submit the ANDA.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Hatch-Waxman Act</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Drug Price Competition and Patent Term Restoration Act, informally known as the "Hatch-Waxman Act", is a 1984 United States federal law which established the modern system of generic drugs.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Hatch-Waxman amended the Federal Food, Drug, and Cosmetic Act. Section 505(j) 21 U.S.C. 355(j) sets forth the process by which would-be marketers of generic drugs can file ANDAs to seek FDA approval of the generic. Section 505(j)(2)(A)(vii)(IV), the so-called Paragraph IV, allows 180-day exclusivity to companies that are the "first-to-file" an ANDA against holders of patents for branded counterparts.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Hatch-Waxman amendments grant generic manufacturers the ability to mount a validity challenge without incurring the cost of entry or risking enormous damages flowing from any possible infringement. Hatch-Waxman essentially redistributes the relative risk assessments and explains the flow of settlement funds and their magnitude. Hatch-Waxman gives generics considerable leverage in patent litigation.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legislation</w:t>
      </w:r>
    </w:p>
    <w:p>
      <w:pPr>
        <w:spacing w:after="0" w:line="1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March 23, 2010, President Obama signed into law the Patient Protection and Affordable Care Act, or PPACA. On March 30, 2010, the Health Care and Education Reconciliation Act of 2010, or HCERA, was enacted into law, which modified the revenue provisions of the PPACA. The PPACA as amended by the HCERA constitutes the healthcare reform legislation. The following highlights certain provisions of the legislation that may affect us.</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Pharmaceutical Industry Fee: </w:t>
      </w:r>
      <w:r>
        <w:rPr>
          <w:rFonts w:ascii="Arial" w:cs="Arial" w:eastAsia="Arial" w:hAnsi="Arial"/>
          <w:sz w:val="18"/>
          <w:szCs w:val="18"/>
          <w:color w:val="auto"/>
        </w:rPr>
        <w:t>Beginning in calendar-year 2011, an annual fee was imposed on pharmaceutical manufacturers and importers that sell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branded prescription drugs to specified government programs (e.g., Medicare Part D, Medicare Part B, Medicaid, Department of Veterans Affairs programs, Department of Defense programs and TRICARE).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annual fee is allocated to companies based on their previous calendar-year market share using sales data that the government agencies that purchase the pharmaceuticals will provide to the Treasury Department. Although we participate in governmental programs that subject us to this fee, our sales volume in such programs is less than $10 million, with the first $5 million of sales being exempt from the fee. This fee has not had a material impact and is not expected to have a material impact on our results of operations.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PDUFA imposes annual program fees. An applicant will be assessed annual prescription drug program fees for prescription drug products, incurring a fee for each strength of a drug product. An applicant may not be assessed more than five prescription drug program fees for a fiscal year for prescription drug products identified in a single approved application.</w:t>
      </w:r>
    </w:p>
    <w:p>
      <w:pPr>
        <w:spacing w:after="0" w:line="1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Physician Payments Sunshine Act: </w:t>
      </w:r>
      <w:r>
        <w:rPr>
          <w:rFonts w:ascii="Arial" w:cs="Arial" w:eastAsia="Arial" w:hAnsi="Arial"/>
          <w:sz w:val="17"/>
          <w:szCs w:val="17"/>
          <w:color w:val="auto"/>
        </w:rPr>
        <w:t>The PPACA also includes provisions known as the Physician Payments Sunshine Act, or Sunshine Act, which requires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manufacturers of pharmaceuticals and medical devices covered under Medicare and Medicaid to record any transfers of value to physicians and teaching hospitals and to report this data to the Centers for Medicare and Medicaid Services, or CMS, for aggregation and subsequent public disclosure. Under the Sunshine Act, beginning August 1, 2013, we have collected data regarding reportable transfers of value and have reported such data to CMS. Failure to report appropriate data may result in civil or criminal fines and/or penalties. In addition to the Federal Sunshine Act, similar reporting requirements have also been enacted on the state level requiring transparency of interactions with health care professionals.</w:t>
      </w:r>
    </w:p>
    <w:p>
      <w:pPr>
        <w:spacing w:after="0" w:line="11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Medicaid Rebate Rate: </w:t>
      </w:r>
      <w:r>
        <w:rPr>
          <w:rFonts w:ascii="Arial" w:cs="Arial" w:eastAsia="Arial" w:hAnsi="Arial"/>
          <w:sz w:val="16"/>
          <w:szCs w:val="16"/>
          <w:color w:val="auto"/>
        </w:rPr>
        <w:t>Under the Medicaid Drug Rebate program we currently are required to provide rebates for covered outpatient drugs that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dispensed to Medicaid beneficiaries. In addition, we also are required to participate in the Public Health Service's 340B drug pricing program, which requires us to agree to charge no more than a designated ceiling price for covered outpatient drugs that are dispensed to community health clinics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entities that receive health services grants from the Public Health Service, as well as hospitals that serve a disproportionate share of low-income patients.</w:t>
      </w:r>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Product Serialization: </w:t>
      </w:r>
      <w:r>
        <w:rPr>
          <w:rFonts w:ascii="Arial" w:cs="Arial" w:eastAsia="Arial" w:hAnsi="Arial"/>
          <w:sz w:val="16"/>
          <w:szCs w:val="16"/>
          <w:color w:val="auto"/>
        </w:rPr>
        <w:t>In November of 2013, the FDA passed the Drug Supply Chain Security Act (DSCSA). The DSCSA was created to strengthen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security of the drug distribution supply chain by adding controls such as a national pharmaceutical track and trace system and establishing national standards for licensing of prescription drug wholesale distributors and third-party logistics providers. DSCSA requires trading partners, including manufacturers, repackagers, wholesale distributors and dispensers to provide transaction information to subsequent purchasers for certain prescription drugs. We have taken necessary steps to implement this program and are in compliance with all requirements by the November 2018 deadline.</w:t>
      </w:r>
    </w:p>
    <w:p>
      <w:pPr>
        <w:spacing w:after="0" w:line="8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21</w:t>
      </w:r>
      <w:r>
        <w:rPr>
          <w:rFonts w:ascii="Arial" w:cs="Arial" w:eastAsia="Arial" w:hAnsi="Arial"/>
          <w:sz w:val="23"/>
          <w:szCs w:val="23"/>
          <w:b w:val="1"/>
          <w:bCs w:val="1"/>
          <w:i w:val="1"/>
          <w:iCs w:val="1"/>
          <w:color w:val="auto"/>
          <w:vertAlign w:val="superscript"/>
        </w:rPr>
        <w:t>st</w:t>
      </w:r>
      <w:r>
        <w:rPr>
          <w:rFonts w:ascii="Arial" w:cs="Arial" w:eastAsia="Arial" w:hAnsi="Arial"/>
          <w:sz w:val="18"/>
          <w:szCs w:val="18"/>
          <w:b w:val="1"/>
          <w:bCs w:val="1"/>
          <w:i w:val="1"/>
          <w:iCs w:val="1"/>
          <w:color w:val="auto"/>
        </w:rPr>
        <w:t xml:space="preserve"> Century Cures Act: </w:t>
      </w:r>
      <w:r>
        <w:rPr>
          <w:rFonts w:ascii="Arial" w:cs="Arial" w:eastAsia="Arial" w:hAnsi="Arial"/>
          <w:sz w:val="18"/>
          <w:szCs w:val="18"/>
          <w:color w:val="auto"/>
        </w:rPr>
        <w:t>The 21st Century Cures Act (Cures Act), signed into law on December 13, 2016, is designed to help accelerate medical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bring new innovations and advances to patients who need them faster and more efficiently. The law builds on the FDA's ongoing work to incorporate the perspectives of patients into the development of drugs, biological products, and devices in the FDA's decision-making process. The Cures Act enhances the FDA's ability to modernize clinical trial designs and clinical outcome assessments, which will speed the development and review of novel medical products, including medical countermeasures.</w:t>
      </w:r>
    </w:p>
    <w:p>
      <w:pPr>
        <w:spacing w:after="0" w:line="13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Specifically, the Cures Act enables us to work with the FDA in the development of new biomarkers, clinical outcome assessments, surrogate endpoints, and patient reported outcomes. It allows for the use of data summaries (rather than full clinical trials for approval) as well as the use of real-world evidence to support approval of new indications of approved medical products, or to help satisfy post-approval study requirements for marketed products.</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i w:val="1"/>
          <w:iCs w:val="1"/>
          <w:color w:val="auto"/>
        </w:rPr>
        <w:t xml:space="preserve">Build Back Better Act and Other Proposed Legislation: </w:t>
      </w:r>
      <w:r>
        <w:rPr>
          <w:rFonts w:ascii="Arial" w:cs="Arial" w:eastAsia="Arial" w:hAnsi="Arial"/>
          <w:sz w:val="17"/>
          <w:szCs w:val="17"/>
          <w:color w:val="auto"/>
        </w:rPr>
        <w:t>The Build Back Better Act ("BBBA") was introduced in the 117</w:t>
      </w:r>
      <w:r>
        <w:rPr>
          <w:rFonts w:ascii="Arial" w:cs="Arial" w:eastAsia="Arial" w:hAnsi="Arial"/>
          <w:sz w:val="22"/>
          <w:szCs w:val="22"/>
          <w:color w:val="auto"/>
          <w:vertAlign w:val="superscript"/>
        </w:rPr>
        <w:t>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Congress and included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provisions that were intended to lower the price of prescription drugs, including granting the Medicare program the authority to negotiate prescription drug prices and imposing tax penalties on drug manufacturers if the price of drugs increase too rapidly. Ultimately the BBBA was not enacted, however, future legislative initiatives are likely to include provisions targeted at containing costs in the prescription drug 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 Approval Activities</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Once a drug is on the U.S. market (following FDA approval of the NDA), the FDA continues to address drug production, distribution, and use. FDA activities are based on ensuring drug safety and effectiveness. They address product integrity, labeling, reporting of research and adverse events, surveillance, drug studies, risk management, information dissemination, off-label use, physician advertising and direct-to-consumer advertising.</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amend the NDA for an FDA approved product, such as adding safety or efficacy labeling claims, promoting those new claims, making certain manufacturing changes or product enhancements, we will need FDA review and approval before the change can be implemented. While physicians may use products for indications that have not been approved by the FDA, we may not label or promote the product for an indication that has not been approved.</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Securing FDA approval for new indications, product enhancements, and manufacturing and labeling changes may require us to conduct additional clinical trials under the FDA's IND regulations. Even if such studies are conducted, they are still subject to the same requirements and timelines as an original NDA.</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FDA continuously gathers information about possible adverse reactions to the products it has approved for use. The FDA requires all manufacturers to report adverse events. It also provides a procedure for consumers and physicians to voluntarily report their concerns about drugs. The agency collects those reports through MedWatch and uses its FDA Adverse Event Reporting System (FAERS) to store and analyze them. Because some events may occur after the use of a drug for reasons unrelated to the product, the FDA reviews the events to assess which ones may indicate a problem with that particular drug.</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They then use information gleaned from the surveillance data to determine a course of action. They might recommend a change in drug labeling to alert users to a potential problem, or perhaps, require the manufacturer to study the observed association between the drug and the adverse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FDA restrictions on marketing of pharmaceutical products, several other types of state and federal laws have been applied to restrict certain marketing practices in the pharmaceutical industry in recent years. These laws include anti-kickback statutes and false claims statutes.</w:t>
      </w:r>
    </w:p>
    <w:p>
      <w:pPr>
        <w:spacing w:after="0" w:line="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federal health care program anti-kickback statute prohibits,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financed health care programs. This statute has been interpreted to apply to arrangements between pharmaceutical manufacturers on the one hand and prescribers, purchasers and formulary managers on the other. Violations of the anti-kickback statute are punishable by imprisonment, criminal fines, civil monetary penalties and exclusion from participation in federal health care programs.</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these U.S. laws, we are subject to similar laws that govern our marketing practices and financial arrangements with health care providers and otherwise are intended to prohibit illicit kickbacks and bribery, including the Foreign Corrupt Practices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False Claims Act</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federal false claims laws prohibit any person from knowingly presenting, or causing to be presented, a false claim for payment to the federal government, or knowingly making, or causing to be made, a false statement to have a false claim paid.</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number of pharmaceutical and other health care companies have been prosecuted under these laws for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HIPAA and Other Data Protection Laws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United States, we and our collaborators are subject to numerous federal and state privacy and security laws and regulations, including the Health Insurance Portability and Accountability Act of 1996. These laws include obligations related to protecting the privacy and security of health-related personal information, including information that we may obtain through the clinical trial process. In addition, similar laws and regulations exist in Europe and other jurisdictions, including the European Union's General Data Protection Regulation.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ICH - International Committee on Harmonization</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Outside of the U.S., our ability to market our products will depend on receiving marketing authorizations from the appropriate regulatory authorities. The International Committee on Harmonization (ICH) provides a set of standards that most regulatory authorities adhere to (e.g. U.S., Europe, and Japan) allowing greater harmonization in the interpretation and application of technical guidelines and requirements for pharmaceutical product registration, thereby reducing or obviating duplication of testing carried out during the research and development of new human medicines. Regulatory harmonization offers many direct benefits to both regulatory authorities and the pharmaceutical industry with beneficial impact for the protection of public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federal, state and local environmental laws and regulations and we believe that our operations comply with such regulations. We anticipate that the effects of compliance with federal, state and local laws and regulations relating to the discharge of materials into the environment will not have any material effect on our capital expenditures, earnings or competitive position.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significant seasonal aspects to our business.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Due to the relatively short lead-time required to fill orders for our products, backlog of orders is not considered material to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2022, we had 85 employees. We believe that our future will depend in part on our continued ability to attract, hire, and retain qualified personnel, including hospital oncology and field sales personnel in particular. To that end, we work with qualified search firms to identify talent, we measure and adjust compensation levels to remain competitive and we work closely with team members to support their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make statements in this Annual Report on Form 10-K that are “forward-looking statements” within the meaning of Section 27A of the Securities Act of 1933, as amended, and Section 21E of the Securities Exchange Act of 1934, as amended. All statements other than statement of historical facts may be forward-looking statements. In particular, forward-looking statements include, among other things, statements regarding our intent, belief or expectations, and can be identified by the use of terminology such as “may,” “will,” “expect,” “believe,” “intend,” “plan,” “estimate,” “should,” “seek,” “anticipate” and other comparable terms or the negative thereof. In addition, we, through our senior management, from time to time make forward-looking oral and written public statements concerning our expected future operations and other developments. While forward-looking statements reflect our good-faith beliefs and best judgment based upon current information, they are not guarantees of future performance and are subject to known and unknown risks and uncertainties, including those mentioned in Item 1A, “Risk Factors,” Item 7, “Management’s Discussion and Analysis of Financial Condition and Results of Operations” and elsewhere in this Form 10-K. Accordingly, investors are cautioned not to place undue reliance on any forward-looking statements. Actual results may differ materially from the expectations contained in the forward-looking statements as a result of various factors. Such factors include, but are not limited to:</w:t>
      </w:r>
    </w:p>
    <w:p>
      <w:pPr>
        <w:spacing w:after="0" w:line="101" w:lineRule="exact"/>
        <w:rPr>
          <w:sz w:val="20"/>
          <w:szCs w:val="20"/>
          <w:color w:val="auto"/>
        </w:rPr>
      </w:pPr>
    </w:p>
    <w:p>
      <w:pPr>
        <w:ind w:left="980" w:hanging="324"/>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possible or assumed future results of operations, including the accuracy of our estimates regarding expenses, future revenues, capital requirements and needs for additional financing;</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national or regional economic conditions, including changes in interest rates and the availability and the cost of capital to us;</w:t>
      </w:r>
    </w:p>
    <w:p>
      <w:pPr>
        <w:spacing w:after="0" w:line="209" w:lineRule="exact"/>
        <w:rPr>
          <w:rFonts w:ascii="Arial" w:cs="Arial" w:eastAsia="Arial" w:hAnsi="Arial"/>
          <w:sz w:val="17"/>
          <w:szCs w:val="17"/>
          <w:color w:val="auto"/>
        </w:rPr>
      </w:pPr>
    </w:p>
    <w:p>
      <w:pPr>
        <w:jc w:val="both"/>
        <w:ind w:left="980" w:hanging="324"/>
        <w:spacing w:after="0" w:line="256" w:lineRule="auto"/>
        <w:tabs>
          <w:tab w:leader="none" w:pos="975" w:val="left"/>
        </w:tabs>
        <w:numPr>
          <w:ilvl w:val="0"/>
          <w:numId w:val="14"/>
        </w:numPr>
        <w:rPr>
          <w:rFonts w:ascii="Arial" w:cs="Arial" w:eastAsia="Arial" w:hAnsi="Arial"/>
          <w:sz w:val="21"/>
          <w:szCs w:val="21"/>
          <w:color w:val="auto"/>
        </w:rPr>
      </w:pPr>
      <w:r>
        <w:rPr>
          <w:rFonts w:ascii="Arial" w:cs="Arial" w:eastAsia="Arial" w:hAnsi="Arial"/>
          <w:sz w:val="17"/>
          <w:szCs w:val="17"/>
          <w:color w:val="auto"/>
        </w:rPr>
        <w:t>The impact of a pandemic, epidemic or outbreak of a contagious disease, such as the novel coronavirus (COVID-19) pandemic, including any recurrence of the COVID-19 pandemic, the impact on our employees, the extent of the impact on overall demand for our key products and the impact on our suppliers, including any disruptions and inefficiencies in the supply chain for our products;</w:t>
      </w:r>
    </w:p>
    <w:p>
      <w:pPr>
        <w:spacing w:after="0" w:line="108" w:lineRule="exact"/>
        <w:rPr>
          <w:rFonts w:ascii="Arial" w:cs="Arial" w:eastAsia="Arial" w:hAnsi="Arial"/>
          <w:sz w:val="21"/>
          <w:szCs w:val="21"/>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competitive position and competitors, including the size and growth potential of the markets for our products and product candidates;</w:t>
      </w:r>
    </w:p>
    <w:p>
      <w:pPr>
        <w:spacing w:after="0" w:line="180" w:lineRule="exact"/>
        <w:rPr>
          <w:rFonts w:ascii="Arial" w:cs="Arial" w:eastAsia="Arial" w:hAnsi="Arial"/>
          <w:sz w:val="16"/>
          <w:szCs w:val="16"/>
          <w:color w:val="auto"/>
        </w:rPr>
      </w:pPr>
    </w:p>
    <w:p>
      <w:pPr>
        <w:ind w:left="980" w:right="20" w:hanging="324"/>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cost and timing of our product acquisition and development activities and clinical trials; and our ability to successfully commercialize our product candidates;</w:t>
      </w:r>
    </w:p>
    <w:p>
      <w:pPr>
        <w:spacing w:after="0" w:line="10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efficacy or safety concerns, whether or not based on scientific evidence, resulting in product withdrawals, recalls, regulatory action on the part of the FDA (or international counterparts) or declining sales;</w:t>
      </w:r>
    </w:p>
    <w:p>
      <w:pPr>
        <w:spacing w:after="0" w:line="89"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 which impacts our supply chain and could create business shutdowns or product shortages; and the retention of key scientific and management personnel;</w:t>
      </w:r>
    </w:p>
    <w:p>
      <w:pPr>
        <w:spacing w:after="0" w:line="102" w:lineRule="exact"/>
        <w:rPr>
          <w:rFonts w:ascii="Arial" w:cs="Arial" w:eastAsia="Arial" w:hAnsi="Arial"/>
          <w:sz w:val="18"/>
          <w:szCs w:val="18"/>
          <w:color w:val="auto"/>
        </w:rPr>
      </w:pPr>
    </w:p>
    <w:p>
      <w:pPr>
        <w:ind w:left="980" w:hanging="324"/>
        <w:spacing w:after="0" w:line="308" w:lineRule="auto"/>
        <w:tabs>
          <w:tab w:leader="none" w:pos="975"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Challenges to our patents and the introduction of generic versions of our products and product candidates, which could negatively impact our ability to commercialize and sell our products and product candidates and decrease sales a result of market exclusivity;</w:t>
      </w:r>
    </w:p>
    <w:p>
      <w:pPr>
        <w:spacing w:after="0" w:line="78" w:lineRule="exact"/>
        <w:rPr>
          <w:rFonts w:ascii="Arial" w:cs="Arial" w:eastAsia="Arial" w:hAnsi="Arial"/>
          <w:sz w:val="17"/>
          <w:szCs w:val="17"/>
          <w:color w:val="auto"/>
        </w:rPr>
      </w:pPr>
    </w:p>
    <w:p>
      <w:pPr>
        <w:jc w:val="both"/>
        <w:ind w:left="980" w:hanging="324"/>
        <w:spacing w:after="0" w:line="263"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reimbursement available to us, including changes in Medicare and Medicaid payment levels and availability of third-party insurance coverage and the effects of future legislation or regulations, including changes to regulatory approval of new products, licensing and patent rights, environmental protection and possible drug re-importation legislation;</w:t>
      </w:r>
    </w:p>
    <w:p>
      <w:pPr>
        <w:spacing w:after="0" w:line="102" w:lineRule="exact"/>
        <w:rPr>
          <w:rFonts w:ascii="Arial" w:cs="Arial" w:eastAsia="Arial" w:hAnsi="Arial"/>
          <w:sz w:val="18"/>
          <w:szCs w:val="18"/>
          <w:color w:val="auto"/>
        </w:rPr>
      </w:pPr>
    </w:p>
    <w:p>
      <w:pPr>
        <w:jc w:val="both"/>
        <w:ind w:left="980" w:hanging="324"/>
        <w:spacing w:after="0" w:line="259"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Interruptions and breaches of our computer and communications systems, and those of our vendors, including computer viruses, hacking and cyber-attacks, that could impair our ability to conduct business and communicate internally and with our customers, or result in the theft of trade secrets or other misappropriation of assets, or otherwise compromise privacy of sensitive information belonging to us, our customers or other business partners;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p>
      <w:pPr>
        <w:spacing w:after="0" w:line="130"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Issuance of new or revised accounting standards by the Financial Accounting Standards Board and the Securities and Exchange Commission.</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list above contains many, but not all, of the factors that could impact our ability to achieve results described in any forward-looking statements. Investors should understand that it is not possible to predict or identify all such factors and should not consider this list to be a complete statement of all potential risks and uncertainties. For more information about the risks, uncertainties, and other factors that could affect our future results, please refer to Item 1A, Risk Factors,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Risk Factor Summary</w:t>
      </w:r>
    </w:p>
    <w:p>
      <w:pPr>
        <w:spacing w:after="0" w:line="3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Investing in our common stock involves a high degree of risk. You should carefully consider all information in this Annual Report on Form 10-K prior to investing in our common stock. These risks are discussed more fully in the section titled “Risk Factors.” These risks and uncertainties include, but are not limited to, the following:</w:t>
      </w:r>
    </w:p>
    <w:p>
      <w:pPr>
        <w:spacing w:after="0" w:line="11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can have a material adverse effect on our business, financial conditions and result of operations.</w:t>
      </w:r>
    </w:p>
    <w:p>
      <w:pPr>
        <w:spacing w:after="0" w:line="198" w:lineRule="exact"/>
        <w:rPr>
          <w:rFonts w:ascii="Arial" w:cs="Arial" w:eastAsia="Arial" w:hAnsi="Arial"/>
          <w:sz w:val="18"/>
          <w:szCs w:val="18"/>
          <w:color w:val="auto"/>
        </w:rPr>
      </w:pPr>
    </w:p>
    <w:p>
      <w:pPr>
        <w:ind w:left="660" w:hanging="328"/>
        <w:spacing w:after="0" w:line="251" w:lineRule="auto"/>
        <w:tabs>
          <w:tab w:leader="none" w:pos="655" w:val="left"/>
        </w:tabs>
        <w:numPr>
          <w:ilvl w:val="0"/>
          <w:numId w:val="16"/>
        </w:numPr>
        <w:rPr>
          <w:rFonts w:ascii="Arial" w:cs="Arial" w:eastAsia="Arial" w:hAnsi="Arial"/>
          <w:sz w:val="21"/>
          <w:szCs w:val="21"/>
          <w:color w:val="auto"/>
        </w:rPr>
      </w:pPr>
      <w:r>
        <w:rPr>
          <w:rFonts w:ascii="Arial" w:cs="Arial" w:eastAsia="Arial" w:hAnsi="Arial"/>
          <w:sz w:val="17"/>
          <w:szCs w:val="17"/>
          <w:color w:val="auto"/>
        </w:rPr>
        <w:t>Global and national events, including, but not limited to the COVID-19 pandemic, increased inflation, rising interest rates, supply chain disruptions, labor conditions, and international conflict, may adversely affect our revenues, results of operations and financial condition.</w:t>
      </w:r>
    </w:p>
    <w:p>
      <w:pPr>
        <w:spacing w:after="0" w:line="110" w:lineRule="exact"/>
        <w:rPr>
          <w:rFonts w:ascii="Arial" w:cs="Arial" w:eastAsia="Arial" w:hAnsi="Arial"/>
          <w:sz w:val="21"/>
          <w:szCs w:val="21"/>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implement strategies to enhance our performance could have a material adverse effect on our business, results of operations and financial conditions.</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perform depends on keeping and hiring exceptionally talented management and employees, and our failure to do so could have a material adverse effect on our business, revenues, results of operations and financial condition.</w:t>
      </w:r>
    </w:p>
    <w:p>
      <w:pPr>
        <w:spacing w:after="0" w:line="10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success depends, in part, on our ability to successfully obtain or retain high-performing third-party performers on commercially acceptable terms, and the failure to do so can have a material adverse effect on our business, financial conditions and results of operations.</w:t>
      </w:r>
    </w:p>
    <w:p>
      <w:pPr>
        <w:spacing w:after="0" w:line="65"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is subject to stringent government regulations, it must adhere to numerous complex pieces of legislation, and all of our products face regulatory challenges.</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depends on the successful protection of our intellectual property rights and our product candidates becoming approved by regulatory agencies, commercially viable, and accepted by the market.</w:t>
      </w:r>
    </w:p>
    <w:p>
      <w:pPr>
        <w:spacing w:after="0" w:line="102" w:lineRule="exact"/>
        <w:rPr>
          <w:rFonts w:ascii="Arial" w:cs="Arial" w:eastAsia="Arial" w:hAnsi="Arial"/>
          <w:sz w:val="18"/>
          <w:szCs w:val="18"/>
          <w:color w:val="auto"/>
        </w:rPr>
      </w:pPr>
    </w:p>
    <w:p>
      <w:pPr>
        <w:jc w:val="both"/>
        <w:ind w:left="660" w:hanging="328"/>
        <w:spacing w:after="0" w:line="342"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business faces a serious financial risk if generic products that compete with any of our branded pharmaceutical products are approved and sold because sales of our products will be adversely-affected and our business may not recover the capital costs of bringing that product to market.</w:t>
      </w:r>
    </w:p>
    <w:p>
      <w:pPr>
        <w:spacing w:after="0" w:line="42" w:lineRule="exact"/>
        <w:rPr>
          <w:rFonts w:ascii="Arial" w:cs="Arial" w:eastAsia="Arial" w:hAnsi="Arial"/>
          <w:sz w:val="16"/>
          <w:szCs w:val="16"/>
          <w:color w:val="auto"/>
        </w:rPr>
      </w:pPr>
    </w:p>
    <w:p>
      <w:pPr>
        <w:ind w:left="660" w:right="20" w:hanging="328"/>
        <w:spacing w:after="0" w:line="308"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business faces an inherent risk of product liability lawsuits related to the testing of our product candidates and the commercial sale of our products, and if we cannot successfully defend ourselves against the product liability claim, we may incur substantial liabilities.</w:t>
      </w:r>
    </w:p>
    <w:p>
      <w:pPr>
        <w:spacing w:after="0" w:line="7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attempt to develop internationally and license our products globally, as well as invest in other businesses or joint ventures, all of which may be unsuccessful, divert our management’s attention and harm our operating results and prospects.</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risk factors described below and throughout this report should be carefully considered and could materially affect our business. There are also risks that are not presently known or not presently material, as well as the other information set forth in this report that could materially affect our business. In addition, in our periodic filings with the SEC, press releases and other statements, we discuss estimates and projections regarding our future performance and business outlook. By their nature, such “forward-looking statements” involve known and unknown risks, uncertainties and other factors that in some cases are out of our control. For a further discussion of forward-looking statements, please refer to the section entitled “Special Note Regarding Forward-Looking Statements.” These factors could cause our actual results to differ materially from our historical results or our present expectations and projections. These risk factors and uncertainties include, but are not limited to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4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Risks related to the COVID-19 pandemic, natural disasters, public health epidemics, and other events beyond our control may adversely affect our business.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has been adversely impacted by the COVID-19 pandemic which has affected more than 200 countries and has significantly disrupted the day-to-day activities of both individuals and companies. We rely on individuals and third-party organizations around the world to supply components, manufacture and distribute our products, and execute our clinical trials. We have and may continue to experience revenue loss, supply interruptions, time delays and incur unplanned expenses as a result of the impact of the COVID-19 pandemic.</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Global and national economic and other events, including, but not limited to increased inflation, rising interest rates, supply chain disruptions, labor conditions and international conflicts, could affect our future access to liquidity and materially adversely affect our results of operations and financial condition.</w:t>
      </w:r>
    </w:p>
    <w:p>
      <w:pPr>
        <w:spacing w:after="0" w:line="10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Ongoing global and national events including, but not limited to increased inflation, rising interest rates, supply chain disruptions, labor conditions and the war between Russia and Ukraine, have had a significant adverse impact on economic and market conditions around the world, including the United States. While the economic impact brought by, and the duration of, such global events is difficult to assess or predict, such events could result in additional disruption of global financial markets, reducing our ability to access capital in the future, which could negatively affect our liquidity in the future and in</w:t>
      </w:r>
    </w:p>
    <w:p>
      <w:pPr>
        <w:spacing w:after="0" w:line="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ways that cannot be predicted potentially including a prolonged recessionary environment in the United States. In the longer term, there could be significant new regulatory actions and other events that could limit our activities and investment opportunities or change the functioning of the capital markets, and there is the possibility of a severe worldwide economic downturn. Consequently, we may not be capable of, or successful at, generating positive investment returns or effectively managing risks. Accordingly, we cannot predict the extent to which our results of operations, financial condition and cash flows will be affected.</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adverse development regarding our products could have a material and adverse impact on our future revenues and profitability.</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product portfolio currently includes eight brands: Acetadote, Caldolor, Kristalose, Vaprisol, Omeclamox-Pak, Vibativ, RediTrex and Sancuso. A product contamination or other safety or regulatory issues, such as a failure to meet certain FDA reporting requirements involving our products, could negatively impact us and possibly lead to a product recall. In addition, changes impacting any of our products in areas such as competition, lack of market acceptance or demand, government regulation, intellectual property, reimbursement and manufacturing could have an adverse impact on our future revenues and profitability including:</w:t>
      </w:r>
    </w:p>
    <w:p>
      <w:pPr>
        <w:spacing w:after="0" w:line="107"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intellectual property protection available for our products or competing treatments;</w:t>
      </w:r>
    </w:p>
    <w:p>
      <w:pPr>
        <w:spacing w:after="0" w:line="15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unfavorable publicity concerning us, our products, or the markets for these products such as information concerning product contamination or other safety issues in any of our product markets, whether or not directly involving our products;</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Perception by physicians and other members of the healthcare community of the safety or efficacy of our products or competing products;</w:t>
      </w:r>
    </w:p>
    <w:p>
      <w:pPr>
        <w:spacing w:after="0" w:line="167"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Regulatory developments related to our marketing and promotional practices or the manufacture or continued use of our products;</w:t>
      </w:r>
    </w:p>
    <w:p>
      <w:pPr>
        <w:spacing w:after="0" w:line="169" w:lineRule="exact"/>
        <w:rPr>
          <w:rFonts w:ascii="Arial" w:cs="Arial" w:eastAsia="Arial" w:hAnsi="Arial"/>
          <w:sz w:val="17"/>
          <w:szCs w:val="17"/>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prices of our products relative to other drugs or competing treatments;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current or additional generic competitors;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and level of third-party reimbursement for sales of our products;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continued availability of adequate supplies of our products to meet demand:</w:t>
      </w:r>
    </w:p>
    <w:p>
      <w:pPr>
        <w:spacing w:after="0" w:line="17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22"/>
          <w:szCs w:val="22"/>
          <w:color w:val="auto"/>
        </w:rPr>
      </w:pPr>
      <w:r>
        <w:rPr>
          <w:rFonts w:ascii="Arial" w:cs="Arial" w:eastAsia="Arial" w:hAnsi="Arial"/>
          <w:sz w:val="18"/>
          <w:szCs w:val="18"/>
          <w:color w:val="auto"/>
        </w:rPr>
        <w:t>Weakened demand for our products;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44" w:lineRule="exact"/>
        <w:rPr>
          <w:sz w:val="20"/>
          <w:szCs w:val="20"/>
          <w:color w:val="auto"/>
        </w:rPr>
      </w:pPr>
    </w:p>
    <w:p>
      <w:pPr>
        <w:ind w:left="960" w:hanging="304"/>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6"/>
          <w:szCs w:val="16"/>
          <w:color w:val="auto"/>
        </w:rPr>
        <w:t>Unforeseen or serious adverse effects outside of those specified in current product labeling being attributed to any of our approved products.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Acetadote may be used to treat acetaminophen overdoses. The FDA has previously requested prescribers and manufacturers of prescription combination products that contain acetaminophen to limit the amount of acetaminophen to no more than 325 milligrams (mg) in each tablet or capsule. The FDA requested this action to protect consumers from the risk of severe liver damage which can result from excess acetaminophen which may reduce the number of acetaminophen overdoses which could result in a lower demand for Acetadote. If the demand for Acetadote decreases, it could have an adverse impact on our future revenues and profitability.</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commercial success of Caldolor is dependent on many third-parties, including physicians, pharmacists, hospital pharmacy and therapeutics committees, or P&amp;T committees, suppliers and distributors, all of whom we have little or no control over. We expect Caldolor to continue to be administered primarily to hospital and surgery center patients who are unable to receive oral therapies for the treatment of pain or fever. Before we can distribute Caldolor to any new hospital customers, Caldolor must be approved for addition to the hospitals’ formulary lists by their P&amp;T committees. A hospital’s P&amp;T committee generally governs all matters pertaining to the use of medications within the institution, including review of medication formulary data and recommendations of drugs to the medical staff. We cannot guarantee that we will be successful in getting the approvals we need from enough P&amp;T committees to be able to optimize hospital sales of Caldolor. Even if we obtain hospital approval for Caldolor, we must still convince individual hospital physicians to prescribe Caldolor repeatedly. The commercial success of Caldolor also depends on our ability to coordinate supply, distribution, marketing, sales and education efforts. As with our other products, if Caldolor is not accepted in the marketplace, it could have an adverse impact on our future revenues and profitability.</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Disruptions at the FDA and other government agencies caused by funding shortages or global health concerns could hinder their ability to review and approve new products and otherwise affect the FDA’s ability to perform routine functions. Disruptions at the FDA and other agencies may also slow the time necessary for new drugs or modifications to approved drugs to be reviewed and/or approved by necessary government agencies. Such disruptions could significantly impact the ability of the FDA or other regulatory authorities to timely review and process our regulatory submissions, which could have a material adverse effect on our business.</w:t>
      </w:r>
    </w:p>
    <w:p>
      <w:pPr>
        <w:spacing w:after="0" w:line="120"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If any manufacturer or partner we rely upon fails to supply our products in the amounts we require on a timely basis, or fails to comply with stringent regulations applicable to pharmaceutical drug manufacturers, we may be unable to meet demand for our products and may lose potential revenues.</w:t>
      </w:r>
    </w:p>
    <w:p>
      <w:pPr>
        <w:spacing w:after="0" w:line="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do not manufacture any of our products, and we do not currently plan to develop any capacity to do so. Our dependence upon third parties for the manufacture of our products could adversely affect our profit margins or our ability to develop and deliver products on a timely and competitive basis. If for any reason we are unable to obtain or retain third-party manufacturers on commercially acceptable terms, we may not be able to sell our products as planned. Furthermore, if we encounter delays or difficulties with contract manufacturers in producing our products, the distribution, marketing and subsequent sales of these products could be adversely affected. A long-term inability to meet demand for our products could result in impairment of our brands overall future and the carrying value of the assets associated with our brands.</w:t>
      </w:r>
    </w:p>
    <w:p>
      <w:pPr>
        <w:spacing w:after="0" w:line="13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Acetadote: </w:t>
      </w:r>
      <w:r>
        <w:rPr>
          <w:rFonts w:ascii="Arial" w:cs="Arial" w:eastAsia="Arial" w:hAnsi="Arial"/>
          <w:sz w:val="17"/>
          <w:szCs w:val="17"/>
          <w:color w:val="auto"/>
        </w:rPr>
        <w:t>We have an agreement with one manufacturer to provide commercial supply of Acetadote. If this manufacturer is unable to produce marketable</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in sufficient quantities, in the agreed upon time period, we could suffer an inability to meet demand for Acetadote.</w:t>
      </w:r>
    </w:p>
    <w:p>
      <w:pPr>
        <w:spacing w:after="0" w:line="7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i w:val="1"/>
          <w:iCs w:val="1"/>
          <w:color w:val="auto"/>
        </w:rPr>
        <w:t xml:space="preserve">Caldolor: </w:t>
      </w:r>
      <w:r>
        <w:rPr>
          <w:rFonts w:ascii="Arial" w:cs="Arial" w:eastAsia="Arial" w:hAnsi="Arial"/>
          <w:sz w:val="17"/>
          <w:szCs w:val="17"/>
          <w:color w:val="auto"/>
        </w:rPr>
        <w:t>We have agreements with multiple manufacturers for the supply of Caldolor. If the manufacturers of Caldolor are unable to produce marketable</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in sufficient quantities, in the agreed upon time period, we could suffer an inability to meet demand for Caldolor.</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Kristalose: </w:t>
      </w:r>
      <w:r>
        <w:rPr>
          <w:rFonts w:ascii="Arial" w:cs="Arial" w:eastAsia="Arial" w:hAnsi="Arial"/>
          <w:sz w:val="17"/>
          <w:szCs w:val="17"/>
          <w:color w:val="auto"/>
        </w:rPr>
        <w:t>The active pharmaceutical ingredient for Kristalose is manufactured at a single facility through a complex process. It would be particularly</w:t>
      </w:r>
      <w:r>
        <w:rPr>
          <w:rFonts w:ascii="Arial" w:cs="Arial" w:eastAsia="Arial" w:hAnsi="Arial"/>
          <w:sz w:val="17"/>
          <w:szCs w:val="17"/>
          <w:i w:val="1"/>
          <w:iCs w:val="1"/>
          <w:color w:val="auto"/>
        </w:rPr>
        <w:t xml:space="preserve"> </w:t>
      </w:r>
      <w:r>
        <w:rPr>
          <w:rFonts w:ascii="Arial" w:cs="Arial" w:eastAsia="Arial" w:hAnsi="Arial"/>
          <w:sz w:val="17"/>
          <w:szCs w:val="17"/>
          <w:color w:val="auto"/>
        </w:rPr>
        <w:t>difficult to find a new manufacturer of the Kristalose active pharmaceutical ingredient on an expedited basis. We have manufacturing relationship with one packager who provided finished supplies of Kristalose for commercial and sampling purposes during 2022. If the manufacturing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packaging facilities are unable to produce useable or marketable inventory in sufficient quantities, in the agreed upon time period, we could suffer an inability to meet demand for Kristalose.</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Omeclamox-Pak: </w:t>
      </w:r>
      <w:r>
        <w:rPr>
          <w:rFonts w:ascii="Arial" w:cs="Arial" w:eastAsia="Arial" w:hAnsi="Arial"/>
          <w:sz w:val="18"/>
          <w:szCs w:val="18"/>
          <w:color w:val="auto"/>
        </w:rPr>
        <w:t>Our packager for Omeclamox-Pak encountered financial difficulties due to the impact of COVID-19, and their operations are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suspended. Cumberland is awaiting resumption of those operations while also exploring other alternatives to restart the product’s packaging. In October 2020, we informed the FDA of a shortage of Omeclamox-Pak which continues. If we are unable to obtain marketable inventory in the future, we could suffer an inability to meet demand for Omeclamox-Pak.</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Vaprisol: </w:t>
      </w:r>
      <w:r>
        <w:rPr>
          <w:rFonts w:ascii="Arial" w:cs="Arial" w:eastAsia="Arial" w:hAnsi="Arial"/>
          <w:sz w:val="18"/>
          <w:szCs w:val="18"/>
          <w:color w:val="auto"/>
        </w:rPr>
        <w:t>In 2018, the manufacturer of Vaprisol informed us that they would no longer be able to provide the product following the manufacturing of one</w:t>
      </w:r>
      <w:r>
        <w:rPr>
          <w:rFonts w:ascii="Arial" w:cs="Arial" w:eastAsia="Arial" w:hAnsi="Arial"/>
          <w:sz w:val="18"/>
          <w:szCs w:val="18"/>
          <w:i w:val="1"/>
          <w:iCs w:val="1"/>
          <w:color w:val="auto"/>
        </w:rPr>
        <w:t xml:space="preserve"> </w:t>
      </w:r>
      <w:r>
        <w:rPr>
          <w:rFonts w:ascii="Arial" w:cs="Arial" w:eastAsia="Arial" w:hAnsi="Arial"/>
          <w:sz w:val="18"/>
          <w:szCs w:val="18"/>
          <w:color w:val="auto"/>
        </w:rPr>
        <w:t>final batch which is providing us with a multi-year supply. We are currently working with a new manufacturer to provide us with long term supplies of the product. In February 2022, we notified the FDA of a shortage of Vaprisol. If we are unable to produce additional marketable inventory in sufficient quantities, in the required time frame, we could suffer an inability to meet demand for Vaprisol.</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Vibativ: </w:t>
      </w:r>
      <w:r>
        <w:rPr>
          <w:rFonts w:ascii="Arial" w:cs="Arial" w:eastAsia="Arial" w:hAnsi="Arial"/>
          <w:sz w:val="18"/>
          <w:szCs w:val="18"/>
          <w:color w:val="auto"/>
        </w:rPr>
        <w:t>Through our acquisition of Vibativ, we acquired a multi-year supply of raw material, work in process and finished goods inventory. In 2020, we</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the transfer of Vibativ manufacturing activities to a new supplier. If we are unable to continue to obtain marketable inventory in sufficient quantities, in the agreed upon time period, we could suffer an inability to meet demand for Vibativ.</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Sancuso</w:t>
      </w:r>
      <w:r>
        <w:rPr>
          <w:rFonts w:ascii="Arial" w:cs="Arial" w:eastAsia="Arial" w:hAnsi="Arial"/>
          <w:sz w:val="18"/>
          <w:szCs w:val="18"/>
          <w:color w:val="auto"/>
        </w:rPr>
        <w:t>: : As part of the acquisition of Sancuso in January 2022, we obtained an initial supply of finished goods inventory and work in progress.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6, 2022, we received notification from Kyowa Kirin, Inc. that the FDA approved a supplemental new drug application associated with a new site at Kindeva Drug Delivery L.P., for the manufacturing and primary packaging of the Sancuso brand.</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all manufacturers of our products and product candidates must comply with current good manufacturing practices, ("GMPs"), enforced by the FDA through its facilities inspection program. These requirements include quality control, quality assurance, and the maintenance of records and documentation. Manufacturers of our products must be unable to comply with GMP requirements and with other FDA, state, and foreign regulatory requirements.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 control over our manufacturers’ compliance with these regulations and standards. If our third-party manufacturers do not comply with these requirements, we could be subject to fines and civil penalties; suspension of production or distribution; suspension or delay in product approval; product seizure or recall; and withdrawal of product approval.</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a variety of other third parties. If these third parties fail to perform as we expect, our operations could be disrupted and our financial results could suffer.</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 relatively small internal infrastructure. We rely on a variety of third parties, in addition to our manufacturers, to help us operate our business. If these third parties do not continue to provide services to us, or collaborate with us, we might not be able to obtain others who can serve these functions. This could disrupt our business operations, increase our operating expenses or otherwise adversely affect our operating results.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pressures could reduce our revenues and profits.</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pharmaceutical industry is intensely competitive. Our strategy is to target differentiated products in specialized markets. However, this strategy does not relieve us from competitive pressures and can entail distinct competitive risks. Certain of our competitors do not aggressively promote their products in our markets. An increase in promotional activity in our markets could result in large shifts in market share, adversely impacting us.</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competitors may sell or develop drugs that are more effective and useful or less costly than ours, and they may be more successful in manufacturing and marketing their products. Many of our competitors have significantly greater financial and marketing resources than we do. Additional competitors may enter our markets.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pharmaceutical industry is characterized by constant and significant investment in new product development, which can result in rapid technological change. The introduction of new products could substantially reduce our market share or render our products obsolete. The selling prices of pharmaceutical products tend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decline as competition increases, through new product introduction or otherwise, which could reduce our revenues and profitability.</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generic products that compete with any of our branded pharmaceutical products are approved and sold, sales of our products will be adversely affected.</w:t>
      </w:r>
    </w:p>
    <w:p>
      <w:pPr>
        <w:spacing w:after="0" w:line="10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Generic equivalents for branded pharmaceutical products are typically sold at lower costs than the branded products. The regulatory approval process in the United States exempts generic products from costly and time-consuming clinical trials to demonstrate their safety and efficacy and rely instead on the safety and efficacy of prior products, manufacturers of generic products can invest far less in research and development. After the introduction of a competing generic product, a significant percentage of the prescriptions previously written for the branded product are often written for the generic version. In addition, legislation enacted in most U.S. states allows or, in some instances mandates, that a pharmacist dispense an available generic equivalent when filling a prescription for a branded product, in the absence of specific instructions from the prescribing physician. Governmental and private healthcare payors also emphasize substitution of branded pharmaceuticals with less expensive generic equivalents. Pursuant to the provisions of the Hatch-Waxman Act, manufacturers of branded products often bring lawsuits to enforce their patent rights against generic products released prior to the expiration of branded products’ patents, but it is possible for generic manufacturers to offer generic products while such litigation is pending. As a result, branded products typically experience a significant loss in revenues following the introduction of a competing generic product, even if subject to an existing patent. Our branded pharmaceutical products are or may become subject to competition from generic equivalents because there is no proprietary protection for some of the branded pharmaceutical products we sell, because our patent protection expires or because our patent protection is not sufficiently broad or enforceable. In addition, we may not be successful in our efforts to extend the proprietary protection afforded our branded products through the development and commercialization of proprietary product improvements. Competition from generic equivalents could result in a decrease in revenues of our branded pharmaceuticals or result in a material impairment of our intangible assets or the acceleration of amortization on our non-impaired intangible assets and may have a material adverse impact on our revenues, financial condition, results of operations and cash flows.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attempt by us to expand the potential market for any of our products is subject to limitations.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Expansion of the market for our products may be subject to certain limitations. In the past, these limitations have included FDA required Phase IV commitments. We may also experience delays associated with future required Phase IV clinical studies potentially resulting from, among other factors, difficulty enrolling patients. Such delays could impact our ability to explore opportunities for label expansion and limit our ability to bring our products to new patient populations.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we have largely obtained regulatory approval to market our products in the United States. Not all foreign jurisdictions may represent attractive opportunities for our products due to pricing, competitive, regulatory or other factors. In certain foreign jurisdictions, we have licensed the right to market some of our products to third parties. These third parties are responsible for seeking and maintaining regulatory approval for the products in their respective jurisdictions. We have no control over these third parties and cannot be sure that marketing approval for our products will be obtained outside the United States.</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future growth depends on our ability to identify, acquire rights and successfully integrate new brands into our operations. If we do not successfully identify and acquire rights to products or if we do not successfully integrate acquired product brands into our operations, our growth opportunities may be limited.</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added six products to our portfolio of brands through acquisitions. Our business strategy is to continue to acquire rights to FDA-approved products as well as pharmaceutical product candidates in the late stages of development. We do not plan to conduct basic research or preclinical product development, except to the extent of our investment in CET. As compared to large multi-national pharmaceutical companies, we have limited resources to acquire third-party products, businesses and technologies and integrate them into our current infrastructure. Many acquisition opportunities involve competition among several potential purchasers including large multi-national pharmaceutical companies and other competitors that have access to greater financial resources than we do.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acquisitions, we may face financial and operational risks and uncertainties. We may not be able to engage in future product acquisitions, and those we do complete may not be beneficial to us in the long term.</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other products in development may encounter unforeseen issues during their clinical trials. Any unforeseen issues or lack of FDA approval will negatively affect marketing and development plans for those products.</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we are unable to successfully integrate the marketing, sale and distribution of any other potential products into our current infrastructure or if they require significantly greater resources than originally anticipated, we may face financial and operational risks and uncertainties. If we are unable to successfully integrate any acquired brands, both current and future, these product acquisitions may not be beneficial to us in the long term.</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ifetoban product candidates have not been approved for sale and may never be successfully commercialized.</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anticipate that a portion of our future revenue growth may come from sales of our ifetroban product candidates. However, none of these products have been approved by the FDA for marketing, and these product candidates are still subject to risks associated with their development. Drug development is a long, expensive and inherently uncertain process with a high risk of failure at every stage of development, and results of earlier studies and trials may not be predictive of future trial results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FDA has cleared our IND's for the ifetroban product candidates as we evaluate them as treatments for these conditions. Delays in the enrollment and completion of the clinical studies could significantly delay commercial launch and affect our product development costs. Moreover, results from the clinical studies may not be favorable.</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Even if they are eventually developed and approved by the FDA, they may never gain significant acceptance in the marketplace and therefore never generate substantial revenue or profits for us. Physicians may determine that existing drugs are adequate to address patients' needs. The extent to which these product candidates will be reimbursed by the U.S. government or third-party payors is also currently unknown.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foregoing and other factors, we do not know the extent to which our product candidates will contribute to our future growth.</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maintain, train and build an effective sales and marketing infrastructure, we will not be able to commercialize and grow our products and product candidates successfully.</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we grow, we may not be able to secure sales personnel or organizations that are adequate in number or expertise to successfully market and sell our products. This risk would be accentuated if we acquire products in areas outside of our current focus areas since our sales forces specialize in our existing areas. If we are unable to expand our sales and marketing capability, train our sales force effectively or provide any other capabilities necessary to commercialize our products and product candidates, we will need to contract with third parties to market and sell our products. We must train our employees on proper regulatory compliance, including, but not limited to, “fair balance” promotion of our products and anti-kickback laws. If we are unable to establish and maintain compliant and adequate sales and marketing capabilities, we may not be able to increase our product revenue, may generate increased expenses and may experience regulatory compliance issues.</w:t>
      </w:r>
    </w:p>
    <w:p>
      <w:pPr>
        <w:spacing w:after="0" w:line="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governmental or third-party payors do not provide adequate reimbursement for our products, our revenue and prospects for profitability may be limited.</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financial success depends, in part, on the availability of adequate reimbursement from third-party healthcare payors. Such third-party payors include governmental health programs such as Medicare and Medicaid, managed care providers and private health insurers. Third-party payors are increasingly challenging the pricing of medical products and services, while governments continue to propose and pass legislation designed to reduce the cost of healthcare. Adoption of such legislation could further limit reimbursement for pharmaceuticals. In addition, as part of the Inflation Reduction Act legislation, provisions intended to lower the price of prescription drugs, including permitting Medicare to negotiate the price of prescription drugs once they have been on the market for a fixed number of years, and imposing a tax penalty on drug manufacturers if the price of their drugs increase faster than the rate of inflation. At this time no assurances can be given that these measures, or subsequent legislative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proposals, will not have an adverse effect on our revenues in the future. Future cost control initiatives, legislation, and regulations could decrease the price that we receive for our products, which would limit our revenue and profitability.</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Also, reimbursement practices of third-party payors might preclude us from achieving market acceptance for our products or maintaining price levels sufficient to realize an appropriate return on our investment in product acquisition and development. If we cannot obtain adequate reimbursement levels, our business, financial condition and results of operations would be materially and adversely affected.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employees have been trained to submit accurate and correct pricing information to payors. If, despite the training, our employees provide incorrect or fraudulent information, then we will be subject to various administrative and judicial investigations and litigation.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“Formulary” practices of third-party payors could adversely affect our competitive position.</w:t>
      </w:r>
    </w:p>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Many managed healthcare organizations control the pharmaceutical products included on their formulary lists. Having products listed on these formulary lists creates competition among pharmaceutical companies which, in turn, has created a trend of downward pricing pressure in our industry. In addition, many managed care organizations are pursuing various ways to reduce pharmaceutical costs and are considering formulary contracts primarily with those pharmaceutical companies that can offer a full line of products for a given therapy sector or disease state. Our products might not be included on the formulary lists of managed care organizations, and downward pricing pressure in our industry generally could negatively impact our operations.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Continued consolidation of distributor networks in the pharmaceutical industry as well as increases in retailer concentration may limit our ability to profitably sell our products.</w:t>
      </w:r>
    </w:p>
    <w:p>
      <w:pPr>
        <w:spacing w:after="0" w:line="1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sell most of our products to large pharmaceutical wholesalers, who in turn sell to hospitals, surgery centers and retail pharmacies. The distribution network for pharmaceutical products has become increasingly consolidated in recent years. Further consolidation or financial difficulties could also cause our customers to reduce the amounts of our products that they purchase, adversely impacting our business, financial condition and results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CET joint initiative may not result in our gaining access to commercially viable products.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CET joint initiative with Vanderbilt University, WinHealth and Tennessee Technology Development Corporation is designed to help us investigate, in a cost-effective manner, early-stage products and technologies. However, we may never gain access to commercially viable products from CET for a variety of reasons, including:</w:t>
      </w:r>
    </w:p>
    <w:p>
      <w:pPr>
        <w:spacing w:after="0" w:line="116"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CET investigates early-stage products, which have risk of failure prior to FDA approval and commercialization;</w:t>
      </w:r>
    </w:p>
    <w:p>
      <w:pPr>
        <w:spacing w:after="0" w:line="144"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some programs, we do not have pre-set rights to product candidates developed by CET. We would need to agree with CET and its collaborators on the terms of any product licensed or acquired by us;</w:t>
      </w:r>
    </w:p>
    <w:p>
      <w:pPr>
        <w:spacing w:after="0" w:line="10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rely principally on government grants to fund CET’s research and development programs. If these grants were no longer available, we or our co-owners might be unable or unwilling to fund CET operations at current levels or at all;</w:t>
      </w:r>
    </w:p>
    <w:p>
      <w:pPr>
        <w:spacing w:after="0" w:line="10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become involved in disputes with our co-owners regarding CET policy or operations, such as how best to deploy CET assets or which product opportunities to pursue. Disagreement could disrupt or halt product development; and</w:t>
      </w:r>
    </w:p>
    <w:p>
      <w:pPr>
        <w:spacing w:after="0" w:line="89"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CET may disagree with one of the various universities with which CET is collaborating on research. A disagreement could disrupt or halt product development.</w:t>
      </w:r>
    </w:p>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depend on our key personnel, the loss of whom would adversely affect our operations. If we fail to attract and retain the talent required for our business, our business will be materially harmed.</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a relatively small company, and we depend to a great extent on principal members of our management, scientific staff, and sales representatives and managers. If we lose the services of any key personnel, in particular,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A.J. Kazimi, our Chief Executive Officer, or other members of senior management it could have a material adverse effect on our business prospects. Mr. Kazimi, plays a key role in several operational and strategic decisions such that any loss of his services due to death or disability would adversely impact our day-to-day operations. We have a life insurance policy covering the life of Mr. Kazimi. We have entered into agreements with each of our employees that contain restrictive covenants relating to non-competition and non-solicitation of our customers and suppliers for one year after termination of employment. Nevertheless, each of our officers and key employees may terminate his or her employment at any time without notice and without cause or good reason, and so as a practical matter these agreements do not guarantee the continued service of these employees. Our success depends on our ability to attract and retain highly qualified scientific, technical, sales and managerial personnel and research partners. Competition among pharmaceutical companies for qualified employees is intense, and we may not be able to retain existing personnel or attract and retain qualified staff in the future. If we experience difficulties in hiring and retaining personnel in key positions, we could suffer from delays in product development, loss of customers and sales and diversion of management resources, which could adversely affect operating results.</w:t>
      </w:r>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we have recently observed an overall tightening and increasingly competitive labor market. Our business could be adversely affected by an inability to retain personnel or upward pressure on wages as a result of the competitive labor market.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size of our organization and our potential growth may lead to difficulties in managing operations.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2022, we had 85 employees. We may need to continue to expand our managerial, operational, financial and other resources in order to increase our marketing efforts with regard to our currently marketed products, continue our business development and product development activities and commercialize our product candidates. We have experienced, and may continue to experience, growth and increased expenses in the scope of our operations in connection with the continued marketing and development of our products. Our financial performance will depend, in part, on our ability to manage any such growth and expenses of the current organization effectively.</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potential product liability exposure, and if successful claims are brought against us, we may incur substantial liability for a product or product candidate and may have to limit its commercialization.</w:t>
      </w:r>
    </w:p>
    <w:p>
      <w:pPr>
        <w:spacing w:after="0" w:line="1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face an inherent risk of product liability lawsuits related to the testing of our product candidates and the commercial sale of our products. An individual may bring a liability claim against us if one of our product candidates or products causes, or appears to have caused, an injury. If we cannot successfully defend ourselves against the product liability claim, we may incur substantial liabilities. Liability claims may result in decreased demand for our products; injury to our reputation; withdrawal of clinical trial participants; significant litigation costs; substantial monetary awards to or costly settlement with patients; product recalls; loss of revenue; and the inability to commercialize our product candidates.</w:t>
      </w:r>
    </w:p>
    <w:p>
      <w:pPr>
        <w:spacing w:after="0" w:line="10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product liability insurance that covers our clinical trials, the marketing and sale of our products up to a $10 million annual aggregate limit, subject to specified deductibles. Our current or future insurance coverage may prove insufficient to cover any liability claims brought against us.</w:t>
      </w:r>
    </w:p>
    <w:p>
      <w:pPr>
        <w:spacing w:after="0" w:line="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of the increasing costs of insurance coverage, we may not be able to maintain insurance coverage at a reasonable cost or obtain insurance coverage that will be adequate to satisfy any liability that may arise.</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Regulatory approval for any approved product is limited by the FDA to those specific indications and conditions for which clinical safety and efficacy have been demonstrated.</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regulatory approval is limited to those specific diseases and indications for which a product is deemed to be safe and effective by the FDA. In addition to the FDA approval required for new formulations, any new indication for an approved product also requires FDA approval. If we are not able to obtain FDA approval for any desired future indications for our products, our ability to effectively market and sell our products may be reduced and our business may be adversely affected.</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failure to follow FDA rules and guidelines relating to promotion and advertising may cause the FDA to suspend or withdraw an approved product from the market, require a recall or payment of fines, or could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disgorgement of money, operating restrictions, injunctions or criminal prosecution, any of which could harm our business.</w:t>
      </w:r>
    </w:p>
    <w:p>
      <w:pPr>
        <w:spacing w:after="0" w:line="144"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Our business and operations would suffer in the event of system failures, security breaches, including any cybersecurity incidents, adverse events or other disruptions within our information technology infrastructure at our corporate headquarters; or in the event of intellectual property infringement.</w:t>
      </w:r>
    </w:p>
    <w:p>
      <w:pPr>
        <w:spacing w:after="0" w:line="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depends on effective, secure and operational information systems which include systems provided by external contractors and other service providers. Despite the implementation of security measures, our computer systems and information technology infrastructure, including those resources at our corporate headquarters, are vulnerable to damage from cyber-attacks, computer viruses, unauthorized access, natural disasters, terrorism, war and telecommunication and electrical failures. Our business is at risk from and may be impacted by information security incidents, including ransomware, malware, phishing, social engineering, and other security events. Such incidents can range from individual attempts to gain unauthorized access to information technology systems to more sophisticated security threats. These events can also result from internal compromises, such as human error or malicious acts. These events can occur on our systems or on the systems of our partners and subcontractors.</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ordinary course of our business, we store sensitive data, including intellectual property, our proprietary business information and that of our customers. We also maintain personally identifiable information of our employees in our data centers and on our networks. The secure processing and maintenance of this information is critical to our operations. Problems with, or the failure of, our technology and systems or any system upgrades or programming changes associated with such technology and systems would have a substantial and material negative effect on our operations. Furthermore, any system failure, accident or security breach that causes interruptions in our operations could result in a material disruption of our drug development programs.</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While we continue to invest in data protection and information technology,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If we are subject to cyber-attacks or security breaches, this could result in business interruptions and delays; the loss, misappropriation, corruption or unauthorized access of data; litigation and potential liability under privacy, security and consumer protection laws or other applicable laws; reputational damage and federal and state governmental inquiries. Any such problems or failures and the costs incurred in correcting any such problems or failures, could have a material adverse effect on our business and financial condition, results of operations and cash flows. To the extent that any disruption or security breach results in a loss or damage to our data or applications, or inappropriate disclosure of confidential or proprietary information, we may incur liability and the further development of our products or product candidates may be delayed. A failure to restore our information systems after the occurrence of any of these events could have a material adverse effect on our business and financial condition, results of operations and cash flows.</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information systems and applications also require maintenance, upgrading and enhancement to meet our operational needs. We regularly upgrade and expand our information systems’ capabilities. If we experience difficulties with the transition and integration of information systems or are unable to implement, maintain, or expand our systems properly, we could suffer from, among other things, operational disruptions, regulatory problems and increases in administrative expenses.</w:t>
      </w:r>
    </w:p>
    <w:p>
      <w:pPr>
        <w:spacing w:after="0" w:line="1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cyber threats continue to evolve, we may be required to expend significant capital and other resources to protect against the threat of security breaches or to mitigate and alleviate problems caused by breaches, including unauthorized access to proprietary information and personally identifiable information stored in our information systems, and the introduction of computer viruses or other malicious software programs to our systems. Our security measures may be inadequate to prevent security breaches and our business operations could be materially adversely affected by federal and state fines and penalties, legal claims or proceedings, cancellation of contracts and loss of customers if security breaches are not prevented.</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our subcontractors and vendors take precautionary measures to prevent problems that could affect our business operations as a result of failure or disruption to their information systems. However, there is no guarantee such efforts will be successful in preventing a disruption, and it is possible that we may be impacted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information system failures. The occurrence of any information system failures could result in interruptions, delays, loss or corruption of data and cessations or interruptions in the availability of these systems. All of these events or circumstances, among others, could have an adverse effect on our business, results of operations, financial position and cash flows, and they could harm our business reputation.</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we have all the necessary licenses from third parties to use technology and software that we do not own. A third party could, however, allege that we are infringing its rights, which may deter our ability to obtain licenses on commercially reasonable terms from the third party, if at all, or cause the third party to commence litigation against us. In addition, we may find it necessary to initiate litigation to protect our trade secrets, to enforce our intellectual property rights and to determine the scope and validity of any proprietary rights of others. Any such litigation, or the failure to obtain any necessary licenses or other rights, could materially and adversely affect our business.</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license our products globally; therefore, we may have exposure to foreign regulatory requirements and fluctuations in foreign currency exchange rates.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Continued foreign licensure inherently subjects us to a number of risks and uncertainties, including:</w:t>
      </w:r>
    </w:p>
    <w:p>
      <w:pPr>
        <w:spacing w:after="0" w:line="144" w:lineRule="exact"/>
        <w:rPr>
          <w:sz w:val="20"/>
          <w:szCs w:val="20"/>
          <w:color w:val="auto"/>
        </w:rPr>
      </w:pPr>
    </w:p>
    <w:p>
      <w:pPr>
        <w:ind w:left="1060" w:hanging="323"/>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157" w:lineRule="exact"/>
        <w:rPr>
          <w:rFonts w:ascii="Arial" w:cs="Arial" w:eastAsia="Arial" w:hAnsi="Arial"/>
          <w:sz w:val="18"/>
          <w:szCs w:val="18"/>
          <w:color w:val="auto"/>
        </w:rPr>
      </w:pPr>
    </w:p>
    <w:p>
      <w:pPr>
        <w:ind w:left="1060" w:hanging="323"/>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and economic instability or sanctions in areas in which we operate;</w:t>
      </w:r>
    </w:p>
    <w:p>
      <w:pPr>
        <w:spacing w:after="0" w:line="157" w:lineRule="exact"/>
        <w:rPr>
          <w:rFonts w:ascii="Arial" w:cs="Arial" w:eastAsia="Arial" w:hAnsi="Arial"/>
          <w:sz w:val="18"/>
          <w:szCs w:val="18"/>
          <w:color w:val="auto"/>
        </w:rPr>
      </w:pPr>
    </w:p>
    <w:p>
      <w:pPr>
        <w:ind w:left="1060" w:hanging="323"/>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44" w:lineRule="exact"/>
        <w:rPr>
          <w:rFonts w:ascii="Arial" w:cs="Arial" w:eastAsia="Arial" w:hAnsi="Arial"/>
          <w:sz w:val="18"/>
          <w:szCs w:val="18"/>
          <w:color w:val="auto"/>
        </w:rPr>
      </w:pPr>
    </w:p>
    <w:p>
      <w:pPr>
        <w:ind w:left="1060" w:hanging="323"/>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 (including sanctions);</w:t>
      </w:r>
    </w:p>
    <w:p>
      <w:pPr>
        <w:spacing w:after="0" w:line="157" w:lineRule="exact"/>
        <w:rPr>
          <w:rFonts w:ascii="Arial" w:cs="Arial" w:eastAsia="Arial" w:hAnsi="Arial"/>
          <w:sz w:val="18"/>
          <w:szCs w:val="18"/>
          <w:color w:val="auto"/>
        </w:rPr>
      </w:pPr>
    </w:p>
    <w:p>
      <w:pPr>
        <w:ind w:left="1060" w:hanging="323"/>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w:t>
      </w:r>
    </w:p>
    <w:p>
      <w:pPr>
        <w:spacing w:after="0" w:line="157" w:lineRule="exact"/>
        <w:rPr>
          <w:rFonts w:ascii="Arial" w:cs="Arial" w:eastAsia="Arial" w:hAnsi="Arial"/>
          <w:sz w:val="18"/>
          <w:szCs w:val="18"/>
          <w:color w:val="auto"/>
        </w:rPr>
      </w:pPr>
    </w:p>
    <w:p>
      <w:pPr>
        <w:ind w:left="1060" w:hanging="323"/>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challenges in collecting accounts receivable from customers in the jurisdictions in which we operate;</w:t>
      </w:r>
    </w:p>
    <w:p>
      <w:pPr>
        <w:spacing w:after="0" w:line="144" w:lineRule="exact"/>
        <w:rPr>
          <w:rFonts w:ascii="Arial" w:cs="Arial" w:eastAsia="Arial" w:hAnsi="Arial"/>
          <w:sz w:val="18"/>
          <w:szCs w:val="18"/>
          <w:color w:val="auto"/>
        </w:rPr>
      </w:pPr>
    </w:p>
    <w:p>
      <w:pPr>
        <w:ind w:left="1060" w:hanging="323"/>
        <w:spacing w:after="0" w:line="277" w:lineRule="auto"/>
        <w:tabs>
          <w:tab w:leader="none" w:pos="10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complying with laws, rules and regulations relating to the manufacturing, marketing, distribution and sale of pharmaceutical products in the jurisdictions in which we do or will operate;</w:t>
      </w:r>
    </w:p>
    <w:p>
      <w:pPr>
        <w:spacing w:after="0" w:line="102" w:lineRule="exact"/>
        <w:rPr>
          <w:rFonts w:ascii="Arial" w:cs="Arial" w:eastAsia="Arial" w:hAnsi="Arial"/>
          <w:sz w:val="18"/>
          <w:szCs w:val="18"/>
          <w:color w:val="auto"/>
        </w:rPr>
      </w:pPr>
    </w:p>
    <w:p>
      <w:pPr>
        <w:ind w:left="1060" w:right="20" w:hanging="323"/>
        <w:spacing w:after="0" w:line="277" w:lineRule="auto"/>
        <w:tabs>
          <w:tab w:leader="none" w:pos="10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under regulations in jurisdictions related to obtaining eligibility for government or private payor reimbursement for our products at the wholesale/retail level;</w:t>
      </w:r>
    </w:p>
    <w:p>
      <w:pPr>
        <w:spacing w:after="0" w:line="102" w:lineRule="exact"/>
        <w:rPr>
          <w:rFonts w:ascii="Arial" w:cs="Arial" w:eastAsia="Arial" w:hAnsi="Arial"/>
          <w:sz w:val="18"/>
          <w:szCs w:val="18"/>
          <w:color w:val="auto"/>
        </w:rPr>
      </w:pPr>
    </w:p>
    <w:p>
      <w:pPr>
        <w:ind w:left="1060" w:hanging="323"/>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from local, regional and international competitors;</w:t>
      </w:r>
    </w:p>
    <w:p>
      <w:pPr>
        <w:spacing w:after="0" w:line="144" w:lineRule="exact"/>
        <w:rPr>
          <w:rFonts w:ascii="Arial" w:cs="Arial" w:eastAsia="Arial" w:hAnsi="Arial"/>
          <w:sz w:val="18"/>
          <w:szCs w:val="18"/>
          <w:color w:val="auto"/>
        </w:rPr>
      </w:pPr>
    </w:p>
    <w:p>
      <w:pPr>
        <w:ind w:left="1060" w:hanging="323"/>
        <w:spacing w:after="0" w:line="277" w:lineRule="auto"/>
        <w:tabs>
          <w:tab w:leader="none" w:pos="10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including cultural and language differences and additional employment regulations, union workforce negotiations and potential disputes in the jurisdictions in which we operate;</w:t>
      </w:r>
    </w:p>
    <w:p>
      <w:pPr>
        <w:spacing w:after="0" w:line="102" w:lineRule="exact"/>
        <w:rPr>
          <w:rFonts w:ascii="Arial" w:cs="Arial" w:eastAsia="Arial" w:hAnsi="Arial"/>
          <w:sz w:val="18"/>
          <w:szCs w:val="18"/>
          <w:color w:val="auto"/>
        </w:rPr>
      </w:pPr>
    </w:p>
    <w:p>
      <w:pPr>
        <w:ind w:left="1060" w:right="20" w:hanging="323"/>
        <w:spacing w:after="0" w:line="277" w:lineRule="auto"/>
        <w:tabs>
          <w:tab w:leader="none" w:pos="10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associated with compliance with a variety of laws and regulations governing international trade, including the Foreign Corrupt Practices Act;</w:t>
      </w:r>
    </w:p>
    <w:p>
      <w:pPr>
        <w:spacing w:after="0" w:line="102" w:lineRule="exact"/>
        <w:rPr>
          <w:rFonts w:ascii="Arial" w:cs="Arial" w:eastAsia="Arial" w:hAnsi="Arial"/>
          <w:sz w:val="18"/>
          <w:szCs w:val="18"/>
          <w:color w:val="auto"/>
        </w:rPr>
      </w:pPr>
    </w:p>
    <w:p>
      <w:pPr>
        <w:ind w:left="1060" w:hanging="323"/>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 and</w:t>
      </w:r>
    </w:p>
    <w:p>
      <w:pPr>
        <w:spacing w:after="0" w:line="144" w:lineRule="exact"/>
        <w:rPr>
          <w:rFonts w:ascii="Arial" w:cs="Arial" w:eastAsia="Arial" w:hAnsi="Arial"/>
          <w:sz w:val="18"/>
          <w:szCs w:val="18"/>
          <w:color w:val="auto"/>
        </w:rPr>
      </w:pPr>
    </w:p>
    <w:p>
      <w:pPr>
        <w:ind w:left="1060" w:hanging="323"/>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5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Any of these factors may, individually or as a group, have a material adverse effect on our business and results of operations. These or other similar risks could adversely affect our revenue and profitability. As we continue to develop internationally, our exposure to these factors will increase.</w:t>
      </w:r>
    </w:p>
    <w:p>
      <w:pPr>
        <w:spacing w:after="0" w:line="6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decide not to commercialize one of our drug candidates once it obtains regulatory approval if we determine that commercialization of that product would require more capital and time than we are willing to invest.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any of our drug candidates receives regulatory approval, it could be subject to matters such as post-regulatory surveillance, additional clinical trials or testing, reformulation, changes in labeling, warnings to the public, recall, competition from similar or superior products, and lack of sufficient payor reimbursement by insurance companies or Medicare. As a result, we may not commercialize or continue to commercialize a product that has obtained regulatory approval.</w:t>
      </w:r>
    </w:p>
    <w:p>
      <w:pPr>
        <w:spacing w:after="0" w:line="1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approved drug product that we bring to the market may not gain market acceptance by physicians, patients, healthcare payors and others in the medical community.</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 if we are successful in gaining regulatory approval of any of our drug candidates or acquire rights to approved drug products, we may not generate significant product revenues and we may not become profitable if these drug products do not achieve an adequate level of acceptance. Physicians may not recommend our drug products until longer-term clinical data or other factors demonstrate the safety and efficacy of our drug products as compared to other alternative treatments. Even if the clinical safety and efficacy of our drug products is established, physicians may elect not to prescribe these drug products for a variety of reasons, including the reimbursement policies of government and other third-party payors and the effectiveness of our competitors in marketing their products.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Market acceptance of our drug products, if approved for commercial sale, will depend on a number of factors, including:</w:t>
      </w:r>
    </w:p>
    <w:p>
      <w:pPr>
        <w:spacing w:after="0" w:line="144"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and ability of patients and the healthcare community to use our drug products;</w:t>
      </w:r>
    </w:p>
    <w:p>
      <w:pPr>
        <w:spacing w:after="0" w:line="15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manufacture our drug products in sufficient quantities with acceptable quality and to offer our drug products for sale at competitive prices;</w:t>
      </w:r>
    </w:p>
    <w:p>
      <w:pPr>
        <w:spacing w:after="0" w:line="10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perception of patients and the healthcare community, including third-party payors, regarding the safety, efficacy and benefits of our drug products compared to those of competing products or therapies;</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pricing and reimbursement of our drug products relative to existing treatments.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part of our business strategy, we may pursue additional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We may not realize the anticipated benefits of any acquisition, joint venture, strategic alliance or investment. We may not be able to integrate acquisitions successfully into our existing business,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Any acquisitions or investments made by us also could result in significant write-offs or the incurrence of debt and contingent liabilities, any of which could harm our operating results. In addition, if we choose to issue shares of our stock as consideration for any acquisition, dilution to our shareholders could result.</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required to modify our business practices, pay fines and significant expenses or experience other losses due to governmental investigations or other enforcement activities.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become subject to litigation or governmental investigations in the United States and foreign jurisdictions that may arise from the conduct of our business. Like many companies in our industry, we have from time to time received inquiries and other types of information requests from government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While the ultimate outcomes of investigations and legal proceedings are difficult to predict, adverse resolutions or settlements of those matters could result in, among other things:</w:t>
      </w:r>
    </w:p>
    <w:p>
      <w:pPr>
        <w:spacing w:after="0" w:line="89" w:lineRule="exact"/>
        <w:rPr>
          <w:sz w:val="20"/>
          <w:szCs w:val="20"/>
          <w:color w:val="auto"/>
        </w:rPr>
      </w:pPr>
    </w:p>
    <w:p>
      <w:pPr>
        <w:ind w:left="980" w:hanging="324"/>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damage awards, fines, penalties or other payments, and administrative remedies, such as exclusion and/or debarment from government programs, or other rulings that preclude us from operating our business in a certain manner;</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and additional costs to our business operations to avoid risks associated with such litigation or investigations;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reputational damage and decreased demand for our products;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expenditure of significant time and resources that would otherwise be available for operating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GOVERNMENT REGULATION</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Virtually all aspects of our business activities are regulated by government agencies. The manufacturing, processing, formulation, packaging, labeling, distribution, promotion and sampling, advertising of our products, and disposal of waste products arising from such activities are subject to governmental regulation. These activities are regulated by one or more of the FDA, the Federal Trade Commission, ("FTC"), the Consumer Product Safety Commission, the U.S. Department of Agriculture and the U.S. Environmental Protection Agency, ("EPA"), as well as by comparable agencies in foreign countries. These activities are also regulated by various agencies of the states and localities in which our products are sold. For more information, see “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Government Regulation" </w:t>
      </w:r>
      <w:r>
        <w:rPr>
          <w:rFonts w:ascii="Arial" w:cs="Arial" w:eastAsia="Arial" w:hAnsi="Arial"/>
          <w:sz w:val="18"/>
          <w:szCs w:val="18"/>
          <w:color w:val="auto"/>
        </w:rPr>
        <w:t>in Part I, Item 1 of this Form 10-K.</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Like all pharmaceutical manufacturers, we are subject to regulation by the FDA under the Federal Food, Drug and Cosmetic Act ("FDCA"). All new drugs must be the subject of an FDA-approved new drug application, ("NDA"), before they may be marketed in the United States. The FDA has the authority to withdraw existing NDA approvals and to review the regulatory status of products marketed under the enforcement policy. The FDA may require an approved NDA for any drug product marketed under the enforcement policy if new information reveals questions about the drug’s safety and effectiveness. All drugs must be manufactured in conformity with GMP, and drug products subject to an approved NDA must be manufactured, processed, packaged, held and labeled in accordance with information contained in the NDA. Since we rely on third parties to manufacture our products, GMP requirements directly affect our third party manufacturers and indirectly affect us. The manufacturing facilities of our third-party manufacturers are continually subject to inspection by such governmental agencies, and manufacturing operations could be interrupted or halted in any such facilities if such inspections prove unsatisfactory. Our third-party manufacturers are subject to periodic inspection by the FDA to assure such compliance.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Even after regulatory approval, certain developments may decrease demand for our products, including the following:</w:t>
      </w:r>
    </w:p>
    <w:p>
      <w:pPr>
        <w:spacing w:after="0" w:line="158" w:lineRule="exact"/>
        <w:rPr>
          <w:sz w:val="20"/>
          <w:szCs w:val="20"/>
          <w:color w:val="auto"/>
        </w:rPr>
      </w:pPr>
    </w:p>
    <w:p>
      <w:pPr>
        <w:ind w:left="960" w:hanging="304"/>
        <w:spacing w:after="0"/>
        <w:tabs>
          <w:tab w:leader="none" w:pos="960" w:val="left"/>
        </w:tabs>
        <w:numPr>
          <w:ilvl w:val="0"/>
          <w:numId w:val="23"/>
        </w:numPr>
        <w:rPr>
          <w:rFonts w:ascii="Arial" w:cs="Arial" w:eastAsia="Arial" w:hAnsi="Arial"/>
          <w:sz w:val="20"/>
          <w:szCs w:val="20"/>
          <w:color w:val="auto"/>
        </w:rPr>
      </w:pPr>
      <w:r>
        <w:rPr>
          <w:rFonts w:ascii="Arial" w:cs="Arial" w:eastAsia="Arial" w:hAnsi="Arial"/>
          <w:sz w:val="18"/>
          <w:szCs w:val="18"/>
          <w:color w:val="auto"/>
        </w:rPr>
        <w:t>the re-review of products that are already marketed;</w:t>
      </w:r>
    </w:p>
    <w:p>
      <w:pPr>
        <w:spacing w:after="0" w:line="148" w:lineRule="exact"/>
        <w:rPr>
          <w:rFonts w:ascii="Arial" w:cs="Arial" w:eastAsia="Arial" w:hAnsi="Arial"/>
          <w:sz w:val="20"/>
          <w:szCs w:val="20"/>
          <w:color w:val="auto"/>
        </w:rPr>
      </w:pPr>
    </w:p>
    <w:p>
      <w:pPr>
        <w:ind w:left="960" w:hanging="304"/>
        <w:spacing w:after="0"/>
        <w:tabs>
          <w:tab w:leader="none" w:pos="960" w:val="left"/>
        </w:tabs>
        <w:numPr>
          <w:ilvl w:val="0"/>
          <w:numId w:val="23"/>
        </w:numPr>
        <w:rPr>
          <w:rFonts w:ascii="Arial" w:cs="Arial" w:eastAsia="Arial" w:hAnsi="Arial"/>
          <w:sz w:val="20"/>
          <w:szCs w:val="20"/>
          <w:color w:val="auto"/>
        </w:rPr>
      </w:pPr>
      <w:r>
        <w:rPr>
          <w:rFonts w:ascii="Arial" w:cs="Arial" w:eastAsia="Arial" w:hAnsi="Arial"/>
          <w:sz w:val="18"/>
          <w:szCs w:val="18"/>
          <w:color w:val="auto"/>
        </w:rPr>
        <w:t>new scientific information and evolution of scientific theories;</w:t>
      </w:r>
    </w:p>
    <w:p>
      <w:pPr>
        <w:spacing w:after="0" w:line="161" w:lineRule="exact"/>
        <w:rPr>
          <w:rFonts w:ascii="Arial" w:cs="Arial" w:eastAsia="Arial" w:hAnsi="Arial"/>
          <w:sz w:val="20"/>
          <w:szCs w:val="20"/>
          <w:color w:val="auto"/>
        </w:rPr>
      </w:pPr>
    </w:p>
    <w:p>
      <w:pPr>
        <w:ind w:left="960" w:hanging="304"/>
        <w:spacing w:after="0"/>
        <w:tabs>
          <w:tab w:leader="none" w:pos="960" w:val="left"/>
        </w:tabs>
        <w:numPr>
          <w:ilvl w:val="0"/>
          <w:numId w:val="23"/>
        </w:numPr>
        <w:rPr>
          <w:rFonts w:ascii="Arial" w:cs="Arial" w:eastAsia="Arial" w:hAnsi="Arial"/>
          <w:sz w:val="20"/>
          <w:szCs w:val="20"/>
          <w:color w:val="auto"/>
        </w:rPr>
      </w:pPr>
      <w:r>
        <w:rPr>
          <w:rFonts w:ascii="Arial" w:cs="Arial" w:eastAsia="Arial" w:hAnsi="Arial"/>
          <w:sz w:val="18"/>
          <w:szCs w:val="18"/>
          <w:color w:val="auto"/>
        </w:rPr>
        <w:t>the recall or loss of marketing approval of products that are already marketed;</w:t>
      </w:r>
    </w:p>
    <w:p>
      <w:pPr>
        <w:spacing w:after="0" w:line="148" w:lineRule="exact"/>
        <w:rPr>
          <w:rFonts w:ascii="Arial" w:cs="Arial" w:eastAsia="Arial" w:hAnsi="Arial"/>
          <w:sz w:val="20"/>
          <w:szCs w:val="20"/>
          <w:color w:val="auto"/>
        </w:rPr>
      </w:pPr>
    </w:p>
    <w:p>
      <w:pPr>
        <w:ind w:left="960" w:hanging="304"/>
        <w:spacing w:after="0"/>
        <w:tabs>
          <w:tab w:leader="none" w:pos="960" w:val="left"/>
        </w:tabs>
        <w:numPr>
          <w:ilvl w:val="0"/>
          <w:numId w:val="23"/>
        </w:numPr>
        <w:rPr>
          <w:rFonts w:ascii="Arial" w:cs="Arial" w:eastAsia="Arial" w:hAnsi="Arial"/>
          <w:sz w:val="20"/>
          <w:szCs w:val="20"/>
          <w:color w:val="auto"/>
        </w:rPr>
      </w:pPr>
      <w:r>
        <w:rPr>
          <w:rFonts w:ascii="Arial" w:cs="Arial" w:eastAsia="Arial" w:hAnsi="Arial"/>
          <w:sz w:val="18"/>
          <w:szCs w:val="18"/>
          <w:color w:val="auto"/>
        </w:rPr>
        <w:t>changing government standards or public expectations regarding safety, efficacy or labeling changes; and</w:t>
      </w:r>
    </w:p>
    <w:p>
      <w:pPr>
        <w:spacing w:after="0" w:line="148" w:lineRule="exact"/>
        <w:rPr>
          <w:rFonts w:ascii="Arial" w:cs="Arial" w:eastAsia="Arial" w:hAnsi="Arial"/>
          <w:sz w:val="20"/>
          <w:szCs w:val="20"/>
          <w:color w:val="auto"/>
        </w:rPr>
      </w:pPr>
    </w:p>
    <w:p>
      <w:pPr>
        <w:ind w:left="960" w:hanging="304"/>
        <w:spacing w:after="0"/>
        <w:tabs>
          <w:tab w:leader="none" w:pos="960" w:val="left"/>
        </w:tabs>
        <w:numPr>
          <w:ilvl w:val="0"/>
          <w:numId w:val="23"/>
        </w:numPr>
        <w:rPr>
          <w:rFonts w:ascii="Arial" w:cs="Arial" w:eastAsia="Arial" w:hAnsi="Arial"/>
          <w:sz w:val="20"/>
          <w:szCs w:val="20"/>
          <w:color w:val="auto"/>
        </w:rPr>
      </w:pPr>
      <w:r>
        <w:rPr>
          <w:rFonts w:ascii="Arial" w:cs="Arial" w:eastAsia="Arial" w:hAnsi="Arial"/>
          <w:sz w:val="18"/>
          <w:szCs w:val="18"/>
          <w:color w:val="auto"/>
        </w:rPr>
        <w:t>greater scrutiny in advertising and promotion.</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regulatory changes or decisions could make it more difficult for us to sell our products and could have a material adverse effect on our business, results of operations, financial condition and cash flows. Manufacturers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drug products and their facilities are subject to continual review and periodic inspections by the FDA and other regulatory authorities for compliance with GMP and other applicable regulations. If we or a regulatory agency discovers previously unknown problems with a product, such as adverse events of unanticipated severity or frequency, or problems with a facility where the product is manufactured, a regulatory agency may impose restrictions on that product or the manufacturer, including withdrawal of the product from the market or suspension of manufacturing. If we, our partners or the manufacturing facilities for our products fail to comply with applicable regulatory requirements or violate healthcare laws, a regulatory agency may take the following actions, among others:</w:t>
      </w:r>
    </w:p>
    <w:p>
      <w:pPr>
        <w:spacing w:after="0" w:line="125" w:lineRule="exact"/>
        <w:rPr>
          <w:sz w:val="20"/>
          <w:szCs w:val="20"/>
          <w:color w:val="auto"/>
        </w:rPr>
      </w:pPr>
    </w:p>
    <w:p>
      <w:pPr>
        <w:ind w:left="960" w:hanging="304"/>
        <w:spacing w:after="0"/>
        <w:tabs>
          <w:tab w:leader="none" w:pos="960" w:val="left"/>
        </w:tabs>
        <w:numPr>
          <w:ilvl w:val="0"/>
          <w:numId w:val="24"/>
        </w:numPr>
        <w:rPr>
          <w:rFonts w:ascii="Arial" w:cs="Arial" w:eastAsia="Arial" w:hAnsi="Arial"/>
          <w:sz w:val="20"/>
          <w:szCs w:val="20"/>
          <w:color w:val="auto"/>
        </w:rPr>
      </w:pPr>
      <w:r>
        <w:rPr>
          <w:rFonts w:ascii="Arial" w:cs="Arial" w:eastAsia="Arial" w:hAnsi="Arial"/>
          <w:sz w:val="18"/>
          <w:szCs w:val="18"/>
          <w:color w:val="auto"/>
        </w:rPr>
        <w:t>issue warning letters or untitled letters;</w:t>
      </w:r>
    </w:p>
    <w:p>
      <w:pPr>
        <w:spacing w:after="0" w:line="161" w:lineRule="exact"/>
        <w:rPr>
          <w:rFonts w:ascii="Arial" w:cs="Arial" w:eastAsia="Arial" w:hAnsi="Arial"/>
          <w:sz w:val="20"/>
          <w:szCs w:val="20"/>
          <w:color w:val="auto"/>
        </w:rPr>
      </w:pPr>
    </w:p>
    <w:p>
      <w:pPr>
        <w:ind w:left="960" w:hanging="304"/>
        <w:spacing w:after="0"/>
        <w:tabs>
          <w:tab w:leader="none" w:pos="960" w:val="left"/>
        </w:tabs>
        <w:numPr>
          <w:ilvl w:val="0"/>
          <w:numId w:val="24"/>
        </w:numPr>
        <w:rPr>
          <w:rFonts w:ascii="Arial" w:cs="Arial" w:eastAsia="Arial" w:hAnsi="Arial"/>
          <w:sz w:val="20"/>
          <w:szCs w:val="20"/>
          <w:color w:val="auto"/>
        </w:rPr>
      </w:pPr>
      <w:r>
        <w:rPr>
          <w:rFonts w:ascii="Arial" w:cs="Arial" w:eastAsia="Arial" w:hAnsi="Arial"/>
          <w:sz w:val="18"/>
          <w:szCs w:val="18"/>
          <w:color w:val="auto"/>
        </w:rPr>
        <w:t>impose civil or criminal penalties</w:t>
      </w:r>
    </w:p>
    <w:p>
      <w:pPr>
        <w:spacing w:after="0" w:line="148" w:lineRule="exact"/>
        <w:rPr>
          <w:rFonts w:ascii="Arial" w:cs="Arial" w:eastAsia="Arial" w:hAnsi="Arial"/>
          <w:sz w:val="20"/>
          <w:szCs w:val="20"/>
          <w:color w:val="auto"/>
        </w:rPr>
      </w:pPr>
    </w:p>
    <w:p>
      <w:pPr>
        <w:ind w:left="960" w:hanging="304"/>
        <w:spacing w:after="0"/>
        <w:tabs>
          <w:tab w:leader="none" w:pos="960" w:val="left"/>
        </w:tabs>
        <w:numPr>
          <w:ilvl w:val="0"/>
          <w:numId w:val="24"/>
        </w:numPr>
        <w:rPr>
          <w:rFonts w:ascii="Arial" w:cs="Arial" w:eastAsia="Arial" w:hAnsi="Arial"/>
          <w:sz w:val="20"/>
          <w:szCs w:val="20"/>
          <w:color w:val="auto"/>
        </w:rPr>
      </w:pPr>
      <w:r>
        <w:rPr>
          <w:rFonts w:ascii="Arial" w:cs="Arial" w:eastAsia="Arial" w:hAnsi="Arial"/>
          <w:sz w:val="18"/>
          <w:szCs w:val="18"/>
          <w:color w:val="auto"/>
        </w:rPr>
        <w:t>suspend or withdraw regulatory approval;</w:t>
      </w:r>
    </w:p>
    <w:p>
      <w:pPr>
        <w:spacing w:after="0" w:line="148" w:lineRule="exact"/>
        <w:rPr>
          <w:rFonts w:ascii="Arial" w:cs="Arial" w:eastAsia="Arial" w:hAnsi="Arial"/>
          <w:sz w:val="20"/>
          <w:szCs w:val="20"/>
          <w:color w:val="auto"/>
        </w:rPr>
      </w:pPr>
    </w:p>
    <w:p>
      <w:pPr>
        <w:ind w:left="960" w:hanging="304"/>
        <w:spacing w:after="0"/>
        <w:tabs>
          <w:tab w:leader="none" w:pos="960" w:val="left"/>
        </w:tabs>
        <w:numPr>
          <w:ilvl w:val="0"/>
          <w:numId w:val="24"/>
        </w:numPr>
        <w:rPr>
          <w:rFonts w:ascii="Arial" w:cs="Arial" w:eastAsia="Arial" w:hAnsi="Arial"/>
          <w:sz w:val="20"/>
          <w:szCs w:val="20"/>
          <w:color w:val="auto"/>
        </w:rPr>
      </w:pPr>
      <w:r>
        <w:rPr>
          <w:rFonts w:ascii="Arial" w:cs="Arial" w:eastAsia="Arial" w:hAnsi="Arial"/>
          <w:sz w:val="18"/>
          <w:szCs w:val="18"/>
          <w:color w:val="auto"/>
        </w:rPr>
        <w:t>suspend any ongoing clinical trials;</w:t>
      </w:r>
    </w:p>
    <w:p>
      <w:pPr>
        <w:spacing w:after="0" w:line="148" w:lineRule="exact"/>
        <w:rPr>
          <w:rFonts w:ascii="Arial" w:cs="Arial" w:eastAsia="Arial" w:hAnsi="Arial"/>
          <w:sz w:val="20"/>
          <w:szCs w:val="20"/>
          <w:color w:val="auto"/>
        </w:rPr>
      </w:pPr>
    </w:p>
    <w:p>
      <w:pPr>
        <w:ind w:left="960" w:hanging="304"/>
        <w:spacing w:after="0"/>
        <w:tabs>
          <w:tab w:leader="none" w:pos="960" w:val="left"/>
        </w:tabs>
        <w:numPr>
          <w:ilvl w:val="0"/>
          <w:numId w:val="24"/>
        </w:numPr>
        <w:rPr>
          <w:rFonts w:ascii="Arial" w:cs="Arial" w:eastAsia="Arial" w:hAnsi="Arial"/>
          <w:sz w:val="20"/>
          <w:szCs w:val="20"/>
          <w:color w:val="auto"/>
        </w:rPr>
      </w:pPr>
      <w:r>
        <w:rPr>
          <w:rFonts w:ascii="Arial" w:cs="Arial" w:eastAsia="Arial" w:hAnsi="Arial"/>
          <w:sz w:val="18"/>
          <w:szCs w:val="18"/>
          <w:color w:val="auto"/>
        </w:rPr>
        <w:t>refuse to approve pending applications or supplements to applications submitted by us;</w:t>
      </w:r>
    </w:p>
    <w:p>
      <w:pPr>
        <w:spacing w:after="0" w:line="161" w:lineRule="exact"/>
        <w:rPr>
          <w:rFonts w:ascii="Arial" w:cs="Arial" w:eastAsia="Arial" w:hAnsi="Arial"/>
          <w:sz w:val="20"/>
          <w:szCs w:val="20"/>
          <w:color w:val="auto"/>
        </w:rPr>
      </w:pPr>
    </w:p>
    <w:p>
      <w:pPr>
        <w:ind w:left="960" w:hanging="304"/>
        <w:spacing w:after="0"/>
        <w:tabs>
          <w:tab w:leader="none" w:pos="960" w:val="left"/>
        </w:tabs>
        <w:numPr>
          <w:ilvl w:val="0"/>
          <w:numId w:val="24"/>
        </w:numPr>
        <w:rPr>
          <w:rFonts w:ascii="Arial" w:cs="Arial" w:eastAsia="Arial" w:hAnsi="Arial"/>
          <w:sz w:val="20"/>
          <w:szCs w:val="20"/>
          <w:color w:val="auto"/>
        </w:rPr>
      </w:pPr>
      <w:r>
        <w:rPr>
          <w:rFonts w:ascii="Arial" w:cs="Arial" w:eastAsia="Arial" w:hAnsi="Arial"/>
          <w:sz w:val="18"/>
          <w:szCs w:val="18"/>
          <w:color w:val="auto"/>
        </w:rPr>
        <w:t>impose restrictions on operations, including costly new manufacturing requirements; or</w:t>
      </w:r>
    </w:p>
    <w:p>
      <w:pPr>
        <w:spacing w:after="0" w:line="148" w:lineRule="exact"/>
        <w:rPr>
          <w:rFonts w:ascii="Arial" w:cs="Arial" w:eastAsia="Arial" w:hAnsi="Arial"/>
          <w:sz w:val="20"/>
          <w:szCs w:val="20"/>
          <w:color w:val="auto"/>
        </w:rPr>
      </w:pPr>
    </w:p>
    <w:p>
      <w:pPr>
        <w:ind w:left="960" w:hanging="304"/>
        <w:spacing w:after="0"/>
        <w:tabs>
          <w:tab w:leader="none" w:pos="960" w:val="left"/>
        </w:tabs>
        <w:numPr>
          <w:ilvl w:val="0"/>
          <w:numId w:val="24"/>
        </w:numPr>
        <w:rPr>
          <w:rFonts w:ascii="Arial" w:cs="Arial" w:eastAsia="Arial" w:hAnsi="Arial"/>
          <w:sz w:val="20"/>
          <w:szCs w:val="20"/>
          <w:color w:val="auto"/>
        </w:rPr>
      </w:pPr>
      <w:r>
        <w:rPr>
          <w:rFonts w:ascii="Arial" w:cs="Arial" w:eastAsia="Arial" w:hAnsi="Arial"/>
          <w:sz w:val="18"/>
          <w:szCs w:val="18"/>
          <w:color w:val="auto"/>
        </w:rPr>
        <w:t>seize or detain products or require us to initiate a product recall.</w:t>
      </w:r>
    </w:p>
    <w:p>
      <w:pPr>
        <w:spacing w:after="0" w:line="13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Any change in the FDA’s enforcement policy could have a material adverse effect on our business, financial condition and results of operations. We cannot determine what effect changes in regulations or statutes or legal interpretation, when and if promulgated or enacted, may have on our business in the future. Such changes, or new legislation, could have a material adverse effect on our business, financial condition and results of operations.</w:t>
      </w:r>
    </w:p>
    <w:p>
      <w:pPr>
        <w:spacing w:after="0" w:line="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Proposed legislation may permit re-importation of drugs from other countries into the U.S., including foreign countries where the drugs are sold at lower prices than in the U.S., which could materially and adversely affect our operating results and our overall financial condition.</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previous years, legislation has been introduced in Congress that, if enacted, would permit more widespread re-importation of drugs from foreign countries into the U.S., which may include re-importation from foreign countries where the drugs are sold at lower prices than in the U.S. Such legislation, or similar regulatory changes, if enacted, could decrease the price we receive for any approved products which, in turn, could materially and adversely affect our operating results and our overall financial condition.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the CREATES Act.</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have been a number of recent regulatory and legislative initiatives designed to encourage generic competition for pharmaceutical products, including expedited review procedures for generic manufacturers and incentives designed to spur generic competition of branded drugs. In particular, FDA and FTC have been focused on brand companies’ denial of drug supply to potential generic competitors for testing. In December 2019, the Creating and Restoring Equal Access to Equivalent Samples Act, or the CREATES Act, was enacted, which provides a legislatively defined private right of action under which eligible product developers can bring suit against companies who refuse to sell sufficient quantities of their branded products on commercially reasonable, market-based terms to support such eligible product developers’ marketing applications. We cannot currently predict the specific outcome or impact on our business of such regulatory and legislative initiatives.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the Foreign Corrupt Practices Act.</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required to comply with the United States Foreign Corrupt Practices Act, which prohibits U.S. companies from engaging in bribery or other prohibited payments to foreign officials for the purpose of obtaining or retaining business. Foreign companies, including some of our competitors, are not subject to these prohibitions. If our competitors engage in these practices, they may receive preferential treatment from officials or agencies in some countries, giving our competitors an advantage in securing business from government officials who might give them priority in obtaining new licenses, which would put us at a disadvantage. We have established formal policies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3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procedures for prohibiting or monitoring this conduct, but we cannot assure you that our employees or other agents will not engage in such conduct for which we might be held responsible. If our employees or other agents are found to have engaged in such practices, we could suffer severe penalties.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the Physician Payment Sunshine Act.</w:t>
      </w:r>
    </w:p>
    <w:p>
      <w:pPr>
        <w:spacing w:after="0" w:line="1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required to comply with the United States Physician Payment Sunshine Act, which requires manufacturers of drugs, medical devices and biologicals that participate in U.S. federal healthcare programs to report certain payments and items of value given to physicians and teaching hospitals. Manufacturers are required to report this information annually to The Centers for Medicare &amp; Medicaid Services ("CMS"). In addition, some states require reporting information concerning payments to health care providers or other transfers of value by drug manufacturers beyond the requirements of the Federal Sunshine Act. Cumberland has implemented a series of policies and procedures for every employee involved in the data collection process, and has systems in place to capture the data, which is verified by an outside firm that specializes in reporting the payments. Cumberland has also established a system to ensure that data was reported completely, in the correct format, and on time. Despite these policies, procedures and systems, we cannot assure you that we will collect and report all data accurately. If we fail to accurately report this information, we could suffer severe penalties.</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participate in the Medicaid Drug Rebate program, the 340B program, and other governmental pricing programs and have obligations to report the average sales price for certain of our drugs to CMS. These programs and rebate calculations vary across products and programs, are complex, and are often subject to interpretation by us, governmental or regulatory agencies and the courts, which can change over time.</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CMS, could also decide to terminate our Medicaid drug rebate agreement, in which case federal payments may not be available under Medicaid or Medicare Part B for our covered outpatient drugs. We cannot assure you that our submissions will not be found by CMS to be incomplete or incorrect. Our failure to comply with our reporting and payment obligations under the Medicaid Drug Rebate program and other governmental programs could negatively impact our financial results.</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be subject to foreign, federal, and state data privacy and security laws, and failure to protect our information systems against security breaches, service interruptions, or misappropriation of data could disrupt operations, compromise sensitive data, and expose us to liability, possibly causing our business and reputation to suffer.</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United States, numerous federal and state laws and regulations govern the collection, use, disclosure and protection of health-related and other personal information and could apply to our operations or the operations of our collaborators and third-party providers. Certain of these laws grant individual rights with respect to their information, and we may be required to expend significant resources to comply with these laws. For example, the California Consumer Privacy Act, or CCPA, was enacted in 2020. These laws and regulations are evolving and subject to interpretation and may impose limitations on our activities or otherwise adversely affect our business. Similarly, there are a number of legislative proposals in the European Union, the United States, at both the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state level, as well as other jurisdictions that could impose new obligations or limitations in areas affecting our business. These changes may lead to additional costs and increase our overall risk exposure.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INTELLECTUAL PROPERTY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strategy to secure and extend marketing exclusivity or patent rights may provide only limited or no protection from competition.</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seek to secure and extend marketing exclusivity for our products through a variety of means, including FDA exclusivity and patent rights. Additional barriers for competitors seeking to enter the market include the time and cost associated with the development, regulatory approval and manufacturing of a similar product formulation.</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Part I, Item 1, </w:t>
      </w:r>
      <w:r>
        <w:rPr>
          <w:rFonts w:ascii="Arial" w:cs="Arial" w:eastAsia="Arial" w:hAnsi="Arial"/>
          <w:sz w:val="18"/>
          <w:szCs w:val="18"/>
          <w:i w:val="1"/>
          <w:iCs w:val="1"/>
          <w:color w:val="auto"/>
        </w:rPr>
        <w:t>Business - Patents, Trademarks, and Other Intellectual Proprietary Rights,</w:t>
      </w:r>
      <w:r>
        <w:rPr>
          <w:rFonts w:ascii="Arial" w:cs="Arial" w:eastAsia="Arial" w:hAnsi="Arial"/>
          <w:sz w:val="18"/>
          <w:szCs w:val="18"/>
          <w:color w:val="auto"/>
        </w:rPr>
        <w:t xml:space="preserve"> of this report on Form 10-K, we have several patents for formulations of Acetadote, and have previously engaged in litigation to enforce our patent rights.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intend to continue to vigorously defend and protect our Acetadote product and related intellectual property rights. If we are unsuccessful in protecting our Acetadote intellectual property rights, our competitors may be able to introduce products into the marketplace that reduce the sales and market share of our Acetadote product which may require us to take measures such as reducing prices or increasing our marketing expense, any of which may result in a material adverse effect to our financial condition and results of operations.</w:t>
      </w:r>
    </w:p>
    <w:p>
      <w:pPr>
        <w:spacing w:after="0" w:line="1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While we consider patent protection when evaluating product acquisition opportunities, any products we acquire in the future may not have significant patent protection. Neither the USPTO nor the courts have a consistent policy regarding the breadth of claims allowed or the degree of protection afforded under many pharmaceutical patents. Patent applications in the U.S. and many foreign jurisdictions are typically not published until 18 months following the filing date of the first related application, and in some cases not at all. In addition, publication of discoveries in scientific literature often lags significantly behind actual discoveries. Therefore, neither we nor our licensors can be certain that we or they were the first to make the inventions claimed in our issued patents or pending patent applications, or that we or they were the first to file for protection of the inventions set forth in these patent applications. In addition, changes in either patent laws or in interpretations of patent laws in the U.S. and other countries may diminish the value of our intellectual property or narrow the scope of our patent protection. Furthermore, our competitors may independently develop similar technologies or duplicate technology developed by us in a manner that does not infringe our patents or other intellectual property. As a result of these factors, our patent rights may not provide any commercially valuable protection from competing products.</w:t>
      </w:r>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patents, we rely upon trade secrets, unpatented proprietary know-how and continuing technological innovation where we do not believe patent protection is appropriate or attainable. For example, the manufacturing process for Kristalose involves substantial trade secrets and proprietary know-how. We have entered into confidentiality agreements with certain key employees and consultants pursuant to which such employees and consultants must assign to us any inventions relating to our business if made by them while they are our employees, as well as certain confidentiality agreements relating to the acquisition of rights to products. Confidentiality agreements can be breached, though, and we might not have adequate remedies for any breach. Also, others could acquire or independently develop similar technology.</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depend on certain licensors for the maintenance and enforcement of intellectual property rights and have limited, if any, control over the amount or timing of resources that our licensors devote on our behalf.</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we license products, we often depend on our licensors to protect the proprietary rights covering those products. We have limited, if any, control over the amount or timing of resources that our licensors devote on our behalf or the priority they place on maintaining patent or other rights and prosecuting patent applications to our advantage. While any such licensor is expected to be contractually obligated to diligently pursue its patent applications and allow us the opportunity to consult, review and comment on patent office communications, we cannot be sure that it will perform as required. If a licensor does not perform and if we do not assume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maintenance of the licensed patents in sufficient time to make required payments or filings with the appropriate governmental agencies, we risk losing the benefit of all or some of those patent rights.</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use of our technology conflicts with the intellectual property rights of third parties, we may incur substantial liabilities, and we may be unable to commercialize products based on this technology in a profitable manner or at all.</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our products conflict with the intellectual property rights of others, they could bring legal action against us or our licensors, licensees, manufacturers, customers or collaborators. If we were found to be infringing a patent or other intellectual property rights held by a third party, we could be forced to seek a license to use the patented or otherwise protected technology. We might not be able to obtain such a license on terms acceptable to us or at all. If legal action involving an alleged infringement or misappropriation were to be brought against us or our licensors, we would incur substantial costs in defending the action. If such a dispute were to be resolved against us, we could be subject to significant damages, and the manufacturing or sale of one or more of our products could be enjoined.</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collaborators or licensors, which could be costly and time consuming.</w:t>
      </w:r>
    </w:p>
    <w:p>
      <w:pPr>
        <w:spacing w:after="0" w:line="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been involved in lawsuits for infringement of the Acetadote Patents as previously described. Because of their nature, these lawsuits can be costly and time-consuming, and we only experience limited benefits and patent protection. A significant adverse ruling in any such lawsuit could put our patents at risk of being invalidated or interpreted narrowly and could compromise the issuance of our existing patent applications.</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Competitors may infringe on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or interpreted narrowly and could put our patent applications at risk of not issuing.</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Interference proceedings brought by the USPTO may be necessary to determine the priority of inventions with respect to our patent applications or those of our collaborators or licensors. Litigation or interference proceedings may fail and, even if successful, may result in substantial costs and distraction of our management. We may not be able, alone or with our collaborators and licensors, to prevent misappropriation of our proprietary rights, particularly in countries where the laws may not protect such rights as fully as in the United States.</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some of our confidential information could be disclosed during this type of litigation. In addition, there could be public announcements of the results of hearings, motions or other interim proceedings or developments.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trademarks or for allegedly infringing the trademark rights of others, which could be costly and time consuming.</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own certain trademark registrations for each of our branded pharmaceutical products as well as for our corporate name and logo. We have applied for trademark registration for other various names and logos. We also may have common law trademark rights in unregistered names, phrases, and logos under which we market or offer certain products and services. Over time, we intend to obtain and maintain registrations on trademarks that remain valuable to our business.</w:t>
      </w:r>
    </w:p>
    <w:p>
      <w:pPr>
        <w:spacing w:after="0" w:line="10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Third parties may oppose registration of our federal trademark applications. Further, we could be involved in lawsuits for allegedly infringing the rights of others with respect to their prior-existing trademarks. These lawsuits or opposition proceedings can be costly and time-consuming. A significant adverse ruling in any such lawsuit could put our trademarks at risk of being invalidated and could compromise the issuance of our existing trademark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Competitors may infringe on our trademarks or the trademarks of our collaborators or licensors. To counter infringement or unauthorized use, we may be required to file trademark infringement claims, which can be expensive and time-consuming. In addition, in a trademark infringement proceeding, a court may decide that a trademark registration of ours is not valid or is unenforceable, or may refuse to stop the other party from using the mark or a mark that is similar to our registered mark at issue on the grounds that the competitor’s use of the mark is not confusingly similar to our registered trademark. An adverse result in any litigation or defense proceeding could put one or more of our trademark registrations at risk of being invalidated or interpreted narrowly and could put our trademark applications at risk of not registering.</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some of our confidential information could be disclosed during this type of litigation. In addition, there could be public announcements of the results of hearings, motions or other interim proceedings or developments.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breach any of the agreements under which we license rights to our products and product candidates from others, we could lose the ability to continue commercialization of our products and development and commercialization of our product candidates.</w:t>
      </w:r>
    </w:p>
    <w:p>
      <w:pPr>
        <w:spacing w:after="0" w:line="1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exclusive licenses for the marketing and sale of certain products and may acquire additional licenses. Such licenses may terminate prior to expiration if we breach our obligations under the license agreement related to these pharmaceutical products. For example, the licenses may terminate if we fail to meet specified quality control standards, including GMP with respect to the products, or commit a material breach of other terms and conditions of the licenses. Such early termination could have a material adverse effect on our business, financial condition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that our employees have wrongfully used or disclosed alleged trade secrets of their former employers.</w:t>
      </w:r>
    </w:p>
    <w:p>
      <w:pPr>
        <w:spacing w:after="0" w:line="16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we or these employees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 We are subject to stringent government regulation. All of our products face regulatory challenges.</w:t>
      </w:r>
    </w:p>
    <w:p>
      <w:pPr>
        <w:spacing w:after="0" w:line="90" w:lineRule="exact"/>
        <w:rPr>
          <w:sz w:val="20"/>
          <w:szCs w:val="20"/>
          <w:color w:val="auto"/>
        </w:rPr>
      </w:pPr>
    </w:p>
    <w:p>
      <w:pPr>
        <w:ind w:right="4080"/>
        <w:spacing w:after="0" w:line="417" w:lineRule="auto"/>
        <w:rPr>
          <w:sz w:val="20"/>
          <w:szCs w:val="20"/>
          <w:color w:val="auto"/>
        </w:rPr>
      </w:pPr>
      <w:r>
        <w:rPr>
          <w:rFonts w:ascii="Arial" w:cs="Arial" w:eastAsia="Arial" w:hAnsi="Arial"/>
          <w:sz w:val="18"/>
          <w:szCs w:val="18"/>
          <w:b w:val="1"/>
          <w:bCs w:val="1"/>
          <w:color w:val="auto"/>
        </w:rPr>
        <w:t xml:space="preserve">RISKS RELATED TO OUR FINANCIAL CONDITION AND RESULTS OF OPERATIONS </w:t>
      </w:r>
      <w:r>
        <w:rPr>
          <w:rFonts w:ascii="Arial" w:cs="Arial" w:eastAsia="Arial" w:hAnsi="Arial"/>
          <w:sz w:val="18"/>
          <w:szCs w:val="18"/>
          <w:b w:val="1"/>
          <w:bCs w:val="1"/>
          <w:i w:val="1"/>
          <w:iCs w:val="1"/>
          <w:color w:val="auto"/>
        </w:rPr>
        <w:t>Our operating results are likely to fluctuate from period to period.</w:t>
      </w:r>
    </w:p>
    <w:p>
      <w:pPr>
        <w:jc w:val="both"/>
        <w:ind w:firstLine="486"/>
        <w:spacing w:after="0" w:line="259" w:lineRule="auto"/>
        <w:rPr>
          <w:sz w:val="20"/>
          <w:szCs w:val="20"/>
          <w:color w:val="auto"/>
        </w:rPr>
      </w:pPr>
      <w:r>
        <w:rPr>
          <w:rFonts w:ascii="Arial" w:cs="Arial" w:eastAsia="Arial" w:hAnsi="Arial"/>
          <w:sz w:val="18"/>
          <w:szCs w:val="18"/>
          <w:color w:val="auto"/>
        </w:rPr>
        <w:t>We are a company actively seeking to deliver significant growth. As we execute our business strategy of adding new products, increasing market share in our existing growth products and striving to maintain market share in our other products, we anticipate that there may be fluctuations in our future operating results. We may not be able to maintain or improve our current levels of revenue or income. Potential causes of future fluctuations in our operating results may include:</w:t>
      </w:r>
    </w:p>
    <w:p>
      <w:pPr>
        <w:spacing w:after="0" w:line="119"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 product launches, which could increase revenues but also increase sales and marketing expenses;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Acquisition activity and other charges;</w:t>
      </w:r>
    </w:p>
    <w:p>
      <w:pPr>
        <w:spacing w:after="0" w:line="15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research and development expenses resulting from the acquisition of a product candidate that requires significant additional studies and development;</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Ability to utilize unrecognized federal and state net operating loss carryforwards as a result of the exercise of nonqualified options</w:t>
      </w:r>
    </w:p>
    <w:p>
      <w:pPr>
        <w:spacing w:after="0" w:line="155" w:lineRule="exact"/>
        <w:rPr>
          <w:rFonts w:ascii="Arial" w:cs="Arial" w:eastAsia="Arial" w:hAnsi="Arial"/>
          <w:sz w:val="17"/>
          <w:szCs w:val="17"/>
          <w:color w:val="auto"/>
        </w:rPr>
      </w:pPr>
    </w:p>
    <w:p>
      <w:pPr>
        <w:ind w:left="980" w:hanging="324"/>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competitive, regulatory or reimbursement environment, which could drive down revenues or drive up sales and marketing or compliance costs;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30"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Unexpected product liability or intellectual property claims and lawsuits.</w:t>
      </w:r>
    </w:p>
    <w:p>
      <w:pPr>
        <w:spacing w:after="0" w:line="144"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See also “Management’s discussion and analysis of financial condition and results of operations—Liquidity and capital resources.” Fluctuation in operating results, particularly if not anticipated by investors and other members of the financial community, could add to volatility in our stock price.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focus on acquisitions as a growth strategy has created intangible assets whose amortization could negatively affect our results of operations.</w:t>
      </w:r>
    </w:p>
    <w:p>
      <w:pPr>
        <w:spacing w:after="0" w:line="18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total assets include intangible assets related to our acquisitions. As of December 31, 2022, intangible assets relating to products, which are being amortized, represented approximately 33% of our total assets. We may never realize the value of these assets. U.S. Generally Accepted Accounting Principles ("GAAP") require that we evaluate on a regular basis whether events and circumstances have occurred that indicate that all or a portion of the carrying amount of the asset may no longer be recoverable, in which case we would write down the value of the asset and take a corresponding charge to earnings. Any determination requiring the write-off of a significant portion of unamortized intangible assets would adversely affect our results of operations.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additional funding and may be unable to raise capital when needed, which could force us to delay, reduce or eliminate our product development or commercialization and marketing efforts.</w:t>
      </w:r>
    </w:p>
    <w:p>
      <w:pPr>
        <w:spacing w:after="0" w:line="103"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may need to raise additional funds in order to meet the capital requirements of running our business and acquiring and developing new pharmaceutical products. If we require additional funding, we may seek to sell common stock or other equity or equity-linked securities, which could result in dilution to our shareholders. We may also seek to raise capital through a debt financing, which would result in ongoing debt-service payments and increased interest expense. Furthermore, the terms of any additional debt securities we may issue in the future may impose restrictions on our operations, which may include limiting our ability to incur additional indebtedness, pay dividends on or repurchase our common shares, or make certain acquisitions or investments. In addition, we may be subject to covenants requiring us to satisfy certain financial tests and ratios, and our ability to satisfy such covenants</w:t>
      </w:r>
    </w:p>
    <w:p>
      <w:pPr>
        <w:spacing w:after="0" w:line="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may be affected by events outside of our control. Any financings would also likely involve operational and financial restrictions being imposed on us. If we are unable to obtain any needed additional funding, we may be required to reduce the scope of, delay, or eliminate some or all of, our planned research, development and commercialization activities or to license to third parties the rights to develop and/or commercialize products or technologies that we would otherwise seek to develop and/or commercialize ourselves or on terms that are less attractive than they might otherwise be, any of which could materially harm our business.</w:t>
      </w:r>
    </w:p>
    <w:p>
      <w:pPr>
        <w:spacing w:after="0" w:line="12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might also seek to sell assets or rights in one or more commercial products or product development programs. Additional capital might not be available to us when we need it. We are unable to predict the impact of global credit market trends, and if economic conditions deteriorate, our business, results of operations and ability to raise needed capital could be materially and adversely affected. If we are unable to raise additional capital when needed due to the reasons listed above and lack of creditworthiness, bank failures, or price decline in market investments, we could be forced to scale back our operations to conserve cash.</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losses in the future and we may not achieve or maintain profitability.</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intend to continue to spend significant amounts on our efforts to discover and develop drugs. As a result, we may incur losses in future periods.</w:t>
      </w:r>
    </w:p>
    <w:p>
      <w:pPr>
        <w:spacing w:after="0" w:line="18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anticipate that our drug discovery and development efforts and related expenditures will increase as we focus on the studies, including clinical trials prior to seeking regulatory approval, that are required before we can sell a drug product.</w:t>
      </w:r>
    </w:p>
    <w:p>
      <w:pPr>
        <w:spacing w:after="0" w:line="8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development of drug products will require us to spend significant funds on research, development, testing, obtaining regulatory approvals, manufacturing and marketing.</w:t>
      </w:r>
    </w:p>
    <w:p>
      <w:pPr>
        <w:spacing w:after="0" w:line="10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cannot be certain whether or when we will achieve profitability because of the significant uncertainties relating to our ability to generate commercially successful drug products. Even if we are successful in obtaining regulatory approvals for manufacturing and commercializing additional drug products, we may incur losses if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drug products do not generate significant revenues. If we achieve profitability, we may not be able to sustain or increase profitability.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officers, directors, and principal shareholders, acting as a group, could significantly influence corporate actions.</w:t>
      </w:r>
    </w:p>
    <w:p>
      <w:pPr>
        <w:spacing w:after="0" w:line="15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As of December 31, 2022, our officers and directors control approximately 41.81 percent of our common stock. Acting together, these shareholders could significantly influence any matter requiring approval by our shareholders, including the election of directors and the approval of mergers or other business combinations. The interests of this group may not always coincide with our interests or the interests of other shareholders and may prevent or delay a change in control. This significant concentration of share ownership may adversely affect the trading price of our common stock because many investors perceive disadvantages to owning stock in companies with controlling shareholders.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analysts may not continue to provide or initiate coverage of our common stock or may issue negative reports.</w:t>
      </w:r>
    </w:p>
    <w:p>
      <w:pPr>
        <w:spacing w:after="0" w:line="14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market for our common stock may be affected by the reports financial analysts publish about us. If one of the analysts covering us downgrades our stock, its price could decline rapidly and significantly. Securities analysts covering our common stock may discontinue coverage. A lack of research coverage may adversely affect our stock’s market price.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substantially.</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price for the shares of our common stock sold in our initial public offering was determined by negotiation between the representatives of the underwriters and us. This price may not have reflected the market price of our common stock following our initial public offering. Moreover, the market price of our common stock might decline below current levels. In addition, the market price of our common stock is likely to be highly volatile and may fluctuate substantially. Sales of a substantial number of shares of our common stock in the public market or the perception that these sales may occur could cause the market price of our common stock to decline.</w:t>
      </w:r>
    </w:p>
    <w:p>
      <w:pPr>
        <w:spacing w:after="0" w:line="12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realization of any of the risks described in these “Risk Factors” could have a dramatic and material adverse impact on the market price of our common stock. In addition, securities class action litigation has often been instituted against companies whose securities have experienced periods of volatility in market price. Any such securities litigation brought against us could result in substantial costs and a diversion of management’s attention and resources, which could negatively impact our business, operating results and financial condition.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Unstable market conditions may have serious adverse consequences on our business.</w:t>
      </w:r>
    </w:p>
    <w:p>
      <w:pPr>
        <w:spacing w:after="0" w:line="14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general business strategy may be adversely affected by unpredictable and unstable market conditions. While we believe we have adequate capital resources to meet current working capital and capital expenditure requirements, a radical economic downturn or increase in our expenses could require additional financing on less than attractive rates or on terms that are dilutive to existing shareholders. Failure to secure any necessary financing in a timely manner and on favorable terms could have a material adverse effect on our growth strategy, financial performance and stock price and could require us to delay or abandon clinical developments plans. There is a risk that one or more of our current service providers, manufacturers and other partners may encounter difficult economic circumstances, which would directly affect our ability to attain our operating goals on schedule and on budget. The equity and lending markets have been and will most likely continue to be negatively impacted for an unknown period of time due to global events such as the COVID-19 pandemic, increased inflation and the U.S. government’s response thereto.</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maintain our listing on the NASDAQ Global Select Market (“NASDAQ”), which could have a material adverse effect on us and our stockholders.</w:t>
      </w:r>
    </w:p>
    <w:p>
      <w:pPr>
        <w:spacing w:after="0" w:line="10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standards for continued listing on NASDAQ include, among other things, that the minimum bid price for the listed securities not fall below $1.00 for a period in excess of thirty consecutive business days. If the closing bid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price of our common stock were to fail to meet NASDAQ’s minimum closing bid price requirement, or if we otherwise fail to meet any other applicable requirements of NASDAQ and we are unable to regain compliance, NASDAQ may make a determination to delist our common stock. The delisting of our common stock from NASDAQ could negatively impact us by (i) reducing the liquidity and market price of our common stock; (ii) reducing the number of investors willing to hold or acquire our common stock, which could negatively impact our ability to raise equity financing; (iii) impacting our ability to use a registration statement to offer and sell freely tradable securities, thereby preventing or limiting us from accessing the public capital markets; and (iv) impairing our ability to provide equity incentives to our employees.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Some provisions of our third amended and restated charter, bylaws and Tennessee law may inhibit potential acquisition bids that you may consider favorable.</w:t>
      </w:r>
    </w:p>
    <w:p>
      <w:pPr>
        <w:spacing w:after="0" w:line="10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corporate documents contain provisions that may enable our board of directors to resist a change in control of our company even if a change in control were to be considered favorable by you and other shareholders. These provisions include:</w:t>
      </w:r>
    </w:p>
    <w:p>
      <w:pPr>
        <w:spacing w:after="0" w:line="103" w:lineRule="exact"/>
        <w:rPr>
          <w:sz w:val="20"/>
          <w:szCs w:val="20"/>
          <w:color w:val="auto"/>
        </w:rPr>
      </w:pPr>
    </w:p>
    <w:p>
      <w:pPr>
        <w:ind w:left="980" w:right="20" w:hanging="324"/>
        <w:spacing w:after="0" w:line="27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authorization of undesignated preferred stock, the terms of which may be established and shares of which may be issued without shareholder approval;</w:t>
      </w:r>
    </w:p>
    <w:p>
      <w:pPr>
        <w:spacing w:after="0" w:line="89"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Advance notice procedures required for shareholders to nominate candidates for election as directors or to bring matters before an annual meeting of shareholders;</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on persons authorized to call a special meeting of shareholders;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staggered board of directors;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restriction prohibiting shareholders from removing directors without cause;</w:t>
      </w:r>
    </w:p>
    <w:p>
      <w:pPr>
        <w:spacing w:after="0" w:line="15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requirement that vacancies in directorships are to be filled by a majority of the directors then in office and the number of directors is to be fixed by the board of directors; and</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cumulative voting.</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These and other provisions contained in our third amended and restated charter and bylaws could delay or discourage transactions involving an actual or potential change in control of us or our management, including transactions in which our shareholders might otherwise receive a premium for their shares over then current prices, and may limit the ability of shareholders to remove our current management or approve transactions that our shareholders may deem to be in their best interests and, therefore, could adversely affect the price of our common stock.</w:t>
      </w:r>
    </w:p>
    <w:p>
      <w:pPr>
        <w:spacing w:after="0" w:line="10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we are subject to control share acquisitions provisions and affiliated transaction provisions of the Tennessee Business Corporation Act, the applications of which may have the effect of delaying or preventing a merger, takeover or other change in control of us and therefore could discourage attempts to acquire our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cash dividends on our capital stock.</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have never paid cash dividends on our capital stock. The availability of funds for distributions to shareholders will depend on our financial performance and assets. Any future decision to declare or pay dividends will be at the sole discretion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DEBT-RELATED RISKS</w:t>
      </w:r>
    </w:p>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Revolving Credit Agreement impose restrictive and financial covenants on us. Our failure to comply with these covenants could trigger events that would have a material adverse effect on our business.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Revolving Credit Agreement contains covenants that restrict the way we conduct business and require us to satisfy certain financial tests in order to incur debt or take other actions. Additionally, our Revolving Credit Agreement contains financial covenants that, for example, require us to maintain certain financial ratios which are measured at the end of each fiscal quarter.</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Revolving Credit Agreement contains specified quarterly financial maintenance covenants. As of December 31, 2022, we were in compliance with the Maximum Funded Debt Ratio financial covenant of the Revolving Credit Agreement. However, we can make no assurance that we will be able to comply with the restrictive and financial covenants contained in the Revolving Credit Agreement in the future.</w:t>
      </w:r>
    </w:p>
    <w:p>
      <w:pPr>
        <w:spacing w:after="0" w:line="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inability to comply with the covenants in our debt instruments could lead to a default or an event of default under the terms thereof, for which we may need to seek relief from our lender in order to waive the associated default or event of default and avoid a potential acceleration of the related indebtedness or cross-default or cross-acceleration to other debt. There can be no assurance that we would be able to obtain such relief on commercially reasonable terms or otherwise and we may be required to incur significant additional costs. In addition, the lender under our Revolving Credit Agreement may impose additional operating and financial restrictions on us as a condition to granting any such waiver. If an event of default is not cured or is not otherwise waived, the lender under our Revolving Credit Agreement may accelerate the maturity of the related debt, foreclose upon any collateral securing the debt and terminate any commitments to lend, any of which would have a material adverse effect on our business, financial condition, cash flows and results of operations and would cause the market value of our securities to decline.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risks related to interest rates.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revolving credit facility bears interest based on variable interest. Thus, a change in the short-term interest rate environment (especially a material change) could have a material adverse effect on our business, financial condition, cash flows and results of operations. As of December 31, 2022, we did not have any outstanding interest rate swap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9" w:name="page60"/>
    <w:bookmarkEnd w:id="59"/>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2022, we leased approximately 16,903 rentable square feet of space at the new Broadwest development in Nashville, Tennessee for our corporate headquarters. The lease commencement date occurred in October 2022 with a term of 157 months leased through November 2035. We believe these facilities are adequate to meet our current needs for office space. Manufacturing, packaging or warehousing services are provided to us through contracts with third-party organizations.</w:t>
      </w:r>
    </w:p>
    <w:p>
      <w:pPr>
        <w:spacing w:after="0" w:line="10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laboratory space at CET, under an agreement amended in July 2012, is leased through April 2023, with an option to extend the lease through April 2028. CET leases approximately 14,200 square feet of office and wet laboratory space in Nashville, Tennessee to operate the CET Life Sciences Center. Cumberland's product formulation and testing laboratories are located at this facility, along with CET's offices. The CET Life Sciences Center also provides laboratory and office space, equipment and infrastructure to early-stage life sciences companies and university spin-outs.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Please see discussion of </w:t>
      </w:r>
      <w:r>
        <w:rPr>
          <w:rFonts w:ascii="Arial" w:cs="Arial" w:eastAsia="Arial" w:hAnsi="Arial"/>
          <w:sz w:val="18"/>
          <w:szCs w:val="18"/>
          <w:i w:val="1"/>
          <w:iCs w:val="1"/>
          <w:color w:val="auto"/>
        </w:rPr>
        <w:t>Melinta Litigation</w:t>
      </w:r>
      <w:r>
        <w:rPr>
          <w:rFonts w:ascii="Arial" w:cs="Arial" w:eastAsia="Arial" w:hAnsi="Arial"/>
          <w:sz w:val="18"/>
          <w:szCs w:val="18"/>
          <w:color w:val="auto"/>
        </w:rPr>
        <w:t xml:space="preserve"> in Note 20 Commitments and Contingencies contained in the Notes to Consolidated Financial Statements, which is incorporated herein by reference.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ind w:right="1920"/>
        <w:spacing w:after="0" w:line="424" w:lineRule="auto"/>
        <w:rPr>
          <w:sz w:val="20"/>
          <w:szCs w:val="20"/>
          <w:color w:val="auto"/>
        </w:rPr>
      </w:pPr>
      <w:r>
        <w:rPr>
          <w:rFonts w:ascii="Arial" w:cs="Arial" w:eastAsia="Arial" w:hAnsi="Arial"/>
          <w:sz w:val="18"/>
          <w:szCs w:val="18"/>
          <w:b w:val="1"/>
          <w:bCs w:val="1"/>
          <w:u w:val="single" w:color="auto"/>
          <w:color w:val="auto"/>
        </w:rPr>
        <w:t xml:space="preserve">Item 5. Market for Registrant’s Common Equity, Related Stockholder Matters and Issuer Purchases of Equity Securities. </w:t>
      </w:r>
      <w:r>
        <w:rPr>
          <w:rFonts w:ascii="Arial" w:cs="Arial" w:eastAsia="Arial" w:hAnsi="Arial"/>
          <w:sz w:val="18"/>
          <w:szCs w:val="18"/>
          <w:b w:val="1"/>
          <w:bCs w:val="1"/>
          <w:color w:val="auto"/>
        </w:rPr>
        <w:t>Market Information</w:t>
      </w:r>
    </w:p>
    <w:p>
      <w:pPr>
        <w:spacing w:after="0" w:line="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common stock, no par value, has been traded on the Nasdaq Global Select Market since August 11, 2009 under the symbol “CPIX.” As of March 7, 2023, we had 89 shareholders of record of our common stock. This excludes shareholders whose shares are held by brokers and other institutions on behalf of shareholders. The closing price of our common stock on the Nasdaq Global Select Market on March 7, 2023 was $2.31 per share.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declared or paid any cash dividends on our common stock. Any future decision to declare or pay dividends will be at the sole discretion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Performance Graph</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stock performance graph below illustrates a comparison of the total cumulative stockholder return on our common stock since December 31, 2017 to the Nasdaq Composite and a composite of eleven Nasdaq Pharmaceutical and Specialty Pharmaceutical Stocks which most closely compare to our Company - Avadel Pharmaceuticals plc, Harrow Health, Inc., Eagle Pharmaceuticals, Inc., Assertio Holdings, Inc., HLS Therapeutics, EyePoint Pharmaceuticals, Inc., Eton Pharmaceuticals, Inc., Theratechnologies Inc., Impel Pharmaceuticals Inc., Acorda Therapeutics Inc. and AcelRX Pharmaceuticals, Inc. The graph assumes an initial investment of $100 on December 31, 2017,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69215</wp:posOffset>
            </wp:positionV>
            <wp:extent cx="5572125" cy="32575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721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currently has a share repurchase program to repurchase up to $10.0 million of our common stock pursuant to Rule 10b-18 of the Securities Exchange Act of 1934, as amended. In January 2019, the Company's Board of Directors established the current $10.0 million repurchase program to replace the prior authorizations. We repurchased 367,793 shares and 438,359 shares of common stock for approximately $1.0 million and $1.4 million, and during the years ended December 31, 2022 and 2021, respectively. The following table summarizes the activity, by month, during the fourth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1" w:name="page62"/>
    <w:bookmarkEnd w:id="61"/>
    <w:p>
      <w:pPr>
        <w:spacing w:after="0" w:line="146"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Total Number of</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39"/>
        </w:trPr>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460" w:type="dxa"/>
            <w:vAlign w:val="bottom"/>
          </w:tcPr>
          <w:p>
            <w:pPr>
              <w:spacing w:after="0"/>
              <w:rPr>
                <w:sz w:val="12"/>
                <w:szCs w:val="12"/>
                <w:color w:val="auto"/>
              </w:rPr>
            </w:pP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230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2"/>
              </w:rPr>
              <w:t>Shares (or Units)</w:t>
            </w:r>
          </w:p>
        </w:tc>
        <w:tc>
          <w:tcPr>
            <w:tcW w:w="23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4"/>
        </w:trPr>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30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87"/>
              </w:rPr>
              <w:t>Purchased as</w:t>
            </w:r>
          </w:p>
        </w:tc>
        <w:tc>
          <w:tcPr>
            <w:tcW w:w="23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Value) of Shares (or</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Shares (or</w:t>
            </w:r>
          </w:p>
        </w:tc>
        <w:tc>
          <w:tcPr>
            <w:tcW w:w="460" w:type="dxa"/>
            <w:vAlign w:val="bottom"/>
          </w:tcPr>
          <w:p>
            <w:pPr>
              <w:spacing w:after="0"/>
              <w:rPr>
                <w:sz w:val="12"/>
                <w:szCs w:val="12"/>
                <w:color w:val="auto"/>
              </w:rPr>
            </w:pPr>
          </w:p>
        </w:tc>
        <w:tc>
          <w:tcPr>
            <w:tcW w:w="1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Price Paid</w:t>
            </w:r>
          </w:p>
        </w:tc>
        <w:tc>
          <w:tcPr>
            <w:tcW w:w="2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that May Yet Be</w:t>
            </w:r>
          </w:p>
        </w:tc>
        <w:tc>
          <w:tcPr>
            <w:tcW w:w="0" w:type="dxa"/>
            <w:vAlign w:val="bottom"/>
          </w:tcPr>
          <w:p>
            <w:pPr>
              <w:spacing w:after="0"/>
              <w:rPr>
                <w:sz w:val="1"/>
                <w:szCs w:val="1"/>
                <w:color w:val="auto"/>
              </w:rPr>
            </w:pPr>
          </w:p>
        </w:tc>
      </w:tr>
      <w:tr>
        <w:trPr>
          <w:trHeight w:val="139"/>
        </w:trPr>
        <w:tc>
          <w:tcPr>
            <w:tcW w:w="27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Period</w:t>
            </w:r>
          </w:p>
        </w:tc>
        <w:tc>
          <w:tcPr>
            <w:tcW w:w="14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0"/>
              </w:rPr>
              <w:t>Units)</w:t>
            </w:r>
          </w:p>
        </w:tc>
        <w:tc>
          <w:tcPr>
            <w:tcW w:w="460" w:type="dxa"/>
            <w:vAlign w:val="bottom"/>
          </w:tcPr>
          <w:p>
            <w:pPr>
              <w:spacing w:after="0"/>
              <w:rPr>
                <w:sz w:val="12"/>
                <w:szCs w:val="12"/>
                <w:color w:val="auto"/>
              </w:rPr>
            </w:pPr>
          </w:p>
        </w:tc>
        <w:tc>
          <w:tcPr>
            <w:tcW w:w="156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5"/>
              </w:rPr>
              <w:t>per Share</w:t>
            </w:r>
          </w:p>
        </w:tc>
        <w:tc>
          <w:tcPr>
            <w:tcW w:w="230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1"/>
              </w:rPr>
              <w:t>Announced Plans or</w:t>
            </w:r>
          </w:p>
        </w:tc>
        <w:tc>
          <w:tcPr>
            <w:tcW w:w="23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86"/>
        </w:trPr>
        <w:tc>
          <w:tcPr>
            <w:tcW w:w="2720" w:type="dxa"/>
            <w:vAlign w:val="bottom"/>
            <w:gridSpan w:val="2"/>
            <w:vMerge w:val="continue"/>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460" w:type="dxa"/>
            <w:vAlign w:val="bottom"/>
          </w:tcPr>
          <w:p>
            <w:pPr>
              <w:spacing w:after="0"/>
              <w:rPr>
                <w:sz w:val="16"/>
                <w:szCs w:val="16"/>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(or Unit)</w:t>
            </w: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Programs</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0" w:type="dxa"/>
            <w:vAlign w:val="bottom"/>
          </w:tcPr>
          <w:p>
            <w:pPr>
              <w:spacing w:after="0"/>
              <w:rPr>
                <w:sz w:val="1"/>
                <w:szCs w:val="1"/>
                <w:color w:val="auto"/>
              </w:rPr>
            </w:pPr>
          </w:p>
        </w:tc>
      </w:tr>
      <w:tr>
        <w:trPr>
          <w:trHeight w:val="26"/>
        </w:trPr>
        <w:tc>
          <w:tcPr>
            <w:tcW w:w="2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21,887</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$2.52</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21,887</w:t>
            </w:r>
          </w:p>
        </w:tc>
        <w:tc>
          <w:tcPr>
            <w:tcW w:w="140" w:type="dxa"/>
            <w:vAlign w:val="bottom"/>
            <w:shd w:val="clear" w:color="auto" w:fill="CCEEFF"/>
          </w:tcPr>
          <w:p>
            <w:pPr>
              <w:spacing w:after="0"/>
              <w:rPr>
                <w:sz w:val="19"/>
                <w:szCs w:val="19"/>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$3,882,881</w:t>
            </w:r>
          </w:p>
        </w:tc>
        <w:tc>
          <w:tcPr>
            <w:tcW w:w="0" w:type="dxa"/>
            <w:vAlign w:val="bottom"/>
          </w:tcPr>
          <w:p>
            <w:pPr>
              <w:spacing w:after="0"/>
              <w:rPr>
                <w:sz w:val="1"/>
                <w:szCs w:val="1"/>
                <w:color w:val="auto"/>
              </w:rPr>
            </w:pPr>
          </w:p>
        </w:tc>
      </w:tr>
      <w:tr>
        <w:trPr>
          <w:trHeight w:val="229"/>
        </w:trPr>
        <w:tc>
          <w:tcPr>
            <w:tcW w:w="2720" w:type="dxa"/>
            <w:vAlign w:val="bottom"/>
            <w:gridSpan w:val="2"/>
          </w:tcPr>
          <w:p>
            <w:pPr>
              <w:spacing w:after="0"/>
              <w:rPr>
                <w:sz w:val="20"/>
                <w:szCs w:val="20"/>
                <w:color w:val="auto"/>
              </w:rPr>
            </w:pPr>
            <w:r>
              <w:rPr>
                <w:rFonts w:ascii="Arial" w:cs="Arial" w:eastAsia="Arial" w:hAnsi="Arial"/>
                <w:sz w:val="18"/>
                <w:szCs w:val="18"/>
                <w:color w:val="auto"/>
              </w:rPr>
              <w:t>November</w:t>
            </w:r>
          </w:p>
        </w:tc>
        <w:tc>
          <w:tcPr>
            <w:tcW w:w="1420" w:type="dxa"/>
            <w:vAlign w:val="bottom"/>
          </w:tcPr>
          <w:p>
            <w:pPr>
              <w:jc w:val="right"/>
              <w:spacing w:after="0"/>
              <w:rPr>
                <w:sz w:val="20"/>
                <w:szCs w:val="20"/>
                <w:color w:val="auto"/>
              </w:rPr>
            </w:pPr>
            <w:r>
              <w:rPr>
                <w:rFonts w:ascii="Arial" w:cs="Arial" w:eastAsia="Arial" w:hAnsi="Arial"/>
                <w:sz w:val="18"/>
                <w:szCs w:val="18"/>
                <w:color w:val="auto"/>
              </w:rPr>
              <w:t>36,240</w:t>
            </w:r>
          </w:p>
        </w:tc>
        <w:tc>
          <w:tcPr>
            <w:tcW w:w="460" w:type="dxa"/>
            <w:vAlign w:val="bottom"/>
          </w:tcPr>
          <w:p>
            <w:pPr>
              <w:jc w:val="right"/>
              <w:ind w:right="208"/>
              <w:spacing w:after="0"/>
              <w:rPr>
                <w:sz w:val="20"/>
                <w:szCs w:val="20"/>
                <w:color w:val="auto"/>
              </w:rPr>
            </w:pPr>
            <w:r>
              <w:rPr>
                <w:rFonts w:ascii="Arial" w:cs="Arial" w:eastAsia="Arial" w:hAnsi="Arial"/>
                <w:sz w:val="14"/>
                <w:szCs w:val="14"/>
                <w:color w:val="auto"/>
                <w:w w:val="93"/>
              </w:rPr>
              <w:t>(1)</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$2.05</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36,240</w:t>
            </w:r>
          </w:p>
        </w:tc>
        <w:tc>
          <w:tcPr>
            <w:tcW w:w="14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8"/>
              </w:rPr>
              <w:t>$3,808,415</w:t>
            </w: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19,094</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$2.86</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19,094</w:t>
            </w:r>
          </w:p>
        </w:tc>
        <w:tc>
          <w:tcPr>
            <w:tcW w:w="140" w:type="dxa"/>
            <w:vAlign w:val="bottom"/>
            <w:shd w:val="clear" w:color="auto" w:fill="CCEEFF"/>
          </w:tcPr>
          <w:p>
            <w:pPr>
              <w:spacing w:after="0"/>
              <w:rPr>
                <w:sz w:val="19"/>
                <w:szCs w:val="19"/>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$3,753,797</w:t>
            </w:r>
          </w:p>
        </w:tc>
        <w:tc>
          <w:tcPr>
            <w:tcW w:w="0" w:type="dxa"/>
            <w:vAlign w:val="bottom"/>
          </w:tcPr>
          <w:p>
            <w:pPr>
              <w:spacing w:after="0"/>
              <w:rPr>
                <w:sz w:val="1"/>
                <w:szCs w:val="1"/>
                <w:color w:val="auto"/>
              </w:rPr>
            </w:pPr>
          </w:p>
        </w:tc>
      </w:tr>
      <w:tr>
        <w:trPr>
          <w:trHeight w:val="223"/>
        </w:trPr>
        <w:tc>
          <w:tcPr>
            <w:tcW w:w="27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77,221</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Of this amount, 4,925 shares were repurchased directly in private purchases at the then-current fair market value of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Reserved.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1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The following discussion and analysis of our financial position and results of operations should be read together with our audited consolidated financial statements and related notes appearing elsewhere in this Form 10-K. This discussion and analysis may contain forward-looking statements that involve risks and uncertainties – please refer to the section entitled, “Special Note Regarding Forward-Looking Statements,” contained in Part I, Item 1A, “Risk Factors,” of this Form 10-K. You should review the “Risk Factors” section of this Form 10-K for a discussion of important factors that could cause actual results to differ materially from the results described in or implied by the forward-looking statements described in the following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a specialty pharmaceutical company focused on the acquisition, development and commercialization of branded prescription pharmaceutical products. We are dedicated to providing innovative products that improve the quality of care for patients and address poorly met medical needs.</w:t>
      </w:r>
    </w:p>
    <w:p>
      <w:pPr>
        <w:spacing w:after="0" w:line="79" w:lineRule="exact"/>
        <w:rPr>
          <w:sz w:val="20"/>
          <w:szCs w:val="20"/>
          <w:color w:val="auto"/>
        </w:rPr>
      </w:pPr>
    </w:p>
    <w:p>
      <w:pPr>
        <w:jc w:val="both"/>
        <w:ind w:firstLine="467"/>
        <w:spacing w:after="0" w:line="301" w:lineRule="auto"/>
        <w:rPr>
          <w:sz w:val="20"/>
          <w:szCs w:val="20"/>
          <w:color w:val="auto"/>
        </w:rPr>
      </w:pPr>
      <w:r>
        <w:rPr>
          <w:rFonts w:ascii="Arial" w:cs="Arial" w:eastAsia="Arial" w:hAnsi="Arial"/>
          <w:sz w:val="16"/>
          <w:szCs w:val="16"/>
          <w:color w:val="auto"/>
        </w:rPr>
        <w:t xml:space="preserve">Our commercial portfolio includes eight branded products approved for marketing by the U.S. Food and Drug Administration (“FDA”). In addition to these commercial brands, we have Phase II clinical programs underway evaluating our ifetroban product candidate for patients with 1) cardiomyopathy associated with </w:t>
      </w:r>
      <w:r>
        <w:rPr>
          <w:rFonts w:ascii="Arial" w:cs="Arial" w:eastAsia="Arial" w:hAnsi="Arial"/>
          <w:sz w:val="16"/>
          <w:szCs w:val="16"/>
          <w:i w:val="1"/>
          <w:iCs w:val="1"/>
          <w:color w:val="auto"/>
        </w:rPr>
        <w:t>Duchenne Muscular Dystrophy</w:t>
      </w:r>
      <w:r>
        <w:rPr>
          <w:rFonts w:ascii="Arial" w:cs="Arial" w:eastAsia="Arial" w:hAnsi="Arial"/>
          <w:sz w:val="16"/>
          <w:szCs w:val="16"/>
          <w:color w:val="auto"/>
        </w:rPr>
        <w:t xml:space="preserve">, a fatal, genetic neuromuscular disease, 2) </w:t>
      </w:r>
      <w:r>
        <w:rPr>
          <w:rFonts w:ascii="Arial" w:cs="Arial" w:eastAsia="Arial" w:hAnsi="Arial"/>
          <w:sz w:val="16"/>
          <w:szCs w:val="16"/>
          <w:i w:val="1"/>
          <w:iCs w:val="1"/>
          <w:color w:val="auto"/>
        </w:rPr>
        <w:t>Systemic Sclerosis</w:t>
      </w:r>
      <w:r>
        <w:rPr>
          <w:rFonts w:ascii="Arial" w:cs="Arial" w:eastAsia="Arial" w:hAnsi="Arial"/>
          <w:sz w:val="16"/>
          <w:szCs w:val="16"/>
          <w:color w:val="auto"/>
        </w:rPr>
        <w:t xml:space="preserve"> or scleroderma, a debilitating autoimmune disorder characterized by fibrosis of the skin and internal organs and 3) </w:t>
      </w:r>
      <w:r>
        <w:rPr>
          <w:rFonts w:ascii="Arial" w:cs="Arial" w:eastAsia="Arial" w:hAnsi="Arial"/>
          <w:sz w:val="16"/>
          <w:szCs w:val="16"/>
          <w:i w:val="1"/>
          <w:iCs w:val="1"/>
          <w:color w:val="auto"/>
        </w:rPr>
        <w:t>Aspirin-Exacerbated Respiratory Disease</w:t>
      </w:r>
      <w:r>
        <w:rPr>
          <w:rFonts w:ascii="Arial" w:cs="Arial" w:eastAsia="Arial" w:hAnsi="Arial"/>
          <w:sz w:val="16"/>
          <w:szCs w:val="16"/>
          <w:color w:val="auto"/>
        </w:rPr>
        <w:t>, a severe form of asthma.</w:t>
      </w:r>
    </w:p>
    <w:p>
      <w:pPr>
        <w:spacing w:after="0" w:line="90" w:lineRule="exact"/>
        <w:rPr>
          <w:sz w:val="20"/>
          <w:szCs w:val="20"/>
          <w:color w:val="auto"/>
        </w:rPr>
      </w:pPr>
    </w:p>
    <w:p>
      <w:pPr>
        <w:jc w:val="both"/>
        <w:ind w:firstLine="467"/>
        <w:spacing w:after="0" w:line="259" w:lineRule="auto"/>
        <w:rPr>
          <w:sz w:val="20"/>
          <w:szCs w:val="20"/>
          <w:color w:val="auto"/>
        </w:rPr>
      </w:pPr>
      <w:r>
        <w:rPr>
          <w:rFonts w:ascii="Arial" w:cs="Arial" w:eastAsia="Arial" w:hAnsi="Arial"/>
          <w:sz w:val="18"/>
          <w:szCs w:val="18"/>
          <w:color w:val="auto"/>
        </w:rPr>
        <w:t>Our primary target markets are hospital acute care, gastroenterology and oncology. These medical specialties are characterized by relatively concentrated prescriber bases that we believe can be served effectively by small, targeted sales forces. We promote our approved products through our hospital, field, and oncology sales divisions in the United States and are building a network of international partners to register and provide our medicines to patients in their countries.</w:t>
      </w:r>
    </w:p>
    <w:p>
      <w:pPr>
        <w:spacing w:after="0" w:line="106" w:lineRule="exact"/>
        <w:rPr>
          <w:sz w:val="20"/>
          <w:szCs w:val="20"/>
          <w:color w:val="auto"/>
        </w:rPr>
      </w:pPr>
    </w:p>
    <w:p>
      <w:pPr>
        <w:jc w:val="both"/>
        <w:ind w:firstLine="467"/>
        <w:spacing w:after="0" w:line="277" w:lineRule="auto"/>
        <w:rPr>
          <w:sz w:val="20"/>
          <w:szCs w:val="20"/>
          <w:color w:val="auto"/>
        </w:rPr>
      </w:pPr>
      <w:r>
        <w:rPr>
          <w:rFonts w:ascii="Arial" w:cs="Arial" w:eastAsia="Arial" w:hAnsi="Arial"/>
          <w:sz w:val="18"/>
          <w:szCs w:val="18"/>
          <w:color w:val="auto"/>
        </w:rPr>
        <w:t>We have established the capabilities needed to acquire, develop, and commercialize branded pharmaceuticals in the U.S. We believe we can leverage this existing infrastructure to support new products and our expected growth.</w:t>
      </w:r>
    </w:p>
    <w:p>
      <w:pPr>
        <w:spacing w:after="0" w:line="103" w:lineRule="exact"/>
        <w:rPr>
          <w:sz w:val="20"/>
          <w:szCs w:val="20"/>
          <w:color w:val="auto"/>
        </w:rPr>
      </w:pPr>
    </w:p>
    <w:p>
      <w:pPr>
        <w:jc w:val="both"/>
        <w:ind w:firstLine="467"/>
        <w:spacing w:after="0" w:line="275" w:lineRule="auto"/>
        <w:rPr>
          <w:sz w:val="20"/>
          <w:szCs w:val="20"/>
          <w:color w:val="auto"/>
        </w:rPr>
      </w:pPr>
      <w:r>
        <w:rPr>
          <w:rFonts w:ascii="Arial" w:cs="Arial" w:eastAsia="Arial" w:hAnsi="Arial"/>
          <w:sz w:val="17"/>
          <w:szCs w:val="17"/>
          <w:color w:val="auto"/>
        </w:rPr>
        <w:t>Our management team consists of pharmaceutical industry veterans with significant experience in their areas of responsibility. Our business development team identifies, evaluates, and negotiates product acquisition, licensing and co-promotion agreements. Our product development team creates proprietary formulations, manages our clinical studies, prepares our FDA submissions and staffs our medical call center. Our quality and manufacturing professionals oversee the manufacturing, release and shipment of our products. Our marketing and sales organization is responsible for our commercial activities, and we work closely with our distribution partners to ensure the availability of our brands.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Highlights</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Below is a list of our company’s highlights from 2022. For more information, please see Part I, Item I, </w:t>
      </w:r>
      <w:r>
        <w:rPr>
          <w:rFonts w:ascii="Arial" w:cs="Arial" w:eastAsia="Arial" w:hAnsi="Arial"/>
          <w:sz w:val="18"/>
          <w:szCs w:val="18"/>
          <w:i w:val="1"/>
          <w:iCs w:val="1"/>
          <w:color w:val="auto"/>
        </w:rPr>
        <w:t>Business</w:t>
      </w:r>
      <w:r>
        <w:rPr>
          <w:rFonts w:ascii="Arial" w:cs="Arial" w:eastAsia="Arial" w:hAnsi="Arial"/>
          <w:sz w:val="18"/>
          <w:szCs w:val="18"/>
          <w:color w:val="auto"/>
        </w:rPr>
        <w:t>, of this Form 10-K.</w:t>
      </w:r>
    </w:p>
    <w:p>
      <w:pPr>
        <w:spacing w:after="0" w:line="153" w:lineRule="exact"/>
        <w:rPr>
          <w:sz w:val="20"/>
          <w:szCs w:val="20"/>
          <w:color w:val="auto"/>
        </w:rPr>
      </w:pPr>
    </w:p>
    <w:p>
      <w:pPr>
        <w:ind w:left="660" w:right="20" w:hanging="328"/>
        <w:spacing w:after="0" w:line="22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Acquired the U.S. rights to the FDA-approved oncology-supportive care medicine Sancuso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Kyowa Kirin, Inc., the U.S. affiliate of Japan-based Kyowa Kirin Co., Ltd.</w:t>
      </w:r>
    </w:p>
    <w:p>
      <w:pPr>
        <w:spacing w:after="0" w:line="13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Formed a specialty sales division, Cumberland Oncology, to support Sancuso. To augment those efforts, we also entered into a co-promotion agreement to feature Sancuso through another national oncology sales organization.</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Launched Vibativ</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Puerto Rico, through a partnership with Verity Pharmaceuticals, who has a particular strength and experience in that market.</w:t>
      </w:r>
    </w:p>
    <w:p>
      <w:pPr>
        <w:spacing w:after="0" w:line="13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Announced a new partnership with Saudi Arabia-based Tabuk Pharmaceutical Manufacturing Co., a fully owned subsidiary of the Astra Industrial Group, to introduce Vibativ in the Middle East.</w:t>
      </w:r>
    </w:p>
    <w:p>
      <w:pPr>
        <w:spacing w:after="0" w:line="97" w:lineRule="exact"/>
        <w:rPr>
          <w:rFonts w:ascii="Arial" w:cs="Arial" w:eastAsia="Arial" w:hAnsi="Arial"/>
          <w:sz w:val="18"/>
          <w:szCs w:val="18"/>
          <w:color w:val="auto"/>
        </w:rPr>
      </w:pPr>
    </w:p>
    <w:p>
      <w:pPr>
        <w:ind w:left="660" w:hanging="328"/>
        <w:spacing w:after="0" w:line="22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Signed a new agreement with Laboratorios Pisa, S.A. de C.V. for the exclusive supply and distribution of Caldolor</w:t>
      </w:r>
      <w:r>
        <w:rPr>
          <w:rFonts w:ascii="Arial" w:cs="Arial" w:eastAsia="Arial" w:hAnsi="Arial"/>
          <w:sz w:val="23"/>
          <w:szCs w:val="23"/>
          <w:color w:val="auto"/>
          <w:vertAlign w:val="superscript"/>
        </w:rPr>
        <w:t>®</w:t>
      </w:r>
      <w:r>
        <w:rPr>
          <w:rFonts w:ascii="Arial" w:cs="Arial" w:eastAsia="Arial" w:hAnsi="Arial"/>
          <w:sz w:val="18"/>
          <w:szCs w:val="18"/>
          <w:color w:val="auto"/>
        </w:rPr>
        <w:t>, Cumberland’s ibuprofen injection product, in Mexico.</w:t>
      </w:r>
    </w:p>
    <w:p>
      <w:pPr>
        <w:spacing w:after="0" w:line="121" w:lineRule="exact"/>
        <w:rPr>
          <w:rFonts w:ascii="Arial" w:cs="Arial" w:eastAsia="Arial" w:hAnsi="Arial"/>
          <w:sz w:val="18"/>
          <w:szCs w:val="18"/>
          <w:color w:val="auto"/>
        </w:rPr>
      </w:pPr>
    </w:p>
    <w:p>
      <w:pPr>
        <w:jc w:val="both"/>
        <w:ind w:left="660" w:right="20" w:hanging="328"/>
        <w:spacing w:after="0" w:line="234"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Entered into two amendments to our agreement with Nordic Group B.V. who had provided us with a license for the U.S. rights associated with our RediTrex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line. Pursuant to the amendment, in exchange for financial consideration, Nordic may assume responsibility for distributing the methotrexate products in the U.S. after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30" w:lineRule="exact"/>
        <w:rPr>
          <w:sz w:val="20"/>
          <w:szCs w:val="20"/>
          <w:color w:val="auto"/>
        </w:rPr>
      </w:pPr>
    </w:p>
    <w:p>
      <w:pPr>
        <w:ind w:left="660" w:right="20" w:hanging="328"/>
        <w:spacing w:after="0" w:line="308"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Announced the relocation of our headquarters into new offices located on the Broadwest campus in the Vanderbilt/West End corridor of Nashville, which will allow us to accommodate our expected growth and better serve our international base of customers and partners.</w:t>
      </w:r>
    </w:p>
    <w:p>
      <w:pPr>
        <w:spacing w:after="0" w:line="78" w:lineRule="exact"/>
        <w:rPr>
          <w:rFonts w:ascii="Arial" w:cs="Arial" w:eastAsia="Arial" w:hAnsi="Arial"/>
          <w:sz w:val="17"/>
          <w:szCs w:val="17"/>
          <w:color w:val="auto"/>
        </w:rPr>
      </w:pPr>
    </w:p>
    <w:p>
      <w:pPr>
        <w:jc w:val="both"/>
        <w:ind w:left="660" w:right="600" w:hanging="328"/>
        <w:spacing w:after="0" w:line="257" w:lineRule="auto"/>
        <w:tabs>
          <w:tab w:leader="none" w:pos="621" w:val="left"/>
        </w:tabs>
        <w:numPr>
          <w:ilvl w:val="0"/>
          <w:numId w:val="30"/>
        </w:numPr>
        <w:rPr>
          <w:rFonts w:ascii="Arial" w:cs="Arial" w:eastAsia="Arial" w:hAnsi="Arial"/>
          <w:sz w:val="20"/>
          <w:szCs w:val="20"/>
          <w:color w:val="auto"/>
        </w:rPr>
      </w:pPr>
      <w:r>
        <w:rPr>
          <w:rFonts w:ascii="Arial" w:cs="Arial" w:eastAsia="Arial" w:hAnsi="Arial"/>
          <w:sz w:val="18"/>
          <w:szCs w:val="18"/>
          <w:color w:val="auto"/>
        </w:rPr>
        <w:t>Named Martin S. Brown Jr. to our Board of Directors. Mr. Brown is an attorney with over 30 years of corporate law experience who brings significant legal, public company, health care and civic experience to our board. The Company relies on several law firms for legal advice, including the firm in which Martin is affiliated.</w:t>
      </w:r>
    </w:p>
    <w:p>
      <w:pPr>
        <w:spacing w:after="0" w:line="120" w:lineRule="exact"/>
        <w:rPr>
          <w:rFonts w:ascii="Arial" w:cs="Arial" w:eastAsia="Arial" w:hAnsi="Arial"/>
          <w:sz w:val="20"/>
          <w:szCs w:val="20"/>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Released our third annual Sustainability Report, which details the company’s activities pertaining to our environmental, social and governance matters.</w:t>
      </w:r>
    </w:p>
    <w:p>
      <w:pPr>
        <w:spacing w:after="0" w:line="8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Modified our line of credit with Pinnacle Bank, which provides for a remaining three-year facility for up to $20 million which ends in October 2024.</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Continued our corporate share repurchase initiative, with a group of our board members also purchasing shares through Rule 10b5-1 trading plans in order to add to their holdings in the company.</w:t>
      </w:r>
    </w:p>
    <w:p>
      <w:pPr>
        <w:spacing w:after="0" w:line="99" w:lineRule="exact"/>
        <w:rPr>
          <w:sz w:val="20"/>
          <w:szCs w:val="20"/>
          <w:color w:val="auto"/>
        </w:rPr>
      </w:pPr>
    </w:p>
    <w:p>
      <w:pPr>
        <w:ind w:right="3760"/>
        <w:spacing w:after="0" w:line="417" w:lineRule="auto"/>
        <w:rPr>
          <w:sz w:val="20"/>
          <w:szCs w:val="20"/>
          <w:color w:val="auto"/>
        </w:rPr>
      </w:pPr>
      <w:r>
        <w:rPr>
          <w:rFonts w:ascii="Arial" w:cs="Arial" w:eastAsia="Arial" w:hAnsi="Arial"/>
          <w:sz w:val="18"/>
          <w:szCs w:val="18"/>
          <w:b w:val="1"/>
          <w:bCs w:val="1"/>
          <w:color w:val="auto"/>
        </w:rPr>
        <w:t>CRITICAL ACCOUNTING POLICIES AND SIGNIFICANT JUDGMENTS AND ESTIMATES Accounting Estimates and Judgments</w:t>
      </w:r>
    </w:p>
    <w:p>
      <w:pPr>
        <w:jc w:val="both"/>
        <w:spacing w:after="0" w:line="254" w:lineRule="auto"/>
        <w:rPr>
          <w:sz w:val="20"/>
          <w:szCs w:val="20"/>
          <w:color w:val="auto"/>
        </w:rPr>
      </w:pPr>
      <w:r>
        <w:rPr>
          <w:rFonts w:ascii="Arial" w:cs="Arial" w:eastAsia="Arial" w:hAnsi="Arial"/>
          <w:sz w:val="18"/>
          <w:szCs w:val="18"/>
          <w:color w:val="auto"/>
        </w:rPr>
        <w:t>The preparation of the consolidated financial statements in conformity with GAAP requires management to make estimates, judgments and assumptions that affect the reported amounts of assets and liabilities and disclosure of contingent liabilities at the date of the financial statements and the reported amounts of revenues and expenses during the period. We base our estimates on past experience and on other factors we deem reasonable given the circumstances. Past results help form the basis of our judgments about the carrying value of assets and liabilities that are not determined from other sources. Actual results could differ from these estimates. These estimates, judgments and assumptions are most critical with respect to our accounting for revenue recognition, inventory, intangible assets and goodwill, research and development accounting, contingent consideration liability, provision for income taxes and share-based payments.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revenue in accordance with the Accounting Standards Codification (ASC) Topic 606. Effective January 1, 2018, we adopted the Financial Accounting Standards Board’s (“FASB”) amended guidance in the form of Accounting Standards Update (“ASU”) No. 2014-09, "Revenue from Contracts with Customers," (ASC 606).</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revenue is derived primarily from the product sales of our FDA approved pharmaceutical brands. Revenue from sales of products is recognized at the point where the customer obtains control of the goods and we satisfy our performance obligation, which occurs upon either shipment of the product or arrival at its destination, depending upon the shipping terms of the transaction. Payment terms typically range from 30 to 60 days from date of shipment. Our net product revenue reflects the reduction from gross product revenue for estimated allowances for chargebacks, and discounts and reflects sales related accruals for rebates, coupons, product returns, and certain administrative and service fees. Significant judgments must be made in determining the transaction price for our sales of products related to these adjustments. Other revenue, which is a component of net revenues, includes non-refundable upfront payments and milestone payments under licensing agreements along with grant and rental income. Other revenue was approximately 3.2% percent of net revenues in 2022 and 2.6% in 2021.</w:t>
      </w:r>
    </w:p>
    <w:p>
      <w:pPr>
        <w:spacing w:after="0" w:line="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financial statements reflect accounts receivable allowances of $0.6 million and $0.3 million at December 31, 2022 and 2021, respectively, for chargebacks and early pay discounts for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our sales-related accrual activity for the periods indicated below:</w:t>
      </w:r>
    </w:p>
    <w:p>
      <w:pPr>
        <w:spacing w:after="0" w:line="199" w:lineRule="exact"/>
        <w:rPr>
          <w:sz w:val="20"/>
          <w:szCs w:val="20"/>
          <w:color w:val="auto"/>
        </w:rPr>
      </w:pPr>
    </w:p>
    <w:tbl>
      <w:tblPr>
        <w:tblLayout w:type="fixed"/>
        <w:tblInd w:w="100" w:type="dxa"/>
        <w:tblCellMar>
          <w:top w:w="0" w:type="dxa"/>
          <w:left w:w="0" w:type="dxa"/>
          <w:bottom w:w="0" w:type="dxa"/>
          <w:right w:w="0" w:type="dxa"/>
        </w:tblCellMar>
      </w:tblPr>
      <w:tr>
        <w:trPr>
          <w:trHeight w:val="213"/>
        </w:trPr>
        <w:tc>
          <w:tcPr>
            <w:tcW w:w="7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45"/>
        </w:trPr>
        <w:tc>
          <w:tcPr>
            <w:tcW w:w="7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January 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3,680,677</w:t>
            </w:r>
          </w:p>
        </w:tc>
        <w:tc>
          <w:tcPr>
            <w:tcW w:w="120" w:type="dxa"/>
            <w:vAlign w:val="bottom"/>
            <w:vMerge w:val="continue"/>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4,063,435</w:t>
            </w:r>
          </w:p>
        </w:tc>
        <w:tc>
          <w:tcPr>
            <w:tcW w:w="0" w:type="dxa"/>
            <w:vAlign w:val="bottom"/>
          </w:tcPr>
          <w:p>
            <w:pPr>
              <w:spacing w:after="0"/>
              <w:rPr>
                <w:sz w:val="1"/>
                <w:szCs w:val="1"/>
                <w:color w:val="auto"/>
              </w:rPr>
            </w:pPr>
          </w:p>
        </w:tc>
      </w:tr>
      <w:tr>
        <w:trPr>
          <w:trHeight w:val="229"/>
        </w:trPr>
        <w:tc>
          <w:tcPr>
            <w:tcW w:w="7300" w:type="dxa"/>
            <w:vAlign w:val="bottom"/>
          </w:tcPr>
          <w:p>
            <w:pPr>
              <w:ind w:left="220"/>
              <w:spacing w:after="0"/>
              <w:rPr>
                <w:sz w:val="20"/>
                <w:szCs w:val="20"/>
                <w:color w:val="auto"/>
              </w:rPr>
            </w:pPr>
            <w:r>
              <w:rPr>
                <w:rFonts w:ascii="Arial" w:cs="Arial" w:eastAsia="Arial" w:hAnsi="Arial"/>
                <w:sz w:val="18"/>
                <w:szCs w:val="18"/>
                <w:color w:val="auto"/>
              </w:rPr>
              <w:t>Current provision</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24,426,431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12,127,410</w:t>
            </w: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Actual product returns and credits issued</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(19,759,894)</w:t>
            </w:r>
          </w:p>
        </w:tc>
        <w:tc>
          <w:tcPr>
            <w:tcW w:w="120" w:type="dxa"/>
            <w:vAlign w:val="bottom"/>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(12,510,168)</w:t>
            </w:r>
          </w:p>
        </w:tc>
        <w:tc>
          <w:tcPr>
            <w:tcW w:w="0" w:type="dxa"/>
            <w:vAlign w:val="bottom"/>
          </w:tcPr>
          <w:p>
            <w:pPr>
              <w:spacing w:after="0"/>
              <w:rPr>
                <w:sz w:val="1"/>
                <w:szCs w:val="1"/>
                <w:color w:val="auto"/>
              </w:rPr>
            </w:pPr>
          </w:p>
        </w:tc>
      </w:tr>
      <w:tr>
        <w:trPr>
          <w:trHeight w:val="223"/>
        </w:trPr>
        <w:tc>
          <w:tcPr>
            <w:tcW w:w="7300" w:type="dxa"/>
            <w:vAlign w:val="bottom"/>
          </w:tcPr>
          <w:p>
            <w:pPr>
              <w:ind w:left="20"/>
              <w:spacing w:after="0"/>
              <w:rPr>
                <w:sz w:val="20"/>
                <w:szCs w:val="20"/>
                <w:color w:val="auto"/>
              </w:rPr>
            </w:pPr>
            <w:r>
              <w:rPr>
                <w:rFonts w:ascii="Arial" w:cs="Arial" w:eastAsia="Arial" w:hAnsi="Arial"/>
                <w:sz w:val="18"/>
                <w:szCs w:val="18"/>
                <w:color w:val="auto"/>
              </w:rPr>
              <w:t>Balance, December 31</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8,347,214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3,680,677</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allowances for chargebacks and discounts and sales related accruals for rebates, fee for service and product returns are determined on a product-by-product basis. We establish them using our best estimate at the time of sale based on:</w:t>
      </w:r>
    </w:p>
    <w:p>
      <w:pPr>
        <w:spacing w:after="0" w:line="103" w:lineRule="exact"/>
        <w:rPr>
          <w:sz w:val="20"/>
          <w:szCs w:val="20"/>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product’s historical experience adjusted to reflect known changes in the factors that impact such allowances;</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contractual terms with direct and indirect customers;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Analyses of historical levels of chargebacks, discounts and returns of product;</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Communications with customers;</w:t>
      </w:r>
    </w:p>
    <w:p>
      <w:pPr>
        <w:spacing w:after="0" w:line="157" w:lineRule="exact"/>
        <w:rPr>
          <w:rFonts w:ascii="Arial" w:cs="Arial" w:eastAsia="Arial" w:hAnsi="Arial"/>
          <w:sz w:val="18"/>
          <w:szCs w:val="18"/>
          <w:color w:val="auto"/>
        </w:rPr>
      </w:pPr>
    </w:p>
    <w:p>
      <w:pPr>
        <w:ind w:left="980"/>
        <w:spacing w:after="0" w:line="277" w:lineRule="auto"/>
        <w:tabs>
          <w:tab w:leader="none" w:pos="1299"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Purchased information about the rate of prescriptions being written and the level of inventory remaining in the distribution channel, if known; and</w:t>
      </w:r>
    </w:p>
    <w:p>
      <w:pPr>
        <w:spacing w:after="0" w:line="89"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Expectations about the market for each product, including any anticipated introduction of competitive products.</w:t>
      </w:r>
    </w:p>
    <w:p>
      <w:pPr>
        <w:spacing w:after="0" w:line="1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Other organizations, such as managed care providers, pharmacy benefit management companies and government agencies, may receive rebates from us based on either negotiated contracts to carry our products or reimbursements for filled prescriptions. These entities are considered our indirect customers. When recognizing a sale to a wholesaler, sales revenues are reduced and accrued liabilities are increased by our estimate of the rebate that may be claimed.</w:t>
      </w:r>
    </w:p>
    <w:p>
      <w:pPr>
        <w:spacing w:after="0" w:line="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allowances for chargebacks and accruals for rebates and product returns are the most significant estimates used in the recognition of our revenue from product sales. Of the accounts receivable allowances and our sales related accruals, our accrual for product returns and rebates represents the majority of the balance. Sales related accrued liabilities for rebates, product returns, service fees, and administrative fees totaled $8.3 million and $3.7 million as of December 31, 2022 and 2021 , respectively. Of these amounts, our estimated liability for fee for services represented $1.5 million and $1.0 million, respectively, while our accrual for product returns totaled $2.7 million and $1.9 million, respectively. If the actual amount of cash discounts, chargebacks, rebates, and product returns differs from the amounts estimated by management, material differences may result from the amount of our revenue recognized from product sales. A change in our rebate estimate of one percentage point would have impacted net sales by approximately $0.6 million and $0.4 million for the year ended December 31, 2022 and 2021, respectively. A change in our product return estimate of one percentage point would have impacted net sales by $0.4 million for the years ended December 31, 2022 and 2021.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record amounts for estimated obsolescence or unmarketable inventory in an amount equal to the difference between the cost of inventory and the net realizable value based upon assumptions about remaining shelf life, future demand and market conditions. The estimated inventory obsolescence amounts are calculated based upon specific review of the inventory expiration dates and the quantity on-hand at December 31, 2022, in comparison to our expected inventory usage. The amount of actual inventory obsolescence and unmarketable inventory could differ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(either higher or lower) in the near term from the estimated amounts. Changes in our estimates would be recorded in our statement of operations in the period of the change.</w:t>
      </w:r>
    </w:p>
    <w:p>
      <w:pPr>
        <w:spacing w:after="0" w:line="89" w:lineRule="exact"/>
        <w:rPr>
          <w:sz w:val="20"/>
          <w:szCs w:val="20"/>
          <w:color w:val="auto"/>
        </w:rPr>
      </w:pPr>
    </w:p>
    <w:p>
      <w:pPr>
        <w:ind w:right="280"/>
        <w:spacing w:after="0" w:line="422" w:lineRule="auto"/>
        <w:rPr>
          <w:sz w:val="20"/>
          <w:szCs w:val="20"/>
          <w:color w:val="auto"/>
        </w:rPr>
      </w:pPr>
      <w:r>
        <w:rPr>
          <w:rFonts w:ascii="Arial" w:cs="Arial" w:eastAsia="Arial" w:hAnsi="Arial"/>
          <w:sz w:val="18"/>
          <w:szCs w:val="18"/>
          <w:color w:val="auto"/>
        </w:rPr>
        <w:t xml:space="preserve">Non-current inventories consist of API which typically has an extended life and selected finished good products with extended life longer than one year. </w:t>
      </w:r>
      <w:r>
        <w:rPr>
          <w:rFonts w:ascii="Arial" w:cs="Arial" w:eastAsia="Arial" w:hAnsi="Arial"/>
          <w:sz w:val="18"/>
          <w:szCs w:val="18"/>
          <w:b w:val="1"/>
          <w:bCs w:val="1"/>
          <w:color w:val="auto"/>
        </w:rPr>
        <w:t>Income Taxes</w:t>
      </w:r>
    </w:p>
    <w:p>
      <w:pPr>
        <w:spacing w:after="0" w:line="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provide for deferred taxes using the asset and liability approach. Under this method, deferred tax assets and liabilities are recognized for the future tax consequences attributable to operating loss and tax credit carry-forwards and differences between the financial statement carrying amounts of existing assets and liabilities and their respective tax bases. Our principal differences are related to the timing of deductibility of certain items such as depreciation, amortization and expense for options issued to nonemployees. Deferred tax assets and liabilities are measured using management’s estimate of tax rates expected to apply to taxable income in the years in which management believes those temporary differences are expected to be recovered or settled. The effect on deferred tax assets and liabilities of a change in tax rates is recognized in our results of operations in the period that includes the enactment date.</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accounting policy with respect to interest and penalties arising from income tax settlements is to recognize them as part of the provision for income taxes.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compensation expense for all share-based payments based on the fair value of the award on the date of grant. In addition, incremental compensation expense is recognized upon the modification of equity awards.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issue restricted stock and incentive stock option awards to employees, directors and consultants. Compensation expense for restricted equity awards granted to employees and directors is generally equal to the fair market value of the underlying common stock on the date of grant. If a sufficient disincentive for nonperformance does not exist at the date of grant, the compensation cost is remeasured at each reporting date at the then-current fair market value of the underlying common stock until the award vests.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4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accrue for and expense research and development costs based on estimates of work performed, patient enrollment or fixed-fee-for-services. As work is performed and/or invoices are received, we adjust our estimates and accruals. To date, our accruals have not differed materially from our estimates. Total research and development costs are a function of studies being conducted and will increase or decrease based on the level of activity in any particular year.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and Goodwill</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Intangible assets include product rights, license agreements, other identifiable intangible assets and goodwill associated with the Vibativ acquisition. We assess the impairment of goodwill at least annually. We assess the impairment of identifiable intangible assets subject to amortization whenever events or changes in circumstances indicate the carrying value may not be recoverable. In determining the recoverability of our intangible assets, we make assumptions regarding estimated future cash flows and other factors. If the estimated undiscounted future cash flows do not exceed the carrying value of the intangible assets, we must determine the fair value of the intangible assets. If the fair value of the intangible assets is less than the carrying value, an impairment loss will be recognized in an amount equal to the difference. Fair value is determined through various valuation techniques including quoted market prices, third-party independent appraisals and discounted cash flow models, as considered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2022 compared to year ended December 31, 2021</w:t>
      </w:r>
    </w:p>
    <w:p>
      <w:pPr>
        <w:spacing w:after="0" w:line="162"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The following table presents the statements of operations for the years ended December 31, 2022 and 2021:</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92"/>
              </w:rPr>
              <w:t>Years ended December 31,</w:t>
            </w:r>
          </w:p>
        </w:tc>
        <w:tc>
          <w:tcPr>
            <w:tcW w:w="4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r>
      <w:tr>
        <w:trPr>
          <w:trHeight w:val="223"/>
        </w:trPr>
        <w:tc>
          <w:tcPr>
            <w:tcW w:w="4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ind w:right="7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ind w:left="320"/>
              <w:spacing w:after="0"/>
              <w:rPr>
                <w:sz w:val="20"/>
                <w:szCs w:val="20"/>
                <w:color w:val="auto"/>
              </w:rPr>
            </w:pPr>
            <w:r>
              <w:rPr>
                <w:rFonts w:ascii="Arial" w:cs="Arial" w:eastAsia="Arial" w:hAnsi="Arial"/>
                <w:sz w:val="18"/>
                <w:szCs w:val="18"/>
                <w:b w:val="1"/>
                <w:bCs w:val="1"/>
                <w:color w:val="auto"/>
              </w:rPr>
              <w:t>Change</w:t>
            </w: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26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42,010,949</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35,985,043</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6,025,906</w:t>
            </w:r>
          </w:p>
        </w:tc>
        <w:tc>
          <w:tcPr>
            <w:tcW w:w="120" w:type="dxa"/>
            <w:vAlign w:val="bottom"/>
            <w:tcBorders>
              <w:top w:val="single" w:sz="8" w:color="CCEEFF"/>
            </w:tcBorders>
            <w:shd w:val="clear" w:color="auto" w:fill="CCEEFF"/>
          </w:tcPr>
          <w:p>
            <w:pPr>
              <w:spacing w:after="0"/>
              <w:rPr>
                <w:sz w:val="19"/>
                <w:szCs w:val="19"/>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products sold</w:t>
            </w: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9,118,521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8,811,248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307,273</w:t>
            </w:r>
          </w:p>
        </w:tc>
        <w:tc>
          <w:tcPr>
            <w:tcW w:w="120" w:type="dxa"/>
            <w:vAlign w:val="bottom"/>
            <w:shd w:val="clear" w:color="auto" w:fill="CCEEFF"/>
          </w:tcPr>
          <w:p>
            <w:pPr>
              <w:spacing w:after="0"/>
              <w:rPr>
                <w:sz w:val="19"/>
                <w:szCs w:val="19"/>
                <w:color w:val="auto"/>
              </w:rPr>
            </w:pPr>
          </w:p>
        </w:tc>
      </w:tr>
      <w:tr>
        <w:trPr>
          <w:trHeight w:val="230"/>
        </w:trPr>
        <w:tc>
          <w:tcPr>
            <w:tcW w:w="4400" w:type="dxa"/>
            <w:vAlign w:val="bottom"/>
          </w:tcPr>
          <w:p>
            <w:pPr>
              <w:ind w:left="360"/>
              <w:spacing w:after="0"/>
              <w:rPr>
                <w:sz w:val="20"/>
                <w:szCs w:val="20"/>
                <w:color w:val="auto"/>
              </w:rPr>
            </w:pPr>
            <w:r>
              <w:rPr>
                <w:rFonts w:ascii="Arial" w:cs="Arial" w:eastAsia="Arial" w:hAnsi="Arial"/>
                <w:sz w:val="18"/>
                <w:szCs w:val="18"/>
                <w:color w:val="auto"/>
              </w:rPr>
              <w:t>Selling and marketing</w:t>
            </w:r>
          </w:p>
        </w:tc>
        <w:tc>
          <w:tcPr>
            <w:tcW w:w="1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16,660,945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15,015,424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1,645,521</w:t>
            </w:r>
          </w:p>
        </w:tc>
        <w:tc>
          <w:tcPr>
            <w:tcW w:w="120" w:type="dxa"/>
            <w:vAlign w:val="bottom"/>
          </w:tcPr>
          <w:p>
            <w:pPr>
              <w:spacing w:after="0"/>
              <w:rPr>
                <w:sz w:val="19"/>
                <w:szCs w:val="19"/>
                <w:color w:val="auto"/>
              </w:rPr>
            </w:pPr>
          </w:p>
        </w:tc>
      </w:tr>
      <w:tr>
        <w:trPr>
          <w:trHeight w:val="229"/>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6,688,924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5,684,465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1,004,459</w:t>
            </w:r>
          </w:p>
        </w:tc>
        <w:tc>
          <w:tcPr>
            <w:tcW w:w="120" w:type="dxa"/>
            <w:vAlign w:val="bottom"/>
            <w:shd w:val="clear" w:color="auto" w:fill="CCEEFF"/>
          </w:tcPr>
          <w:p>
            <w:pPr>
              <w:spacing w:after="0"/>
              <w:rPr>
                <w:sz w:val="19"/>
                <w:szCs w:val="19"/>
                <w:color w:val="auto"/>
              </w:rPr>
            </w:pPr>
          </w:p>
        </w:tc>
      </w:tr>
      <w:tr>
        <w:trPr>
          <w:trHeight w:val="230"/>
        </w:trPr>
        <w:tc>
          <w:tcPr>
            <w:tcW w:w="44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10,180,120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9,780,026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400,094</w:t>
            </w:r>
          </w:p>
        </w:tc>
        <w:tc>
          <w:tcPr>
            <w:tcW w:w="120" w:type="dxa"/>
            <w:vAlign w:val="bottom"/>
          </w:tcPr>
          <w:p>
            <w:pPr>
              <w:spacing w:after="0"/>
              <w:rPr>
                <w:sz w:val="19"/>
                <w:szCs w:val="19"/>
                <w:color w:val="auto"/>
              </w:rPr>
            </w:pPr>
          </w:p>
        </w:tc>
      </w:tr>
      <w:tr>
        <w:trPr>
          <w:trHeight w:val="229"/>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1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5,067,368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4,371,300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696,068</w:t>
            </w:r>
          </w:p>
        </w:tc>
        <w:tc>
          <w:tcPr>
            <w:tcW w:w="120" w:type="dxa"/>
            <w:vAlign w:val="bottom"/>
            <w:shd w:val="clear" w:color="auto" w:fill="CCEEFF"/>
          </w:tcPr>
          <w:p>
            <w:pPr>
              <w:spacing w:after="0"/>
              <w:rPr>
                <w:sz w:val="19"/>
                <w:szCs w:val="19"/>
                <w:color w:val="auto"/>
              </w:rPr>
            </w:pPr>
          </w:p>
        </w:tc>
      </w:tr>
      <w:tr>
        <w:trPr>
          <w:trHeight w:val="22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1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47,715,878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43,662,463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4,053,415</w:t>
            </w:r>
          </w:p>
        </w:tc>
        <w:tc>
          <w:tcPr>
            <w:tcW w:w="120" w:type="dxa"/>
            <w:vAlign w:val="bottom"/>
            <w:tcBorders>
              <w:bottom w:val="single" w:sz="8" w:color="CCEEFF"/>
            </w:tcBorders>
          </w:tcPr>
          <w:p>
            <w:pPr>
              <w:spacing w:after="0"/>
              <w:rPr>
                <w:sz w:val="19"/>
                <w:szCs w:val="19"/>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(5,704,929)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(7,677,420)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1,972,491</w:t>
            </w:r>
          </w:p>
        </w:tc>
        <w:tc>
          <w:tcPr>
            <w:tcW w:w="120" w:type="dxa"/>
            <w:vAlign w:val="bottom"/>
            <w:shd w:val="clear" w:color="auto" w:fill="CCEEFF"/>
          </w:tcPr>
          <w:p>
            <w:pPr>
              <w:spacing w:after="0"/>
              <w:rPr>
                <w:sz w:val="19"/>
                <w:szCs w:val="19"/>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98,405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26,081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72,324</w:t>
            </w:r>
          </w:p>
        </w:tc>
        <w:tc>
          <w:tcPr>
            <w:tcW w:w="120" w:type="dxa"/>
            <w:vAlign w:val="bottom"/>
          </w:tcPr>
          <w:p>
            <w:pPr>
              <w:spacing w:after="0"/>
              <w:rPr>
                <w:sz w:val="19"/>
                <w:szCs w:val="19"/>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 gain on insurance proceeds</w:t>
            </w: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611,330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611,330</w:t>
            </w:r>
          </w:p>
        </w:tc>
        <w:tc>
          <w:tcPr>
            <w:tcW w:w="120" w:type="dxa"/>
            <w:vAlign w:val="bottom"/>
            <w:shd w:val="clear" w:color="auto" w:fill="CCEEFF"/>
          </w:tcPr>
          <w:p>
            <w:pPr>
              <w:spacing w:after="0"/>
              <w:rPr>
                <w:sz w:val="19"/>
                <w:szCs w:val="19"/>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2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2,187,140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(2,187,140)</w:t>
            </w:r>
          </w:p>
        </w:tc>
        <w:tc>
          <w:tcPr>
            <w:tcW w:w="120" w:type="dxa"/>
            <w:vAlign w:val="bottom"/>
          </w:tcPr>
          <w:p>
            <w:pPr>
              <w:spacing w:after="0"/>
              <w:rPr>
                <w:sz w:val="19"/>
                <w:szCs w:val="19"/>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(585,995)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(98,031)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(487,964)</w:t>
            </w:r>
          </w:p>
        </w:tc>
        <w:tc>
          <w:tcPr>
            <w:tcW w:w="120" w:type="dxa"/>
            <w:vAlign w:val="bottom"/>
            <w:shd w:val="clear" w:color="auto" w:fill="CCEEFF"/>
          </w:tcPr>
          <w:p>
            <w:pPr>
              <w:spacing w:after="0"/>
              <w:rPr>
                <w:sz w:val="19"/>
                <w:szCs w:val="19"/>
                <w:color w:val="auto"/>
              </w:rPr>
            </w:pPr>
          </w:p>
        </w:tc>
      </w:tr>
      <w:tr>
        <w:trPr>
          <w:trHeight w:val="223"/>
        </w:trPr>
        <w:tc>
          <w:tcPr>
            <w:tcW w:w="4400" w:type="dxa"/>
            <w:vAlign w:val="bottom"/>
          </w:tcPr>
          <w:p>
            <w:pPr>
              <w:ind w:left="360"/>
              <w:spacing w:after="0"/>
              <w:rPr>
                <w:sz w:val="20"/>
                <w:szCs w:val="20"/>
                <w:color w:val="auto"/>
              </w:rPr>
            </w:pPr>
            <w:r>
              <w:rPr>
                <w:rFonts w:ascii="Arial" w:cs="Arial" w:eastAsia="Arial" w:hAnsi="Arial"/>
                <w:sz w:val="18"/>
                <w:szCs w:val="18"/>
                <w:color w:val="auto"/>
              </w:rPr>
              <w:t>Income (loss) before income taxes</w:t>
            </w:r>
          </w:p>
        </w:tc>
        <w:tc>
          <w:tcPr>
            <w:tcW w:w="1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1"/>
              </w:rPr>
              <w:t>(5,581,189)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(5,562,230)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(18,959)</w:t>
            </w:r>
          </w:p>
        </w:tc>
        <w:tc>
          <w:tcPr>
            <w:tcW w:w="120" w:type="dxa"/>
            <w:vAlign w:val="bottom"/>
          </w:tcPr>
          <w:p>
            <w:pPr>
              <w:spacing w:after="0"/>
              <w:rPr>
                <w:sz w:val="19"/>
                <w:szCs w:val="19"/>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(68,850)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(33,959)</w:t>
            </w:r>
          </w:p>
        </w:tc>
        <w:tc>
          <w:tcPr>
            <w:tcW w:w="120" w:type="dxa"/>
            <w:vAlign w:val="bottom"/>
            <w:shd w:val="clear" w:color="auto" w:fill="CCEEFF"/>
          </w:tcPr>
          <w:p>
            <w:pPr>
              <w:spacing w:after="0"/>
              <w:rPr>
                <w:sz w:val="19"/>
                <w:szCs w:val="19"/>
                <w:color w:val="auto"/>
              </w:rPr>
            </w:pPr>
          </w:p>
        </w:tc>
      </w:tr>
      <w:tr>
        <w:trPr>
          <w:trHeight w:val="223"/>
        </w:trPr>
        <w:tc>
          <w:tcPr>
            <w:tcW w:w="4400" w:type="dxa"/>
            <w:vAlign w:val="bottom"/>
          </w:tcPr>
          <w:p>
            <w:pPr>
              <w:ind w:left="360"/>
              <w:spacing w:after="0"/>
              <w:rPr>
                <w:sz w:val="20"/>
                <w:szCs w:val="20"/>
                <w:color w:val="auto"/>
              </w:rPr>
            </w:pPr>
            <w:r>
              <w:rPr>
                <w:rFonts w:ascii="Arial" w:cs="Arial" w:eastAsia="Arial" w:hAnsi="Arial"/>
                <w:sz w:val="18"/>
                <w:szCs w:val="18"/>
                <w:color w:val="auto"/>
              </w:rPr>
              <w:t>Net income (loss) from continuing operations</w:t>
            </w:r>
          </w:p>
        </w:tc>
        <w:tc>
          <w:tcPr>
            <w:tcW w:w="12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(5,650,039)</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(5,597,121)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(52,918)</w:t>
            </w:r>
          </w:p>
        </w:tc>
        <w:tc>
          <w:tcPr>
            <w:tcW w:w="120" w:type="dxa"/>
            <w:vAlign w:val="bottom"/>
          </w:tcPr>
          <w:p>
            <w:pPr>
              <w:spacing w:after="0"/>
              <w:rPr>
                <w:sz w:val="19"/>
                <w:szCs w:val="19"/>
                <w:color w:val="auto"/>
              </w:rPr>
            </w:pPr>
          </w:p>
        </w:tc>
      </w:tr>
      <w:tr>
        <w:trPr>
          <w:trHeight w:val="21"/>
        </w:trPr>
        <w:tc>
          <w:tcPr>
            <w:tcW w:w="44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revenues for the years presented:</w:t>
      </w:r>
    </w:p>
    <w:p>
      <w:pPr>
        <w:spacing w:after="0" w:line="194"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2"/>
              </w:rPr>
              <w:t>Years ended December 31,</w:t>
            </w:r>
          </w:p>
        </w:tc>
        <w:tc>
          <w:tcPr>
            <w:tcW w:w="4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r>
      <w:tr>
        <w:trPr>
          <w:trHeight w:val="223"/>
        </w:trPr>
        <w:tc>
          <w:tcPr>
            <w:tcW w:w="45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30"/>
        </w:trPr>
        <w:tc>
          <w:tcPr>
            <w:tcW w:w="4520" w:type="dxa"/>
            <w:vAlign w:val="bottom"/>
          </w:tcPr>
          <w:p>
            <w:pPr>
              <w:ind w:left="340"/>
              <w:spacing w:after="0"/>
              <w:rPr>
                <w:sz w:val="20"/>
                <w:szCs w:val="20"/>
                <w:color w:val="auto"/>
              </w:rPr>
            </w:pPr>
            <w:r>
              <w:rPr>
                <w:rFonts w:ascii="Arial" w:cs="Arial" w:eastAsia="Arial" w:hAnsi="Arial"/>
                <w:sz w:val="18"/>
                <w:szCs w:val="18"/>
                <w:color w:val="auto"/>
              </w:rPr>
              <w:t>Kristalose</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15,205,155</w:t>
            </w:r>
          </w:p>
        </w:tc>
        <w:tc>
          <w:tcPr>
            <w:tcW w:w="12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15,993,658</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(788,503)</w:t>
            </w:r>
          </w:p>
        </w:tc>
      </w:tr>
      <w:tr>
        <w:trPr>
          <w:trHeight w:val="230"/>
        </w:trPr>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Sancuso</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13,205,603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13,205,603</w:t>
            </w:r>
          </w:p>
        </w:tc>
      </w:tr>
      <w:tr>
        <w:trPr>
          <w:trHeight w:val="229"/>
        </w:trPr>
        <w:tc>
          <w:tcPr>
            <w:tcW w:w="4520" w:type="dxa"/>
            <w:vAlign w:val="bottom"/>
          </w:tcPr>
          <w:p>
            <w:pPr>
              <w:ind w:left="340"/>
              <w:spacing w:after="0"/>
              <w:rPr>
                <w:sz w:val="20"/>
                <w:szCs w:val="20"/>
                <w:color w:val="auto"/>
              </w:rPr>
            </w:pPr>
            <w:r>
              <w:rPr>
                <w:rFonts w:ascii="Arial" w:cs="Arial" w:eastAsia="Arial" w:hAnsi="Arial"/>
                <w:sz w:val="18"/>
                <w:szCs w:val="18"/>
                <w:color w:val="auto"/>
              </w:rPr>
              <w:t>Vibativ</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7,487,462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11,704,062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(4,216,600)</w:t>
            </w:r>
          </w:p>
        </w:tc>
      </w:tr>
      <w:tr>
        <w:trPr>
          <w:trHeight w:val="230"/>
        </w:trPr>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Caldolor</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4,827,200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4,970,301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(143,101)</w:t>
            </w:r>
          </w:p>
        </w:tc>
      </w:tr>
      <w:tr>
        <w:trPr>
          <w:trHeight w:val="230"/>
        </w:trPr>
        <w:tc>
          <w:tcPr>
            <w:tcW w:w="4520" w:type="dxa"/>
            <w:vAlign w:val="bottom"/>
          </w:tcPr>
          <w:p>
            <w:pPr>
              <w:ind w:left="340"/>
              <w:spacing w:after="0"/>
              <w:rPr>
                <w:sz w:val="20"/>
                <w:szCs w:val="20"/>
                <w:color w:val="auto"/>
              </w:rPr>
            </w:pPr>
            <w:r>
              <w:rPr>
                <w:rFonts w:ascii="Arial" w:cs="Arial" w:eastAsia="Arial" w:hAnsi="Arial"/>
                <w:sz w:val="18"/>
                <w:szCs w:val="18"/>
                <w:color w:val="auto"/>
              </w:rPr>
              <w:t>Acetadote</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501,040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850,993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(349,953)</w:t>
            </w:r>
          </w:p>
        </w:tc>
      </w:tr>
      <w:tr>
        <w:trPr>
          <w:trHeight w:val="230"/>
        </w:trPr>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Omeclamox-Pak</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(388,657)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417,802</w:t>
            </w:r>
          </w:p>
        </w:tc>
      </w:tr>
      <w:tr>
        <w:trPr>
          <w:trHeight w:val="229"/>
        </w:trPr>
        <w:tc>
          <w:tcPr>
            <w:tcW w:w="4520" w:type="dxa"/>
            <w:vAlign w:val="bottom"/>
          </w:tcPr>
          <w:p>
            <w:pPr>
              <w:ind w:left="340"/>
              <w:spacing w:after="0"/>
              <w:rPr>
                <w:sz w:val="20"/>
                <w:szCs w:val="20"/>
                <w:color w:val="auto"/>
              </w:rPr>
            </w:pPr>
            <w:r>
              <w:rPr>
                <w:rFonts w:ascii="Arial" w:cs="Arial" w:eastAsia="Arial" w:hAnsi="Arial"/>
                <w:sz w:val="18"/>
                <w:szCs w:val="18"/>
                <w:color w:val="auto"/>
              </w:rPr>
              <w:t>Vaprisol</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(447,697)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1,859,581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(2,307,278)</w:t>
            </w:r>
          </w:p>
        </w:tc>
      </w:tr>
      <w:tr>
        <w:trPr>
          <w:trHeight w:val="230"/>
        </w:trPr>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RediTrex</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(126,726)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(182,047)</w:t>
            </w:r>
          </w:p>
        </w:tc>
      </w:tr>
      <w:tr>
        <w:trPr>
          <w:trHeight w:val="230"/>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1,329,767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939,784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389,983</w:t>
            </w:r>
          </w:p>
        </w:tc>
      </w:tr>
      <w:tr>
        <w:trPr>
          <w:trHeight w:val="248"/>
        </w:trPr>
        <w:tc>
          <w:tcPr>
            <w:tcW w:w="45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net revenues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42,010,949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35,985,043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6,025,906</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Net revenues. </w:t>
      </w:r>
      <w:r>
        <w:rPr>
          <w:rFonts w:ascii="Arial" w:cs="Arial" w:eastAsia="Arial" w:hAnsi="Arial"/>
          <w:sz w:val="17"/>
          <w:szCs w:val="17"/>
          <w:color w:val="auto"/>
        </w:rPr>
        <w:t>Net revenues for the year ended December 31, 2022, were approximately $42.0 million compared to $36.0 million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2021, representing an increase of $6.0 million or 16.7%. Net revenue increased during the 2022 period as a result of our newest product Sancuso which contributed net revenue of $13.2 million. This increase was offset by decreased net sales of Vibativ and Vaprisol.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Kristalose revenue declined by $0.8 million, or (4.9)%, compared to December 31, 2021, primarily as a result of timing of sales of our shipments to one of our co-promotion partners.</w:t>
      </w:r>
    </w:p>
    <w:p>
      <w:pPr>
        <w:spacing w:after="0" w:line="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Vibativ revenue was $7.5 million compared to $11.7 million in the prior year. This $4.2 million decline in net revenue was a result higher sales volume for the product in 2021 associated in part with wholesale stocking of our new packaged product.</w:t>
      </w:r>
    </w:p>
    <w:p>
      <w:pPr>
        <w:spacing w:after="0" w:line="10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Caldolor revenue experienced a 2.9% decrease to $4.8 million during the year ended December 31, 2022, compared to $5.0 million in the same period last year. This decrease in Caldolor revenue for the year ended December 31, 2022, was the result of the timing of international shipments.</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Vaprisol revenue decreased $2.3 million during the year ended December 31, 2022, compared to the prior year period due primarily to a temporary out of stock situation associated with a change in manufacturers.</w:t>
      </w:r>
    </w:p>
    <w:p>
      <w:pPr>
        <w:spacing w:after="0" w:line="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Acetadote revenue included net sales of our branded product and our share of net sales from our Authorized Generic. For the year ended December 31, 2022, the Acetadote net revenue decreased $0.3 million compared to the prior year due to an increase in expired product returns in 2022.</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Omeclamox-Pak revenue increased $0.4 million during the year ended December 31, 2022, compared to the prior year. The increase was due to favorable sales adjustments and ownership changes at our packager which resulted in a temporary out of stock situation.</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Reditrex revenue decreased $0.2 million in 2022 compared to 2021. Our 2022 gross wholesale revenue increased by $0.4 million, but the revenue growth was offset by expired product returns.</w:t>
      </w:r>
    </w:p>
    <w:p>
      <w:pPr>
        <w:spacing w:after="0" w:line="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Cost of products sold</w:t>
      </w:r>
      <w:r>
        <w:rPr>
          <w:rFonts w:ascii="Arial" w:cs="Arial" w:eastAsia="Arial" w:hAnsi="Arial"/>
          <w:sz w:val="17"/>
          <w:szCs w:val="17"/>
          <w:color w:val="auto"/>
        </w:rPr>
        <w:t>. Cost of products sold for the year ended December 31, 2022, were $9.1 million compared to $8.8 million in the prior year. As a</w:t>
      </w:r>
      <w:r>
        <w:rPr>
          <w:rFonts w:ascii="Arial" w:cs="Arial" w:eastAsia="Arial" w:hAnsi="Arial"/>
          <w:sz w:val="17"/>
          <w:szCs w:val="17"/>
          <w:i w:val="1"/>
          <w:iCs w:val="1"/>
          <w:color w:val="auto"/>
        </w:rPr>
        <w:t xml:space="preserve"> </w:t>
      </w:r>
      <w:r>
        <w:rPr>
          <w:rFonts w:ascii="Arial" w:cs="Arial" w:eastAsia="Arial" w:hAnsi="Arial"/>
          <w:sz w:val="17"/>
          <w:szCs w:val="17"/>
          <w:color w:val="auto"/>
        </w:rPr>
        <w:t>percentage of net revenues, cost of products sold were 21.7% compared to 24.5% during the prior year. This change in costs of products sold as a percentage of revenue was attributable to a change in the product sales mix, particularly the addition of our Sancuso sales.</w:t>
      </w:r>
    </w:p>
    <w:p>
      <w:pPr>
        <w:spacing w:after="0" w:line="4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Selling and marketing</w:t>
      </w:r>
      <w:r>
        <w:rPr>
          <w:rFonts w:ascii="Arial" w:cs="Arial" w:eastAsia="Arial" w:hAnsi="Arial"/>
          <w:sz w:val="18"/>
          <w:szCs w:val="18"/>
          <w:color w:val="auto"/>
        </w:rPr>
        <w:t>. Selling and marketing expense for the year ended December 31, 2022, were $16.7 million compared to $15.0 million in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which was an increase of $1.6 million. This increase was primarily a result of an increase in marketing expenses associated with the Sancuso acquisition including royalty costs, promotional spending and the cost associated with our new Oncology division.</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costs for the year ended December 31, 2022, were $6.7 million, compared to $5.7 million last year,</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an increase of $1.0 million. A portion of our research and development costs is variable based on the number of trials, study sites, number of patients and the cost per patient in each of our clinical programs. We continue to fund our ongoing clinical initiatives associated with our pipeline products. During 2022, we also experienced an increase in our annual FDA user fees.</w:t>
      </w:r>
    </w:p>
    <w:p>
      <w:pPr>
        <w:spacing w:after="0" w:line="1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for the year ended December 31, 2022, were $10.2 million compared to $9.8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The change resulted from an increase in insurance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components of the statements of operations discussed above reflect the following impacts from Vibativ:</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ind w:left="20"/>
              <w:spacing w:after="0"/>
              <w:rPr>
                <w:sz w:val="20"/>
                <w:szCs w:val="20"/>
                <w:color w:val="auto"/>
              </w:rPr>
            </w:pPr>
            <w:r>
              <w:rPr>
                <w:rFonts w:ascii="Arial" w:cs="Arial" w:eastAsia="Arial" w:hAnsi="Arial"/>
                <w:sz w:val="18"/>
                <w:szCs w:val="18"/>
                <w:b w:val="1"/>
                <w:bCs w:val="1"/>
                <w:color w:val="auto"/>
              </w:rPr>
              <w:t>Financial Impact of Vibativ</w:t>
            </w:r>
          </w:p>
        </w:tc>
        <w:tc>
          <w:tcPr>
            <w:tcW w:w="44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b w:val="1"/>
                <w:bCs w:val="1"/>
                <w:color w:val="auto"/>
              </w:rPr>
              <w:t>Years ended December 31,</w:t>
            </w:r>
          </w:p>
        </w:tc>
      </w:tr>
      <w:tr>
        <w:trPr>
          <w:trHeight w:val="223"/>
        </w:trPr>
        <w:tc>
          <w:tcPr>
            <w:tcW w:w="7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2021</w:t>
            </w:r>
          </w:p>
        </w:tc>
      </w:tr>
      <w:tr>
        <w:trPr>
          <w:trHeight w:val="229"/>
        </w:trPr>
        <w:tc>
          <w:tcPr>
            <w:tcW w:w="7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revenue </w:t>
            </w:r>
            <w:r>
              <w:rPr>
                <w:rFonts w:ascii="Arial" w:cs="Arial" w:eastAsia="Arial" w:hAnsi="Arial"/>
                <w:sz w:val="23"/>
                <w:szCs w:val="23"/>
                <w:color w:val="auto"/>
                <w:vertAlign w:val="superscript"/>
              </w:rPr>
              <w:t>(1)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7,637,462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11,704,062</w:t>
            </w:r>
          </w:p>
        </w:tc>
      </w:tr>
      <w:tr>
        <w:trPr>
          <w:trHeight w:val="230"/>
        </w:trPr>
        <w:tc>
          <w:tcPr>
            <w:tcW w:w="72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Cost of products sold </w:t>
            </w:r>
            <w:r>
              <w:rPr>
                <w:rFonts w:ascii="Arial" w:cs="Arial" w:eastAsia="Arial" w:hAnsi="Arial"/>
                <w:sz w:val="23"/>
                <w:szCs w:val="23"/>
                <w:color w:val="auto"/>
                <w:vertAlign w:val="superscript"/>
              </w:rPr>
              <w:t>(2)</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3,535,851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4,814,464</w:t>
            </w: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and operating expenses</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83,145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2,011,458</w:t>
            </w: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color w:val="auto"/>
              </w:rPr>
              <w:t>Vibativ contribution</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4,018,466</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4,878,140</w:t>
            </w:r>
          </w:p>
        </w:tc>
      </w:tr>
      <w:tr>
        <w:trPr>
          <w:trHeight w:val="20"/>
        </w:trPr>
        <w:tc>
          <w:tcPr>
            <w:tcW w:w="7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140" w:hanging="132"/>
        <w:spacing w:after="0"/>
        <w:tabs>
          <w:tab w:leader="none" w:pos="140" w:val="left"/>
        </w:tabs>
        <w:numPr>
          <w:ilvl w:val="0"/>
          <w:numId w:val="32"/>
        </w:numPr>
        <w:rPr>
          <w:rFonts w:ascii="Arial" w:cs="Arial" w:eastAsia="Arial" w:hAnsi="Arial"/>
          <w:sz w:val="9"/>
          <w:szCs w:val="9"/>
          <w:color w:val="auto"/>
        </w:rPr>
      </w:pPr>
      <w:r>
        <w:rPr>
          <w:rFonts w:ascii="Arial" w:cs="Arial" w:eastAsia="Arial" w:hAnsi="Arial"/>
          <w:sz w:val="14"/>
          <w:szCs w:val="14"/>
          <w:color w:val="auto"/>
        </w:rPr>
        <w:t>2022 net revenue includes a $150,000 payment to Cumberland required under the terms of a new licensee agreement.</w:t>
      </w:r>
    </w:p>
    <w:p>
      <w:pPr>
        <w:spacing w:after="0" w:line="161" w:lineRule="exact"/>
        <w:rPr>
          <w:rFonts w:ascii="Arial" w:cs="Arial" w:eastAsia="Arial" w:hAnsi="Arial"/>
          <w:sz w:val="9"/>
          <w:szCs w:val="9"/>
          <w:color w:val="auto"/>
        </w:rPr>
      </w:pPr>
    </w:p>
    <w:p>
      <w:pPr>
        <w:ind w:left="140" w:hanging="132"/>
        <w:spacing w:after="0"/>
        <w:tabs>
          <w:tab w:leader="none" w:pos="140" w:val="left"/>
        </w:tabs>
        <w:numPr>
          <w:ilvl w:val="0"/>
          <w:numId w:val="32"/>
        </w:numPr>
        <w:rPr>
          <w:rFonts w:ascii="Arial" w:cs="Arial" w:eastAsia="Arial" w:hAnsi="Arial"/>
          <w:sz w:val="16"/>
          <w:szCs w:val="16"/>
          <w:color w:val="auto"/>
          <w:vertAlign w:val="superscript"/>
        </w:rPr>
      </w:pPr>
      <w:r>
        <w:rPr>
          <w:rFonts w:ascii="Arial" w:cs="Arial" w:eastAsia="Arial" w:hAnsi="Arial"/>
          <w:sz w:val="12"/>
          <w:szCs w:val="12"/>
          <w:color w:val="auto"/>
        </w:rPr>
        <w:t>The Vibativ inventory included in the costs of product sold during the period was acquired and paid for by Cumberland as part of the acquisition of the brand during 2018.</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components of the statements of operations discussed above reflect the following impacts from Sancuso:</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ind w:left="20"/>
              <w:spacing w:after="0"/>
              <w:rPr>
                <w:sz w:val="20"/>
                <w:szCs w:val="20"/>
                <w:color w:val="auto"/>
              </w:rPr>
            </w:pPr>
            <w:r>
              <w:rPr>
                <w:rFonts w:ascii="Arial" w:cs="Arial" w:eastAsia="Arial" w:hAnsi="Arial"/>
                <w:sz w:val="18"/>
                <w:szCs w:val="18"/>
                <w:b w:val="1"/>
                <w:bCs w:val="1"/>
                <w:color w:val="auto"/>
              </w:rPr>
              <w:t>Financial Impact of Sancuso</w:t>
            </w:r>
          </w:p>
        </w:tc>
        <w:tc>
          <w:tcPr>
            <w:tcW w:w="44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b w:val="1"/>
                <w:bCs w:val="1"/>
                <w:color w:val="auto"/>
              </w:rPr>
              <w:t>Years ended December 31,</w:t>
            </w:r>
          </w:p>
        </w:tc>
      </w:tr>
      <w:tr>
        <w:trPr>
          <w:trHeight w:val="223"/>
        </w:trPr>
        <w:tc>
          <w:tcPr>
            <w:tcW w:w="7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2021</w:t>
            </w:r>
          </w:p>
        </w:tc>
      </w:tr>
      <w:tr>
        <w:trPr>
          <w:trHeight w:val="229"/>
        </w:trPr>
        <w:tc>
          <w:tcPr>
            <w:tcW w:w="7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revenue </w:t>
            </w:r>
            <w:r>
              <w:rPr>
                <w:rFonts w:ascii="Arial" w:cs="Arial" w:eastAsia="Arial" w:hAnsi="Arial"/>
                <w:sz w:val="23"/>
                <w:szCs w:val="23"/>
                <w:color w:val="auto"/>
                <w:vertAlign w:val="superscript"/>
              </w:rPr>
              <w:t>(1)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13,555,603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30"/>
        </w:trPr>
        <w:tc>
          <w:tcPr>
            <w:tcW w:w="72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Cost of products sold </w:t>
            </w:r>
            <w:r>
              <w:rPr>
                <w:rFonts w:ascii="Arial" w:cs="Arial" w:eastAsia="Arial" w:hAnsi="Arial"/>
                <w:sz w:val="23"/>
                <w:szCs w:val="23"/>
                <w:color w:val="auto"/>
                <w:vertAlign w:val="superscript"/>
              </w:rPr>
              <w:t>(2)</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1,543,600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ind w:left="1220"/>
              <w:spacing w:after="0"/>
              <w:rPr>
                <w:sz w:val="20"/>
                <w:szCs w:val="20"/>
                <w:color w:val="auto"/>
              </w:rPr>
            </w:pPr>
            <w:r>
              <w:rPr>
                <w:rFonts w:ascii="Arial" w:cs="Arial" w:eastAsia="Arial" w:hAnsi="Arial"/>
                <w:sz w:val="18"/>
                <w:szCs w:val="18"/>
                <w:color w:val="auto"/>
              </w:rPr>
              <w:t>—</w:t>
            </w: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and operating expenses</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4,202,026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color w:val="auto"/>
              </w:rPr>
              <w:t>Sancuso contribution</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7,809,977</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w:t>
            </w:r>
          </w:p>
        </w:tc>
      </w:tr>
      <w:tr>
        <w:trPr>
          <w:trHeight w:val="20"/>
        </w:trPr>
        <w:tc>
          <w:tcPr>
            <w:tcW w:w="7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firstLine="8"/>
        <w:spacing w:after="0" w:line="278" w:lineRule="auto"/>
        <w:tabs>
          <w:tab w:leader="none" w:pos="146" w:val="left"/>
        </w:tabs>
        <w:numPr>
          <w:ilvl w:val="0"/>
          <w:numId w:val="33"/>
        </w:numPr>
        <w:rPr>
          <w:rFonts w:ascii="Arial" w:cs="Arial" w:eastAsia="Arial" w:hAnsi="Arial"/>
          <w:sz w:val="16"/>
          <w:szCs w:val="16"/>
          <w:color w:val="auto"/>
          <w:vertAlign w:val="superscript"/>
        </w:rPr>
      </w:pPr>
      <w:r>
        <w:rPr>
          <w:rFonts w:ascii="Arial" w:cs="Arial" w:eastAsia="Arial" w:hAnsi="Arial"/>
          <w:sz w:val="12"/>
          <w:szCs w:val="12"/>
          <w:color w:val="auto"/>
        </w:rPr>
        <w:t>2022 net revenue includes a $250,000 payment to Cumberland required under the terms of a new licensee agreement and a $100,000 payment to Cumberland required under a sales representation agreement.</w:t>
      </w:r>
    </w:p>
    <w:p>
      <w:pPr>
        <w:spacing w:after="0" w:line="70"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33"/>
        </w:numPr>
        <w:rPr>
          <w:rFonts w:ascii="Arial" w:cs="Arial" w:eastAsia="Arial" w:hAnsi="Arial"/>
          <w:sz w:val="16"/>
          <w:szCs w:val="16"/>
          <w:color w:val="auto"/>
          <w:vertAlign w:val="superscript"/>
        </w:rPr>
      </w:pPr>
      <w:r>
        <w:rPr>
          <w:rFonts w:ascii="Arial" w:cs="Arial" w:eastAsia="Arial" w:hAnsi="Arial"/>
          <w:sz w:val="12"/>
          <w:szCs w:val="12"/>
          <w:color w:val="auto"/>
        </w:rPr>
        <w:t>The Sancuso inventory included in the costs of product sold during the period was acquired and paid for by Cumberland as part of the acquisition of the brand during 2022.</w:t>
      </w:r>
    </w:p>
    <w:p>
      <w:pPr>
        <w:spacing w:after="0" w:line="146"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 xml:space="preserve">Amortization. </w:t>
      </w:r>
      <w:r>
        <w:rPr>
          <w:rFonts w:ascii="Arial" w:cs="Arial" w:eastAsia="Arial" w:hAnsi="Arial"/>
          <w:sz w:val="16"/>
          <w:szCs w:val="16"/>
          <w:color w:val="auto"/>
        </w:rPr>
        <w:t>Amortization expenses represent the ratable use of our capitalized intangible assets including product and license rights, patents, trademarks</w:t>
      </w:r>
      <w:r>
        <w:rPr>
          <w:rFonts w:ascii="Arial" w:cs="Arial" w:eastAsia="Arial" w:hAnsi="Arial"/>
          <w:sz w:val="16"/>
          <w:szCs w:val="16"/>
          <w:i w:val="1"/>
          <w:iCs w:val="1"/>
          <w:color w:val="auto"/>
        </w:rPr>
        <w:t xml:space="preserve"> </w:t>
      </w:r>
      <w:r>
        <w:rPr>
          <w:rFonts w:ascii="Arial" w:cs="Arial" w:eastAsia="Arial" w:hAnsi="Arial"/>
          <w:sz w:val="16"/>
          <w:szCs w:val="16"/>
          <w:color w:val="auto"/>
        </w:rPr>
        <w:t>and patent defense costs. Amortization for 2022 totaled approximately $5.1 million which is an increase of $0.7 million due to the addition of Sancuso.</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Income taxes totaled $68,850 for the year ended December 31, 2022, and $34,891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sources of liquidity are cash flows provided by our operations, the amounts borrowed and available under our line of credit and the cash proceeds from our initial public offering of common stock that was completed in August 2009. We believe that our internally generated cash flows, existing working capital and our line of credit will be adequate to finance internal growth, finance business development initiatives, and fund capital expenditures for the foreseeable future.</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2022 and December 31, 2021, all our investments had original maturities of less than ninety days and as a result were classified as cash equivalents.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liquidity and working capital as of the years ended December 31: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w w:val="95"/>
              </w:rPr>
              <w:t>2022</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4"/>
        </w:trPr>
        <w:tc>
          <w:tcPr>
            <w:tcW w:w="240" w:type="dxa"/>
            <w:vAlign w:val="bottom"/>
          </w:tcPr>
          <w:p>
            <w:pPr>
              <w:spacing w:after="0"/>
              <w:rPr>
                <w:sz w:val="24"/>
                <w:szCs w:val="24"/>
                <w:color w:val="auto"/>
              </w:rPr>
            </w:pPr>
          </w:p>
        </w:tc>
        <w:tc>
          <w:tcPr>
            <w:tcW w:w="7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19,757,970</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27,040,816</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40" w:type="dxa"/>
            <w:vAlign w:val="bottom"/>
            <w:tcBorders>
              <w:right w:val="single" w:sz="8" w:color="CCEEFF"/>
            </w:tcBorders>
          </w:tcPr>
          <w:p>
            <w:pPr>
              <w:spacing w:after="0"/>
              <w:rPr>
                <w:sz w:val="21"/>
                <w:szCs w:val="21"/>
                <w:color w:val="auto"/>
              </w:rPr>
            </w:pPr>
          </w:p>
        </w:tc>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cash equivalents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19,757,970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27,040,816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7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4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Borders>
              <w:right w:val="single" w:sz="8" w:color="CCEEFF"/>
            </w:tcBorders>
          </w:tcPr>
          <w:p>
            <w:pPr>
              <w:spacing w:after="0"/>
              <w:rPr>
                <w:sz w:val="19"/>
                <w:szCs w:val="19"/>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(current assets less 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17,290,378</w:t>
            </w:r>
          </w:p>
        </w:tc>
        <w:tc>
          <w:tcPr>
            <w:tcW w:w="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26,409,053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Current ratio (multiple of current assets to current liabilities)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0" w:type="dxa"/>
            <w:vAlign w:val="bottom"/>
            <w:tcBorders>
              <w:right w:val="single" w:sz="8" w:color="CCEEFF"/>
            </w:tcBorders>
          </w:tcPr>
          <w:p>
            <w:pPr>
              <w:spacing w:after="0"/>
              <w:rPr>
                <w:sz w:val="23"/>
                <w:szCs w:val="23"/>
                <w:color w:val="auto"/>
              </w:rPr>
            </w:pPr>
          </w:p>
        </w:tc>
        <w:tc>
          <w:tcPr>
            <w:tcW w:w="718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Revolving line of credit availability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3,800,000</w:t>
            </w:r>
          </w:p>
        </w:tc>
        <w:tc>
          <w:tcPr>
            <w:tcW w:w="12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100" w:type="dxa"/>
            <w:vAlign w:val="bottom"/>
            <w:gridSpan w:val="4"/>
          </w:tcPr>
          <w:p>
            <w:pPr>
              <w:jc w:val="right"/>
              <w:ind w:right="40"/>
              <w:spacing w:after="0"/>
              <w:rPr>
                <w:sz w:val="20"/>
                <w:szCs w:val="20"/>
                <w:color w:val="auto"/>
              </w:rPr>
            </w:pPr>
            <w:r>
              <w:rPr>
                <w:rFonts w:ascii="Arial" w:cs="Arial" w:eastAsia="Arial" w:hAnsi="Arial"/>
                <w:sz w:val="18"/>
                <w:szCs w:val="18"/>
                <w:color w:val="auto"/>
                <w:w w:val="89"/>
              </w:rPr>
              <w:t>The following table summarizes our net changes in cash and cash equivalents for the years ended December 31:</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provided by (used in):</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8,453,396</w:t>
            </w:r>
          </w:p>
        </w:tc>
        <w:tc>
          <w:tcPr>
            <w:tcW w:w="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6,342,443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7180" w:type="dxa"/>
            <w:vAlign w:val="bottom"/>
          </w:tcPr>
          <w:p>
            <w:pPr>
              <w:ind w:left="220"/>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(13,674,456)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(501,893)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(2,061,786)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40" w:type="dxa"/>
            <w:vAlign w:val="bottom"/>
          </w:tcPr>
          <w:p>
            <w:pPr>
              <w:spacing w:after="0"/>
              <w:rPr>
                <w:sz w:val="14"/>
                <w:szCs w:val="14"/>
                <w:color w:val="auto"/>
              </w:rPr>
            </w:pPr>
          </w:p>
        </w:tc>
        <w:tc>
          <w:tcPr>
            <w:tcW w:w="7180" w:type="dxa"/>
            <w:vAlign w:val="bottom"/>
          </w:tcPr>
          <w:p>
            <w:pPr>
              <w:spacing w:after="0" w:line="168" w:lineRule="exact"/>
              <w:rPr>
                <w:sz w:val="20"/>
                <w:szCs w:val="20"/>
                <w:color w:val="auto"/>
              </w:rPr>
            </w:pPr>
            <w:r>
              <w:rPr>
                <w:rFonts w:ascii="Arial" w:cs="Arial" w:eastAsia="Arial" w:hAnsi="Arial"/>
                <w:sz w:val="18"/>
                <w:szCs w:val="18"/>
                <w:color w:val="auto"/>
              </w:rPr>
              <w:t>Net (decrease) increase in cash and</w:t>
            </w:r>
          </w:p>
        </w:tc>
        <w:tc>
          <w:tcPr>
            <w:tcW w:w="68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(7,282,846)</w:t>
            </w:r>
          </w:p>
        </w:tc>
        <w:tc>
          <w:tcPr>
            <w:tcW w:w="120" w:type="dxa"/>
            <w:vAlign w:val="bottom"/>
          </w:tcPr>
          <w:p>
            <w:pPr>
              <w:spacing w:after="0"/>
              <w:rPr>
                <w:sz w:val="14"/>
                <w:szCs w:val="14"/>
                <w:color w:val="auto"/>
              </w:rPr>
            </w:pPr>
          </w:p>
        </w:tc>
        <w:tc>
          <w:tcPr>
            <w:tcW w:w="4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2,287,020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7180" w:type="dxa"/>
            <w:vAlign w:val="bottom"/>
          </w:tcPr>
          <w:p>
            <w:pPr>
              <w:spacing w:after="0" w:line="203" w:lineRule="exact"/>
              <w:rPr>
                <w:sz w:val="20"/>
                <w:szCs w:val="20"/>
                <w:color w:val="auto"/>
              </w:rPr>
            </w:pPr>
            <w:r>
              <w:rPr>
                <w:rFonts w:ascii="Arial" w:cs="Arial" w:eastAsia="Arial" w:hAnsi="Arial"/>
                <w:sz w:val="18"/>
                <w:szCs w:val="18"/>
                <w:color w:val="auto"/>
              </w:rPr>
              <w:t>cash equivalents</w:t>
            </w:r>
          </w:p>
        </w:tc>
        <w:tc>
          <w:tcPr>
            <w:tcW w:w="68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net $7.3 million decrease in cash and cash equivalents for the year ended December 31, 2022, was attributable to cash provided by operating activities offset by cash used in investing and financing activities. Cash provided by operating activities of $8.5 million includes a decrease of inventory of $0.9 million, most of which was Vibativ and Sancuso related, an increase in accounts payable and other accrued liabilities of $14.5 million, partially offset by a $6.1 million increase in accounts receivable and a decrease in non-cash contingent consideration of $2.1 million. Cash used in investing activities of $13.7 million was the result of the acquisition of Sancuso of $13.5 million, additions to intangibles of $2.0 million, additions to property and equipment of $0.1 million and the proceeds of officer life insurance proceeds of $0.9 million. Our financing activities included payments of $2.2 million of contingent consideration for Vibativ and Sancuso and $1.1 million in cash used to repurchase shares of our common stock.</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noted above, we continue to repurchase shares of our common stock, as discussed in Part II, Item 5, </w:t>
      </w:r>
      <w:r>
        <w:rPr>
          <w:rFonts w:ascii="Arial" w:cs="Arial" w:eastAsia="Arial" w:hAnsi="Arial"/>
          <w:sz w:val="18"/>
          <w:szCs w:val="18"/>
          <w:i w:val="1"/>
          <w:iCs w:val="1"/>
          <w:color w:val="auto"/>
        </w:rPr>
        <w:t>"Market for Registrant’s Common Equity,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Stockholder Matters and Issuer Purchases of Equity Securities", </w:t>
      </w:r>
      <w:r>
        <w:rPr>
          <w:rFonts w:ascii="Arial" w:cs="Arial" w:eastAsia="Arial" w:hAnsi="Arial"/>
          <w:sz w:val="18"/>
          <w:szCs w:val="18"/>
          <w:color w:val="auto"/>
        </w:rPr>
        <w:t>of this Form 10-K.</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$2.3 million increase in cash and cash equivalents for the year ended December 31, 2021, was attributable to cash provided by operating activities partially offset by cash used in investing and financing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provided by operating activities of $6.3 million includes a reduction of inventory of $4.8 million, most of which was Vibativ related, and cash payments received of $2.0 million provided by discontinued operations. Cash used in investing activities of $0.5 million was the result of additions to intangibles of $0.3 million, additions to property and equipment of $0.1 million and the payment of $0.2 million to the WHC joint venture. Our financing activities included payments of $2.2 million of contingent consideration for Vibativ and $1.4 million in cash used to repurchase shares of our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2017, the Company filed its Shelf Registration on Form S-3 with the SEC associated with the sale of up to $100 million in corporate securities. The Shelf Registration was declared effective in January 2018. It also included an At the Market ("ATM") feature that allows the Company to sell common shares at market prices, along with an agreement with B. Riley FBR Inc. to support such a placement of shares. The Company filed an updated Form S-3 with the SEC in December 2020, which was declared effective in January 2021.</w:t>
      </w:r>
    </w:p>
    <w:p>
      <w:pPr>
        <w:spacing w:after="0" w:line="10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December 27, 2021, the Company filed a related prospectus supplement in connection with the sale and issuance of shares having an aggregate gross sales price of up to $19 million. The Company amended the At the Market Sales Agreement on December 27, 2021, in order to allow the Company to continue using its ATM feature to sell shares at market prices. The Company intends to continue an ATM feature through B. Riley FBR, Inc. which allows the Company to issue shares of its common stock. The Company did not issue any shares under this ATM during the year ended December 31, 2022.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Agreement</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29, 2022, the Company entered into the Ninth Amendment to the Revolving Credit Loan Agreement with Pinnacle Bank (as amended, the "Pinnacle Agreement") to update the Funded Debt Ratio to mean the ratio of (i) Funded Debt less the amount of Unrestricted Cash in excess of $8,500,000, to (ii) EBITDA, as determined at the end of each fiscal quarter on a rolling four (4) quarter basis. For the year ended December 31, 2022, we were in compliance with the Funded Debt Ratio financial covenant.</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30, 2022, the Company entered into the Eighth Amendment to the Revolving Credit Loan Agreement with Pinnacle Bank permitting the Maximum Funded Debt Ratio to be calculated on a rolling four-quarter basis to be no more than 3.00 to 1.00 for the second and third quarters of 2022 and 2.50 to 1.00 for each quarter thereafter.</w:t>
      </w:r>
    </w:p>
    <w:p>
      <w:pPr>
        <w:spacing w:after="0" w:line="11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March 31, 2022, the Company and Pinnacle Bank entered into a Seventh Amendment to the Revolving Credit Loan Agreement to revise and update the Maximum Funded Debt Ratio financial covenant and to delete from the Pinnacle Agreement the Funded Debt to Tangible Capital Ratio financial covenant. These changes were made to more appropriately reflect the impact from the Sancuso acquisition.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31, 2021, the Company and Pinnacle Bank entered into the Fifth Amendment to the Revolving Credit Note and the Sixth Amendment to the Revolving Credit Loan Agreement in order to increase the principal amount of the Note from $15 million to $20 million. On October 28, 2021, the Company entered into a Fourth Amendment to the Revolving Credit Note and Fifth Amendment to Revolving Credit Loan Agreement with Pinnacle Bank. Among other terms, the Fourth Amendment extended the maturity date to October 1, 2024.</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20, 2020, Cumberland received the funding of a loan from Pinnacle Bank in the aggregate amount of $2,187,140 pursuant to the Paycheck Protection Program (the “PPP”) under the Federal Coronavirus Aid, Relief, and Economic Security Act ("CARES Act"), which was enacted March 27, 2020.</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the terms of the PPP, certain amounts of the loan may be forgiven if they are used for qualifying expenses as described in the CARES Act, including qualifying payroll costs, covered rent payments, and covered utilities. From the date of funding, we have used the loan amount for such qualifying expenses. Due to the assistance from our PPP loan, the Company did not lay off or furlough any employees as a result of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Cumberland elected to account for the proceeds of the loan as a government grant under </w:t>
      </w:r>
      <w:r>
        <w:rPr>
          <w:rFonts w:ascii="Arial" w:cs="Arial" w:eastAsia="Arial" w:hAnsi="Arial"/>
          <w:sz w:val="18"/>
          <w:szCs w:val="18"/>
          <w:i w:val="1"/>
          <w:iCs w:val="1"/>
          <w:color w:val="auto"/>
        </w:rPr>
        <w:t>International Accounting Standard 20 ("IAS 20"),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Government Grants and Disclosure of Government Assistance. </w:t>
      </w:r>
      <w:r>
        <w:rPr>
          <w:rFonts w:ascii="Arial" w:cs="Arial" w:eastAsia="Arial" w:hAnsi="Arial"/>
          <w:sz w:val="18"/>
          <w:szCs w:val="18"/>
          <w:color w:val="auto"/>
        </w:rPr>
        <w:t>The permitted analogous use of IAS 20 outlines a model for the accounting for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including forgivable loans.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2020, Cumberland submitted a request for the loan’s forgiveness. On June 11, 2021, the Company received a formal notice from the SBA that the full amount of the loan was forgiven. The Company accounted for the forgiveness of the PPP loan under IAS 20 and recorded the $2,187,140 as other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Minimum Product Purchase Requirements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manufacturing and supply agreements do not require minimum annual purchase obligations.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cash obligations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cash obligations as of December 31, 2022:</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5"/>
              </w:rPr>
              <w:t>Payments Due by Year</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Contractual obligations</w:t>
            </w:r>
            <w:r>
              <w:rPr>
                <w:rFonts w:ascii="Arial" w:cs="Arial" w:eastAsia="Arial" w:hAnsi="Arial"/>
                <w:sz w:val="21"/>
                <w:szCs w:val="21"/>
                <w:b w:val="1"/>
                <w:bCs w:val="1"/>
                <w:color w:val="auto"/>
                <w:vertAlign w:val="superscript"/>
              </w:rPr>
              <w:t>(1)</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3"/>
                <w:szCs w:val="13"/>
                <w:color w:val="auto"/>
              </w:rPr>
            </w:pPr>
          </w:p>
        </w:tc>
        <w:tc>
          <w:tcPr>
            <w:tcW w:w="1020" w:type="dxa"/>
            <w:vAlign w:val="bottom"/>
            <w:vMerge w:val="restart"/>
          </w:tcPr>
          <w:p>
            <w:pPr>
              <w:jc w:val="right"/>
              <w:ind w:right="411"/>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center"/>
              <w:ind w:right="112"/>
              <w:spacing w:after="0" w:line="158" w:lineRule="exact"/>
              <w:rPr>
                <w:sz w:val="20"/>
                <w:szCs w:val="20"/>
                <w:color w:val="auto"/>
              </w:rPr>
            </w:pPr>
            <w:r>
              <w:rPr>
                <w:rFonts w:ascii="Arial" w:cs="Arial" w:eastAsia="Arial" w:hAnsi="Arial"/>
                <w:sz w:val="16"/>
                <w:szCs w:val="16"/>
                <w:b w:val="1"/>
                <w:bCs w:val="1"/>
                <w:color w:val="auto"/>
                <w:w w:val="90"/>
              </w:rPr>
              <w:t>2026 and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244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gridSpan w:val="2"/>
            <w:vMerge w:val="continue"/>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thereafter</w:t>
            </w:r>
          </w:p>
        </w:tc>
        <w:tc>
          <w:tcPr>
            <w:tcW w:w="0" w:type="dxa"/>
            <w:vAlign w:val="bottom"/>
          </w:tcPr>
          <w:p>
            <w:pPr>
              <w:spacing w:after="0"/>
              <w:rPr>
                <w:sz w:val="1"/>
                <w:szCs w:val="1"/>
                <w:color w:val="auto"/>
              </w:rPr>
            </w:pPr>
          </w:p>
        </w:tc>
      </w:tr>
      <w:tr>
        <w:trPr>
          <w:trHeight w:val="45"/>
        </w:trPr>
        <w:tc>
          <w:tcPr>
            <w:tcW w:w="2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Line of credit</w:t>
            </w:r>
            <w:r>
              <w:rPr>
                <w:rFonts w:ascii="Arial" w:cs="Arial" w:eastAsia="Arial" w:hAnsi="Arial"/>
                <w:sz w:val="23"/>
                <w:szCs w:val="23"/>
                <w:color w:val="auto"/>
                <w:vertAlign w:val="superscript"/>
              </w:rPr>
              <w:t>(2)</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16,200,000</w:t>
            </w:r>
          </w:p>
        </w:tc>
        <w:tc>
          <w:tcPr>
            <w:tcW w:w="5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Estimated interest on debt </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1,949,063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1,113,750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835,313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Vibativ contingent consideration</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liability payments </w:t>
            </w:r>
            <w:r>
              <w:rPr>
                <w:rFonts w:ascii="Arial" w:cs="Arial" w:eastAsia="Arial" w:hAnsi="Arial"/>
                <w:sz w:val="23"/>
                <w:szCs w:val="23"/>
                <w:color w:val="auto"/>
                <w:vertAlign w:val="superscript"/>
              </w:rPr>
              <w:t>(3)</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4,154,823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1,008,120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439,749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493,145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452,050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1,761,759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Sancuso contingent</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consideration liability payments</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4,757,000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2,608,393</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426,543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294,970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266,770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1,160,324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(4)</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Operating leases</w:t>
            </w:r>
            <w:r>
              <w:rPr>
                <w:rFonts w:ascii="Arial" w:cs="Arial" w:eastAsia="Arial" w:hAnsi="Arial"/>
                <w:sz w:val="23"/>
                <w:szCs w:val="23"/>
                <w:color w:val="auto"/>
                <w:vertAlign w:val="superscript"/>
              </w:rPr>
              <w:t>(5)</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8,427,446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607,061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575,209</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539,347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604,254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6,101,575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4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35,488,332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5,337,324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18,476,814</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1,327,462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1,323,074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9,023,658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sum of the individual amounts may not agree due to rounding.</w:t>
      </w:r>
    </w:p>
    <w:p>
      <w:pPr>
        <w:spacing w:after="0" w:line="153" w:lineRule="exact"/>
        <w:rPr>
          <w:rFonts w:ascii="Arial" w:cs="Arial" w:eastAsia="Arial" w:hAnsi="Arial"/>
          <w:sz w:val="16"/>
          <w:szCs w:val="16"/>
          <w:color w:val="auto"/>
        </w:rPr>
      </w:pPr>
    </w:p>
    <w:p>
      <w:pPr>
        <w:jc w:val="both"/>
        <w:ind w:left="660" w:hanging="328"/>
        <w:spacing w:after="0" w:line="26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line of credit payments represent the estimated unused line of credit payments and the amount due at maturity. The estimated interest on debt represents the interest on the principal outstanding on the line of credit. These amounts are based on the $16.2 million line of credit assuming the current $16.2 million balance outstanding on December 31, 2022 is consistently outstanding through maturity of October 2024. Interest and unused line of credit payments are due and payable quarterly in arrears.</w:t>
      </w:r>
    </w:p>
    <w:p>
      <w:pPr>
        <w:spacing w:after="0" w:line="114"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contingent consideration liability represents the fair value of the royalty payments of up to 20% of future net sales as part of the Vibativ acquisition.</w:t>
      </w:r>
    </w:p>
    <w:p>
      <w:pPr>
        <w:spacing w:after="0" w:line="165" w:lineRule="exact"/>
        <w:rPr>
          <w:rFonts w:ascii="Arial" w:cs="Arial" w:eastAsia="Arial" w:hAnsi="Arial"/>
          <w:sz w:val="15"/>
          <w:szCs w:val="15"/>
          <w:color w:val="auto"/>
        </w:rPr>
      </w:pPr>
    </w:p>
    <w:p>
      <w:pPr>
        <w:ind w:left="660" w:hanging="328"/>
        <w:spacing w:after="0"/>
        <w:tabs>
          <w:tab w:leader="none" w:pos="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contingent consideration liability represents the fair value of the royalty payments of up to 10% of future net sales as part of the Sancuso acquisition.</w:t>
      </w:r>
    </w:p>
    <w:p>
      <w:pPr>
        <w:spacing w:after="0" w:line="165" w:lineRule="exact"/>
        <w:rPr>
          <w:rFonts w:ascii="Arial" w:cs="Arial" w:eastAsia="Arial" w:hAnsi="Arial"/>
          <w:sz w:val="15"/>
          <w:szCs w:val="15"/>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Broadwest contractual cash obligation began upon commencement in October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During 2022 and 2021 we did not engage in any off-balance sheet arrangements.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June 2016, the FASB issued ASU No. 2016-13, “Financial Instruments-Credit Losses,” which changes the impairment model for most financial assets and certain other instruments. For trade and other receivables, held-to-maturity debt securities, loans and other instruments, companies will be required to use a new forward-looking “expected loss” model that generally will result in the earlier recognition of allowances for losses. For available-for-sale debt securities with unrealized losses, companies will measure credit losses in a manner similar to what they do today, except that the losses will be recognized as allowances rather than as reductions in the amortized cost of the securities. Companies will have to disclose additional information, including information they use to track credit quality by year of origination for most financing receivables. Companies will apply the ASU’s provisions as a cumulative-effect adjustment, if any, to retained earnings as of the beginning of the first reporting period in which the guidance is adopted.</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Related to ASU No. 2016-13 discussed above, in May 2019, the FASB issued ASU 2019-05, "Financial Instruments-Credit Losses (Topic 326): Targeted Transition Relief" which provides transition relief for ASU 2016-13 by providing entities with an alternative to irrevocably electing the fair value option for eligible financial assets measured at amortized cost upon adoption of the new credit losses standard. Certain eligibility requirements must be met and the election must be applied on an instrument-by-instrument basis. The election is not available for either available-for-sale or held-to-maturity debt securities. We adopted both ASU 2016-13 and ASU 2019-05 on January 1, 2023. The adoption of ASU 2016-13 and ASU 2019-05 are not expected to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market risk related to changes in interest rates on our cash on deposit in highly-liquid money market accounts and revolving credit facility. We do not utilize derivative financial instruments or other market risk-sensitive instruments to manage exposure to interest rate changes. The main objective of our cash investment activities is to preserve principal while maximizing interest income through low-risk investments. Our investment policy focuses on principal preservation and liquidity.</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interest rate risk related to our cash and cash equivalents is not material. The risk related to interest rates for these accounts would produce less income than expected if market interest rates fall. Based on current interest rates, we do not believe we are exposed to significant downside risk related to a change in interest on our money market accounts. The Company did not have any investments in marketable securities at December 31, 2022.</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interest rate risk related to borrowings under our line of credit is based on LIBOR plus an interest rate spread. There is no LIBOR minimum and the LIBOR pricing provides for an interest rate spread of 1.75% to 2.75% (representing an interest rate of 6.875% at December 31, 2022). When the LIBOR rate is discontinued, the Pinnacle Agreement allows for the LIBOR rate to be replaced by a Benchmark Rate, which may be the Daily Simple SOFR (Secured Overnight Financing Rate). The Benchmark Rate will be determined in consultation with Pinnacle Bank. As of December 31, 2022, we had $16.2 million in borrowings outstanding under our revolving line of credit.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While we operate primarily in the U.S., we are exposed to foreign currency risk. A portion of our research and development is performed abroad.</w:t>
      </w:r>
    </w:p>
    <w:p>
      <w:pPr>
        <w:spacing w:after="0" w:line="1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Currently, we do not utilize financial instruments to hedge exposure to foreign currency fluctuations. We believe our exposure to foreign currency fluctuation is minimal as our purchases in foreign currency have a maximum exposure of 90 days based on invoice terms with a portion of the exposure being limited to 30 days based on the due date of the invoice. Foreign currency exchange losses were immaterial for 2022, 2021 and 2020. Neither a five percent increase nor decrease from current exchange rates would have had a material effect on our operating results or financial condition.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consolidated financial statements, including the reports of the independent registered public accounting firm, starting on page F-1, which is incorporated herein by reference.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14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Chief Executive Officer and Chief Financial Officer, with the participation of other members of management, have evaluated the effectiveness of our disclosure controls and procedures (as defined in Rules 13a-15(e) and 15d-15(e) under the Securities Exchange Act of 1934, as amended (the "Exchange Act") as of December 31, 2022. Based on such evaluations, our Chief Executive Officer and Chief Financial Officer concluded that, as of such date, our disclosure controls and procedures were effective (at the reasonable assurance level) to ensure that the information required to be disclosed by the Company in the reports that it files or submits under the Exchange Act is recorded, processed, summarized, and reported, within the time periods specified in the SEC’s rules and forms and to ensure that such information is accumulated and communicated to the Company’s management, including its Chief Executive Officer and Chief Financial Officer, as appropriate to allow timely decisions regarding required disclosure.</w:t>
      </w:r>
    </w:p>
    <w:p>
      <w:pPr>
        <w:spacing w:after="0" w:line="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Management’s report on internal control over financial reporting is included on page F-1 of this annual report on Form 10-K, and incorporated herein by reference. During our fourth quarter of 2022, there were no changes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jc w:val="both"/>
        <w:spacing w:after="0" w:line="277" w:lineRule="auto"/>
        <w:rPr>
          <w:sz w:val="20"/>
          <w:szCs w:val="20"/>
          <w:color w:val="auto"/>
        </w:rPr>
      </w:pPr>
      <w:r>
        <w:rPr>
          <w:rFonts w:ascii="Arial" w:cs="Arial" w:eastAsia="Arial" w:hAnsi="Arial"/>
          <w:sz w:val="18"/>
          <w:szCs w:val="18"/>
          <w:color w:val="auto"/>
        </w:rPr>
        <w:t>our internal control over financial reporting (as defined in Rule 13a-15(f) or 15d-15(f)) that have materially affected, or are reasonably likely to materially affect, our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9C: Disclosure Regarding Foreign Jurisdictions that Prevent Inspections.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information called for by Part III of Form 10-K (Item 10 – Directors, Executive Officers and Corporate Governance, Item 11 – Executive Compensation, Item 12 – Security Ownership of Certain Beneficial Owners and Management and Related Stockholder Matters, Item 13 – Certain Relationships and Related Transactions, and Director Independence, Item 14 – Principal Accountant Fees and Services), is incorporated by reference from our proxy statement related to our 2023 annual meeting of shareholders, which is expected to be filed with the SEC on or around March 13,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5" w:name="page76"/>
    <w:bookmarkEnd w:id="75"/>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Financial Statement Schedules.</w:t>
      </w:r>
    </w:p>
    <w:p>
      <w:pPr>
        <w:spacing w:after="0" w:line="162"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Documents filed as part of this report: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ind w:left="660"/>
              <w:spacing w:after="0"/>
              <w:rPr>
                <w:sz w:val="20"/>
                <w:szCs w:val="20"/>
                <w:color w:val="auto"/>
              </w:rPr>
            </w:pPr>
            <w:r>
              <w:rPr>
                <w:rFonts w:ascii="Arial" w:cs="Arial" w:eastAsia="Arial" w:hAnsi="Arial"/>
                <w:sz w:val="18"/>
                <w:szCs w:val="18"/>
                <w:color w:val="auto"/>
              </w:rPr>
              <w:t>1.</w:t>
            </w:r>
          </w:p>
        </w:tc>
        <w:tc>
          <w:tcPr>
            <w:tcW w:w="740" w:type="dxa"/>
            <w:vAlign w:val="bottom"/>
            <w:gridSpan w:val="3"/>
          </w:tcPr>
          <w:p>
            <w:pPr>
              <w:ind w:left="40"/>
              <w:spacing w:after="0"/>
              <w:rPr>
                <w:sz w:val="20"/>
                <w:szCs w:val="20"/>
                <w:color w:val="auto"/>
              </w:rPr>
            </w:pPr>
            <w:r>
              <w:rPr>
                <w:rFonts w:ascii="Arial" w:cs="Arial" w:eastAsia="Arial" w:hAnsi="Arial"/>
                <w:sz w:val="18"/>
                <w:szCs w:val="18"/>
                <w:color w:val="auto"/>
                <w:w w:val="94"/>
              </w:rPr>
              <w:t>Financial</w:t>
            </w: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Statements</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14"/>
          </w:tcPr>
          <w:p>
            <w:pPr>
              <w:jc w:val="center"/>
              <w:spacing w:after="0"/>
              <w:rPr>
                <w:sz w:val="20"/>
                <w:szCs w:val="20"/>
                <w:color w:val="auto"/>
              </w:rPr>
            </w:pPr>
            <w:r>
              <w:rPr>
                <w:rFonts w:ascii="Arial" w:cs="Arial" w:eastAsia="Arial" w:hAnsi="Arial"/>
                <w:sz w:val="16"/>
                <w:szCs w:val="16"/>
                <w:b w:val="1"/>
                <w:bCs w:val="1"/>
                <w:color w:val="auto"/>
                <w:w w:val="91"/>
              </w:rPr>
              <w:t>Page Number</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1"/>
              </w:rPr>
              <w:t>Management’s Report on Internal Control over Financial Reporting</w:t>
            </w:r>
          </w:p>
        </w:tc>
        <w:tc>
          <w:tcPr>
            <w:tcW w:w="2360" w:type="dxa"/>
            <w:vAlign w:val="bottom"/>
            <w:gridSpan w:val="4"/>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Borders>
              <w:top w:val="single" w:sz="8" w:color="auto"/>
              <w:bottom w:val="single" w:sz="8" w:color="3051F2"/>
            </w:tcBorders>
          </w:tcPr>
          <w:p>
            <w:pPr>
              <w:jc w:val="center"/>
              <w:spacing w:after="0"/>
              <w:rPr>
                <w:sz w:val="20"/>
                <w:szCs w:val="20"/>
                <w:color w:val="auto"/>
              </w:rPr>
            </w:pPr>
            <w:r>
              <w:rPr>
                <w:rFonts w:ascii="Arial" w:cs="Arial" w:eastAsia="Arial" w:hAnsi="Arial"/>
                <w:sz w:val="18"/>
                <w:szCs w:val="18"/>
                <w:color w:val="3051F2"/>
                <w:w w:val="96"/>
              </w:rPr>
              <w:t>F-1</w:t>
            </w:r>
          </w:p>
        </w:tc>
        <w:tc>
          <w:tcPr>
            <w:tcW w:w="340" w:type="dxa"/>
            <w:vAlign w:val="bottom"/>
            <w:tcBorders>
              <w:top w:val="single" w:sz="8" w:color="auto"/>
            </w:tcBorders>
            <w:gridSpan w:val="3"/>
          </w:tcPr>
          <w:p>
            <w:pPr>
              <w:spacing w:after="0"/>
              <w:rPr>
                <w:sz w:val="24"/>
                <w:szCs w:val="24"/>
                <w:color w:val="auto"/>
              </w:rPr>
            </w:pPr>
          </w:p>
        </w:tc>
        <w:tc>
          <w:tcPr>
            <w:tcW w:w="280" w:type="dxa"/>
            <w:vAlign w:val="bottom"/>
            <w:gridSpan w:val="7"/>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20" w:type="dxa"/>
            <w:vAlign w:val="bottom"/>
            <w:gridSpan w:val="16"/>
          </w:tcPr>
          <w:p>
            <w:pPr>
              <w:spacing w:after="0"/>
              <w:rPr>
                <w:sz w:val="20"/>
                <w:szCs w:val="20"/>
                <w:color w:val="auto"/>
              </w:rPr>
            </w:pPr>
            <w:r>
              <w:rPr>
                <w:rFonts w:ascii="Arial" w:cs="Arial" w:eastAsia="Arial" w:hAnsi="Arial"/>
                <w:sz w:val="18"/>
                <w:szCs w:val="18"/>
                <w:color w:val="0000FF"/>
                <w:w w:val="93"/>
              </w:rPr>
              <w:t>Reports of Independent Registered Public Accounting Firm – Consolidated Financial Statements</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12"/>
            <w:vMerge w:val="restart"/>
          </w:tcPr>
          <w:p>
            <w:pPr>
              <w:jc w:val="center"/>
              <w:ind w:right="580"/>
              <w:spacing w:after="0"/>
              <w:rPr>
                <w:sz w:val="20"/>
                <w:szCs w:val="20"/>
                <w:color w:val="auto"/>
              </w:rPr>
            </w:pPr>
            <w:r>
              <w:rPr>
                <w:rFonts w:ascii="Arial" w:cs="Arial" w:eastAsia="Arial" w:hAnsi="Arial"/>
                <w:sz w:val="18"/>
                <w:szCs w:val="18"/>
                <w:color w:val="3051F2"/>
                <w:w w:val="96"/>
              </w:rPr>
              <w:t>F-2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960" w:type="dxa"/>
            <w:vAlign w:val="bottom"/>
            <w:tcBorders>
              <w:top w:val="single" w:sz="8" w:color="0000FF"/>
            </w:tcBorders>
            <w:gridSpan w:val="15"/>
          </w:tcPr>
          <w:p>
            <w:pPr>
              <w:spacing w:after="0" w:line="169" w:lineRule="exact"/>
              <w:rPr>
                <w:sz w:val="20"/>
                <w:szCs w:val="20"/>
                <w:color w:val="auto"/>
              </w:rPr>
            </w:pPr>
            <w:r>
              <w:rPr>
                <w:rFonts w:ascii="Arial" w:cs="Arial" w:eastAsia="Arial" w:hAnsi="Arial"/>
                <w:sz w:val="18"/>
                <w:szCs w:val="18"/>
                <w:color w:val="0000FF"/>
              </w:rPr>
              <w:t xml:space="preserve">- FORVIS, LLP (formerly BKD, LLP); Nashville, TN PCAOB ID: </w:t>
            </w:r>
            <w:r>
              <w:rPr>
                <w:rFonts w:ascii="Arial" w:cs="Arial" w:eastAsia="Arial" w:hAnsi="Arial"/>
                <w:sz w:val="18"/>
                <w:szCs w:val="18"/>
                <w:color w:val="000000"/>
              </w:rPr>
              <w:t>686</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12"/>
            <w:vMerge w:val="continue"/>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Consolidated Balance Sheets</w:t>
            </w:r>
          </w:p>
        </w:tc>
        <w:tc>
          <w:tcPr>
            <w:tcW w:w="2400" w:type="dxa"/>
            <w:vAlign w:val="bottom"/>
            <w:gridSpan w:val="5"/>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top w:val="single" w:sz="8" w:color="3051F2"/>
            </w:tcBorders>
          </w:tcPr>
          <w:p>
            <w:pPr>
              <w:jc w:val="center"/>
              <w:spacing w:after="0"/>
              <w:rPr>
                <w:sz w:val="20"/>
                <w:szCs w:val="20"/>
                <w:color w:val="auto"/>
              </w:rPr>
            </w:pPr>
            <w:r>
              <w:rPr>
                <w:rFonts w:ascii="Arial" w:cs="Arial" w:eastAsia="Arial" w:hAnsi="Arial"/>
                <w:sz w:val="18"/>
                <w:szCs w:val="18"/>
                <w:color w:val="3051F2"/>
                <w:w w:val="96"/>
              </w:rPr>
              <w:t>F-5</w:t>
            </w:r>
          </w:p>
        </w:tc>
        <w:tc>
          <w:tcPr>
            <w:tcW w:w="620" w:type="dxa"/>
            <w:vAlign w:val="bottom"/>
            <w:gridSpan w:val="10"/>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9"/>
              </w:rPr>
              <w:t>Consolidated Statements of Operations</w:t>
            </w:r>
          </w:p>
        </w:tc>
        <w:tc>
          <w:tcPr>
            <w:tcW w:w="4400" w:type="dxa"/>
            <w:vAlign w:val="bottom"/>
            <w:gridSpan w:val="8"/>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3051F2"/>
            </w:tcBorders>
          </w:tcPr>
          <w:p>
            <w:pPr>
              <w:jc w:val="center"/>
              <w:spacing w:after="0"/>
              <w:rPr>
                <w:sz w:val="20"/>
                <w:szCs w:val="20"/>
                <w:color w:val="auto"/>
              </w:rPr>
            </w:pPr>
            <w:r>
              <w:rPr>
                <w:rFonts w:ascii="Arial" w:cs="Arial" w:eastAsia="Arial" w:hAnsi="Arial"/>
                <w:sz w:val="18"/>
                <w:szCs w:val="18"/>
                <w:color w:val="3051F2"/>
                <w:w w:val="96"/>
              </w:rPr>
              <w:t>F-6</w:t>
            </w:r>
          </w:p>
        </w:tc>
        <w:tc>
          <w:tcPr>
            <w:tcW w:w="620" w:type="dxa"/>
            <w:vAlign w:val="bottom"/>
            <w:gridSpan w:val="10"/>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20" w:type="dxa"/>
            <w:vAlign w:val="bottom"/>
            <w:gridSpan w:val="16"/>
          </w:tcPr>
          <w:p>
            <w:pPr>
              <w:spacing w:after="0"/>
              <w:rPr>
                <w:sz w:val="20"/>
                <w:szCs w:val="20"/>
                <w:color w:val="auto"/>
              </w:rPr>
            </w:pPr>
            <w:r>
              <w:rPr>
                <w:rFonts w:ascii="Arial" w:cs="Arial" w:eastAsia="Arial" w:hAnsi="Arial"/>
                <w:sz w:val="18"/>
                <w:szCs w:val="18"/>
                <w:color w:val="0000FF"/>
              </w:rPr>
              <w:t>Consolidated Statements of Cash Flows</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12"/>
          </w:tcPr>
          <w:p>
            <w:pPr>
              <w:jc w:val="center"/>
              <w:ind w:right="580"/>
              <w:spacing w:after="0"/>
              <w:rPr>
                <w:sz w:val="20"/>
                <w:szCs w:val="20"/>
                <w:color w:val="auto"/>
              </w:rPr>
            </w:pPr>
            <w:r>
              <w:rPr>
                <w:rFonts w:ascii="Arial" w:cs="Arial" w:eastAsia="Arial" w:hAnsi="Arial"/>
                <w:sz w:val="18"/>
                <w:szCs w:val="18"/>
                <w:color w:val="3051F2"/>
                <w:w w:val="96"/>
              </w:rPr>
              <w:t>F-7</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6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Consolidated Statements of Equity</w:t>
            </w:r>
          </w:p>
        </w:tc>
        <w:tc>
          <w:tcPr>
            <w:tcW w:w="4360" w:type="dxa"/>
            <w:vAlign w:val="bottom"/>
            <w:gridSpan w:val="7"/>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top w:val="single" w:sz="8" w:color="3051F2"/>
            </w:tcBorders>
          </w:tcPr>
          <w:p>
            <w:pPr>
              <w:jc w:val="center"/>
              <w:spacing w:after="0"/>
              <w:rPr>
                <w:sz w:val="20"/>
                <w:szCs w:val="20"/>
                <w:color w:val="auto"/>
              </w:rPr>
            </w:pPr>
            <w:r>
              <w:rPr>
                <w:rFonts w:ascii="Arial" w:cs="Arial" w:eastAsia="Arial" w:hAnsi="Arial"/>
                <w:sz w:val="18"/>
                <w:szCs w:val="18"/>
                <w:color w:val="3051F2"/>
                <w:w w:val="96"/>
              </w:rPr>
              <w:t>F-9</w:t>
            </w:r>
          </w:p>
        </w:tc>
        <w:tc>
          <w:tcPr>
            <w:tcW w:w="620" w:type="dxa"/>
            <w:vAlign w:val="bottom"/>
            <w:gridSpan w:val="10"/>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20" w:type="dxa"/>
            <w:vAlign w:val="bottom"/>
            <w:gridSpan w:val="16"/>
          </w:tcPr>
          <w:p>
            <w:pPr>
              <w:spacing w:after="0"/>
              <w:rPr>
                <w:sz w:val="20"/>
                <w:szCs w:val="20"/>
                <w:color w:val="auto"/>
              </w:rPr>
            </w:pPr>
            <w:r>
              <w:rPr>
                <w:rFonts w:ascii="Arial" w:cs="Arial" w:eastAsia="Arial" w:hAnsi="Arial"/>
                <w:sz w:val="18"/>
                <w:szCs w:val="18"/>
                <w:color w:val="0000FF"/>
              </w:rPr>
              <w:t>Notes to Consolidated Financial Statements</w:t>
            </w:r>
          </w:p>
        </w:tc>
        <w:tc>
          <w:tcPr>
            <w:tcW w:w="320" w:type="dxa"/>
            <w:vAlign w:val="bottom"/>
          </w:tcPr>
          <w:p>
            <w:pPr>
              <w:spacing w:after="0"/>
              <w:rPr>
                <w:sz w:val="24"/>
                <w:szCs w:val="24"/>
                <w:color w:val="auto"/>
              </w:rPr>
            </w:pPr>
          </w:p>
        </w:tc>
        <w:tc>
          <w:tcPr>
            <w:tcW w:w="1220" w:type="dxa"/>
            <w:vAlign w:val="bottom"/>
            <w:gridSpan w:val="13"/>
          </w:tcPr>
          <w:p>
            <w:pPr>
              <w:jc w:val="center"/>
              <w:ind w:right="280"/>
              <w:spacing w:after="0"/>
              <w:rPr>
                <w:sz w:val="20"/>
                <w:szCs w:val="20"/>
                <w:color w:val="auto"/>
              </w:rPr>
            </w:pPr>
            <w:r>
              <w:rPr>
                <w:rFonts w:ascii="Arial" w:cs="Arial" w:eastAsia="Arial" w:hAnsi="Arial"/>
                <w:sz w:val="18"/>
                <w:szCs w:val="18"/>
                <w:color w:val="3051F2"/>
                <w:w w:val="91"/>
              </w:rPr>
              <w:t>F-10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gridSpan w:val="3"/>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40" w:type="dxa"/>
            <w:vAlign w:val="bottom"/>
          </w:tcPr>
          <w:p>
            <w:pPr>
              <w:ind w:left="6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gridSpan w:val="3"/>
          </w:tcPr>
          <w:p>
            <w:pPr>
              <w:ind w:left="260"/>
              <w:spacing w:after="0"/>
              <w:rPr>
                <w:sz w:val="20"/>
                <w:szCs w:val="20"/>
                <w:color w:val="auto"/>
              </w:rPr>
            </w:pPr>
            <w:r>
              <w:rPr>
                <w:rFonts w:ascii="Arial" w:cs="Arial" w:eastAsia="Arial" w:hAnsi="Arial"/>
                <w:sz w:val="18"/>
                <w:szCs w:val="18"/>
                <w:color w:val="auto"/>
              </w:rPr>
              <w:t>Financial</w:t>
            </w:r>
          </w:p>
        </w:tc>
        <w:tc>
          <w:tcPr>
            <w:tcW w:w="1540" w:type="dxa"/>
            <w:vAlign w:val="bottom"/>
            <w:gridSpan w:val="14"/>
          </w:tcPr>
          <w:p>
            <w:pPr>
              <w:ind w:left="240"/>
              <w:spacing w:after="0"/>
              <w:rPr>
                <w:sz w:val="20"/>
                <w:szCs w:val="20"/>
                <w:color w:val="auto"/>
              </w:rPr>
            </w:pPr>
            <w:r>
              <w:rPr>
                <w:rFonts w:ascii="Arial" w:cs="Arial" w:eastAsia="Arial" w:hAnsi="Arial"/>
                <w:sz w:val="18"/>
                <w:szCs w:val="18"/>
                <w:color w:val="auto"/>
              </w:rPr>
              <w:t>Statement</w:t>
            </w:r>
          </w:p>
        </w:tc>
        <w:tc>
          <w:tcPr>
            <w:tcW w:w="1480" w:type="dxa"/>
            <w:vAlign w:val="bottom"/>
          </w:tcPr>
          <w:p>
            <w:pPr>
              <w:jc w:val="right"/>
              <w:spacing w:after="0"/>
              <w:rPr>
                <w:sz w:val="20"/>
                <w:szCs w:val="20"/>
                <w:color w:val="auto"/>
              </w:rPr>
            </w:pPr>
            <w:r>
              <w:rPr>
                <w:rFonts w:ascii="Arial" w:cs="Arial" w:eastAsia="Arial" w:hAnsi="Arial"/>
                <w:sz w:val="18"/>
                <w:szCs w:val="18"/>
                <w:color w:val="auto"/>
              </w:rPr>
              <w:t>Schedule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20" w:type="dxa"/>
            <w:vAlign w:val="bottom"/>
            <w:gridSpan w:val="16"/>
          </w:tcPr>
          <w:p>
            <w:pPr>
              <w:spacing w:after="0"/>
              <w:rPr>
                <w:sz w:val="20"/>
                <w:szCs w:val="20"/>
                <w:color w:val="auto"/>
              </w:rPr>
            </w:pPr>
            <w:r>
              <w:rPr>
                <w:rFonts w:ascii="Arial" w:cs="Arial" w:eastAsia="Arial" w:hAnsi="Arial"/>
                <w:sz w:val="18"/>
                <w:szCs w:val="18"/>
                <w:color w:val="0000FF"/>
              </w:rPr>
              <w:t>Valuation and Qualifying Accounts</w:t>
            </w:r>
          </w:p>
        </w:tc>
        <w:tc>
          <w:tcPr>
            <w:tcW w:w="320" w:type="dxa"/>
            <w:vAlign w:val="bottom"/>
          </w:tcPr>
          <w:p>
            <w:pPr>
              <w:spacing w:after="0"/>
              <w:rPr>
                <w:sz w:val="18"/>
                <w:szCs w:val="18"/>
                <w:color w:val="auto"/>
              </w:rPr>
            </w:pPr>
          </w:p>
        </w:tc>
        <w:tc>
          <w:tcPr>
            <w:tcW w:w="1220" w:type="dxa"/>
            <w:vAlign w:val="bottom"/>
            <w:gridSpan w:val="13"/>
          </w:tcPr>
          <w:p>
            <w:pPr>
              <w:jc w:val="center"/>
              <w:ind w:right="280"/>
              <w:spacing w:after="0"/>
              <w:rPr>
                <w:sz w:val="20"/>
                <w:szCs w:val="20"/>
                <w:color w:val="auto"/>
              </w:rPr>
            </w:pPr>
            <w:r>
              <w:rPr>
                <w:rFonts w:ascii="Arial" w:cs="Arial" w:eastAsia="Arial" w:hAnsi="Arial"/>
                <w:sz w:val="18"/>
                <w:szCs w:val="18"/>
                <w:color w:val="0000FF"/>
                <w:w w:val="91"/>
              </w:rPr>
              <w:t>F-42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940" w:type="dxa"/>
            <w:vAlign w:val="bottom"/>
          </w:tcPr>
          <w:p>
            <w:pPr>
              <w:spacing w:after="0"/>
              <w:rPr>
                <w:sz w:val="20"/>
                <w:szCs w:val="20"/>
                <w:color w:val="auto"/>
              </w:rPr>
            </w:pPr>
            <w:r>
              <w:rPr>
                <w:rFonts w:ascii="Arial" w:cs="Arial" w:eastAsia="Arial" w:hAnsi="Arial"/>
                <w:sz w:val="18"/>
                <w:szCs w:val="18"/>
                <w:i w:val="1"/>
                <w:iCs w:val="1"/>
                <w:color w:val="auto"/>
              </w:rPr>
              <w:t>b.</w:t>
            </w:r>
          </w:p>
        </w:tc>
        <w:tc>
          <w:tcPr>
            <w:tcW w:w="6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3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Exhibits</w:t>
            </w:r>
          </w:p>
        </w:tc>
        <w:tc>
          <w:tcPr>
            <w:tcW w:w="0" w:type="dxa"/>
            <w:vAlign w:val="bottom"/>
          </w:tcPr>
          <w:p>
            <w:pPr>
              <w:spacing w:after="0"/>
              <w:rPr>
                <w:sz w:val="1"/>
                <w:szCs w:val="1"/>
                <w:color w:val="auto"/>
              </w:rPr>
            </w:pPr>
          </w:p>
        </w:tc>
      </w:tr>
      <w:tr>
        <w:trPr>
          <w:trHeight w:val="189"/>
        </w:trPr>
        <w:tc>
          <w:tcPr>
            <w:tcW w:w="16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7"/>
              </w:rPr>
              <w:t>Exhibit</w:t>
            </w: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80" w:type="dxa"/>
            <w:vAlign w:val="bottom"/>
            <w:gridSpan w:val="6"/>
            <w:vMerge w:val="restart"/>
          </w:tcPr>
          <w:p>
            <w:pPr>
              <w:ind w:left="1140"/>
              <w:spacing w:after="0"/>
              <w:rPr>
                <w:sz w:val="20"/>
                <w:szCs w:val="20"/>
                <w:color w:val="auto"/>
              </w:rPr>
            </w:pPr>
            <w:r>
              <w:rPr>
                <w:rFonts w:ascii="Arial" w:cs="Arial" w:eastAsia="Arial" w:hAnsi="Arial"/>
                <w:sz w:val="16"/>
                <w:szCs w:val="16"/>
                <w:b w:val="1"/>
                <w:bCs w:val="1"/>
                <w:color w:val="auto"/>
              </w:rPr>
              <w:t>Description</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6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5"/>
              </w:rPr>
              <w:t>Number</w:t>
            </w: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80" w:type="dxa"/>
            <w:vAlign w:val="bottom"/>
            <w:gridSpan w:val="6"/>
            <w:vMerge w:val="continue"/>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4"/>
        </w:trPr>
        <w:tc>
          <w:tcPr>
            <w:tcW w:w="940" w:type="dxa"/>
            <w:vAlign w:val="bottom"/>
            <w:tcBorders>
              <w:top w:val="single" w:sz="8" w:color="auto"/>
            </w:tcBorders>
          </w:tcPr>
          <w:p>
            <w:pPr>
              <w:jc w:val="center"/>
              <w:ind w:left="552"/>
              <w:spacing w:after="0"/>
              <w:rPr>
                <w:sz w:val="20"/>
                <w:szCs w:val="20"/>
                <w:color w:val="auto"/>
              </w:rPr>
            </w:pPr>
            <w:r>
              <w:rPr>
                <w:rFonts w:ascii="Arial" w:cs="Arial" w:eastAsia="Arial" w:hAnsi="Arial"/>
                <w:sz w:val="18"/>
                <w:szCs w:val="18"/>
                <w:color w:val="auto"/>
                <w:w w:val="87"/>
              </w:rPr>
              <w:t>1.1</w:t>
            </w:r>
          </w:p>
        </w:tc>
        <w:tc>
          <w:tcPr>
            <w:tcW w:w="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60" w:type="dxa"/>
            <w:vAlign w:val="bottom"/>
            <w:tcBorders>
              <w:top w:val="single" w:sz="8" w:color="auto"/>
            </w:tcBorders>
            <w:gridSpan w:val="27"/>
          </w:tcPr>
          <w:p>
            <w:pPr>
              <w:spacing w:after="0"/>
              <w:rPr>
                <w:rFonts w:ascii="Arial" w:cs="Arial" w:eastAsia="Arial" w:hAnsi="Arial"/>
                <w:sz w:val="18"/>
                <w:szCs w:val="18"/>
                <w:color w:val="0000FF"/>
                <w:w w:val="91"/>
              </w:rPr>
            </w:pPr>
            <w:hyperlink r:id="rId85">
              <w:r>
                <w:rPr>
                  <w:rFonts w:ascii="Arial" w:cs="Arial" w:eastAsia="Arial" w:hAnsi="Arial"/>
                  <w:sz w:val="18"/>
                  <w:szCs w:val="18"/>
                  <w:color w:val="0000FF"/>
                  <w:w w:val="91"/>
                </w:rPr>
                <w:t>At Market Issuance Sales Agreement, dated November 7, 2017, by and between Cumberland Pharmaceuticals</w:t>
              </w:r>
            </w:hyperlink>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Inc. and B. Riley FBR, Inc., incorporated herein by reference to the corresponding Exhibit 1.1 of our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940" w:type="dxa"/>
            <w:vAlign w:val="bottom"/>
            <w:tcBorders>
              <w:top w:val="single" w:sz="8" w:color="0000FF"/>
            </w:tcBorders>
            <w:gridSpan w:val="21"/>
          </w:tcPr>
          <w:p>
            <w:pPr>
              <w:spacing w:after="0" w:line="169" w:lineRule="exact"/>
              <w:rPr>
                <w:rFonts w:ascii="Arial" w:cs="Arial" w:eastAsia="Arial" w:hAnsi="Arial"/>
                <w:sz w:val="18"/>
                <w:szCs w:val="18"/>
                <w:color w:val="0000FF"/>
                <w:w w:val="96"/>
              </w:rPr>
            </w:pPr>
            <w:hyperlink r:id="rId85">
              <w:r>
                <w:rPr>
                  <w:rFonts w:ascii="Arial" w:cs="Arial" w:eastAsia="Arial" w:hAnsi="Arial"/>
                  <w:sz w:val="18"/>
                  <w:szCs w:val="18"/>
                  <w:color w:val="0000FF"/>
                  <w:w w:val="96"/>
                </w:rPr>
                <w:t>Registration Statement on Form S-3 (File No. 333-221402) as filed with the SEC on November 7, 2017.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020" w:type="dxa"/>
            <w:vAlign w:val="bottom"/>
            <w:gridSpan w:val="8"/>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80" w:type="dxa"/>
            <w:vAlign w:val="bottom"/>
            <w:gridSpan w:val="8"/>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jc w:val="center"/>
              <w:ind w:left="552"/>
              <w:spacing w:after="0"/>
              <w:rPr>
                <w:sz w:val="20"/>
                <w:szCs w:val="20"/>
                <w:color w:val="auto"/>
              </w:rPr>
            </w:pPr>
            <w:r>
              <w:rPr>
                <w:rFonts w:ascii="Arial" w:cs="Arial" w:eastAsia="Arial" w:hAnsi="Arial"/>
                <w:sz w:val="18"/>
                <w:szCs w:val="18"/>
                <w:color w:val="auto"/>
                <w:w w:val="87"/>
              </w:rPr>
              <w:t>1.2</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gridSpan w:val="27"/>
          </w:tcPr>
          <w:p>
            <w:pPr>
              <w:spacing w:after="0"/>
              <w:rPr>
                <w:rFonts w:ascii="Arial" w:cs="Arial" w:eastAsia="Arial" w:hAnsi="Arial"/>
                <w:sz w:val="18"/>
                <w:szCs w:val="18"/>
                <w:color w:val="0000FF"/>
                <w:w w:val="97"/>
              </w:rPr>
            </w:pPr>
            <w:hyperlink r:id="rId86">
              <w:r>
                <w:rPr>
                  <w:rFonts w:ascii="Arial" w:cs="Arial" w:eastAsia="Arial" w:hAnsi="Arial"/>
                  <w:sz w:val="18"/>
                  <w:szCs w:val="18"/>
                  <w:color w:val="0000FF"/>
                  <w:w w:val="97"/>
                </w:rPr>
                <w:t>Amendment No. 1 to At Market Issuance Sales Agreement, dated December 27, 2021, by and between</w:t>
              </w:r>
            </w:hyperlink>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40" w:type="dxa"/>
            <w:vAlign w:val="bottom"/>
            <w:tcBorders>
              <w:top w:val="single" w:sz="8" w:color="0000FF"/>
            </w:tcBorders>
            <w:gridSpan w:val="26"/>
          </w:tcPr>
          <w:p>
            <w:pPr>
              <w:spacing w:after="0" w:line="156" w:lineRule="exact"/>
              <w:rPr>
                <w:rFonts w:ascii="Arial" w:cs="Arial" w:eastAsia="Arial" w:hAnsi="Arial"/>
                <w:sz w:val="18"/>
                <w:szCs w:val="18"/>
                <w:color w:val="0000FF"/>
                <w:w w:val="98"/>
              </w:rPr>
            </w:pPr>
            <w:hyperlink r:id="rId86">
              <w:r>
                <w:rPr>
                  <w:rFonts w:ascii="Arial" w:cs="Arial" w:eastAsia="Arial" w:hAnsi="Arial"/>
                  <w:sz w:val="18"/>
                  <w:szCs w:val="18"/>
                  <w:color w:val="0000FF"/>
                  <w:w w:val="98"/>
                </w:rPr>
                <w:t>Cumberland Pharmaceuticals Inc. and B. Riley Securities, Inc., incorporated herein by reference to the</w:t>
              </w:r>
            </w:hyperlink>
          </w:p>
        </w:tc>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0" w:type="dxa"/>
            <w:vAlign w:val="bottom"/>
            <w:tcBorders>
              <w:top w:val="single" w:sz="8" w:color="0000FF"/>
              <w:bottom w:val="single" w:sz="8" w:color="0000FF"/>
            </w:tcBorders>
            <w:gridSpan w:val="24"/>
          </w:tcPr>
          <w:p>
            <w:pPr>
              <w:spacing w:after="0" w:line="169" w:lineRule="exact"/>
              <w:rPr>
                <w:rFonts w:ascii="Arial" w:cs="Arial" w:eastAsia="Arial" w:hAnsi="Arial"/>
                <w:sz w:val="18"/>
                <w:szCs w:val="18"/>
                <w:color w:val="0000FF"/>
              </w:rPr>
            </w:pPr>
            <w:hyperlink r:id="rId86">
              <w:r>
                <w:rPr>
                  <w:rFonts w:ascii="Arial" w:cs="Arial" w:eastAsia="Arial" w:hAnsi="Arial"/>
                  <w:sz w:val="18"/>
                  <w:szCs w:val="18"/>
                  <w:color w:val="0000FF"/>
                </w:rPr>
                <w:t>corresponding exhibit 1.2 of the Registrant’s Form 8-K (File No. 001-33637) as filed with the SEC on</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Borders>
              <w:bottom w:val="single" w:sz="8" w:color="0000FF"/>
            </w:tcBorders>
            <w:gridSpan w:val="2"/>
          </w:tcPr>
          <w:p>
            <w:pPr>
              <w:spacing w:after="0" w:line="156" w:lineRule="exact"/>
              <w:rPr>
                <w:rFonts w:ascii="Arial" w:cs="Arial" w:eastAsia="Arial" w:hAnsi="Arial"/>
                <w:sz w:val="18"/>
                <w:szCs w:val="18"/>
                <w:color w:val="0000FF"/>
                <w:w w:val="88"/>
              </w:rPr>
            </w:pPr>
            <w:hyperlink r:id="rId86">
              <w:r>
                <w:rPr>
                  <w:rFonts w:ascii="Arial" w:cs="Arial" w:eastAsia="Arial" w:hAnsi="Arial"/>
                  <w:sz w:val="18"/>
                  <w:szCs w:val="18"/>
                  <w:color w:val="0000FF"/>
                  <w:w w:val="88"/>
                </w:rPr>
                <w:t>December 27, 2021</w:t>
              </w:r>
            </w:hyperlink>
          </w:p>
        </w:tc>
        <w:tc>
          <w:tcPr>
            <w:tcW w:w="5100" w:type="dxa"/>
            <w:vAlign w:val="bottom"/>
            <w:gridSpan w:val="11"/>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940" w:type="dxa"/>
            <w:vAlign w:val="bottom"/>
          </w:tcPr>
          <w:p>
            <w:pPr>
              <w:jc w:val="center"/>
              <w:ind w:left="552"/>
              <w:spacing w:after="0"/>
              <w:rPr>
                <w:sz w:val="20"/>
                <w:szCs w:val="20"/>
                <w:color w:val="auto"/>
              </w:rPr>
            </w:pPr>
            <w:r>
              <w:rPr>
                <w:rFonts w:ascii="Arial" w:cs="Arial" w:eastAsia="Arial" w:hAnsi="Arial"/>
                <w:sz w:val="18"/>
                <w:szCs w:val="18"/>
                <w:color w:val="auto"/>
                <w:w w:val="87"/>
              </w:rPr>
              <w:t>2.1</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gridSpan w:val="27"/>
          </w:tcPr>
          <w:p>
            <w:pPr>
              <w:spacing w:after="0"/>
              <w:rPr>
                <w:rFonts w:ascii="Arial" w:cs="Arial" w:eastAsia="Arial" w:hAnsi="Arial"/>
                <w:sz w:val="18"/>
                <w:szCs w:val="18"/>
                <w:color w:val="0000FF"/>
                <w:w w:val="90"/>
              </w:rPr>
            </w:pPr>
            <w:hyperlink r:id="rId87">
              <w:r>
                <w:rPr>
                  <w:rFonts w:ascii="Arial" w:cs="Arial" w:eastAsia="Arial" w:hAnsi="Arial"/>
                  <w:sz w:val="18"/>
                  <w:szCs w:val="18"/>
                  <w:color w:val="0000FF"/>
                  <w:w w:val="90"/>
                </w:rPr>
                <w:t>Asset Purchase Agreement, dated December 31, 2021, by and between Cumberland Pharmaceuticals Inc. and</w:t>
              </w:r>
            </w:hyperlink>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6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2"/>
              </w:rPr>
            </w:pPr>
            <w:hyperlink r:id="rId87">
              <w:r>
                <w:rPr>
                  <w:rFonts w:ascii="Arial" w:cs="Arial" w:eastAsia="Arial" w:hAnsi="Arial"/>
                  <w:sz w:val="18"/>
                  <w:szCs w:val="18"/>
                  <w:color w:val="0000FF"/>
                  <w:w w:val="92"/>
                </w:rPr>
                <w:t>Kyowa Kirin, Inc., incorporated herein by reference to the corresponding exhibit 2.1 of the Registrant’s Form</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520" w:type="dxa"/>
            <w:vAlign w:val="bottom"/>
            <w:gridSpan w:val="13"/>
          </w:tcPr>
          <w:p>
            <w:pPr>
              <w:spacing w:after="0" w:line="169" w:lineRule="exact"/>
              <w:rPr>
                <w:rFonts w:ascii="Arial" w:cs="Arial" w:eastAsia="Arial" w:hAnsi="Arial"/>
                <w:sz w:val="18"/>
                <w:szCs w:val="18"/>
                <w:color w:val="0000FF"/>
              </w:rPr>
            </w:pPr>
            <w:hyperlink r:id="rId87">
              <w:r>
                <w:rPr>
                  <w:rFonts w:ascii="Arial" w:cs="Arial" w:eastAsia="Arial" w:hAnsi="Arial"/>
                  <w:sz w:val="18"/>
                  <w:szCs w:val="18"/>
                  <w:color w:val="0000FF"/>
                </w:rPr>
                <w:t>8-K (File No. 001- 001-33637) as filed with the SEC on January 6, 2022</w:t>
              </w:r>
            </w:hyperlink>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40" w:type="dxa"/>
            <w:vAlign w:val="bottom"/>
            <w:gridSpan w:val="10"/>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76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jc w:val="center"/>
              <w:ind w:left="552"/>
              <w:spacing w:after="0"/>
              <w:rPr>
                <w:sz w:val="20"/>
                <w:szCs w:val="20"/>
                <w:color w:val="auto"/>
              </w:rPr>
            </w:pPr>
            <w:r>
              <w:rPr>
                <w:rFonts w:ascii="Arial" w:cs="Arial" w:eastAsia="Arial" w:hAnsi="Arial"/>
                <w:sz w:val="18"/>
                <w:szCs w:val="18"/>
                <w:color w:val="auto"/>
                <w:w w:val="87"/>
              </w:rPr>
              <w:t>3.1</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gridSpan w:val="27"/>
          </w:tcPr>
          <w:p>
            <w:pPr>
              <w:spacing w:after="0"/>
              <w:rPr>
                <w:rFonts w:ascii="Arial" w:cs="Arial" w:eastAsia="Arial" w:hAnsi="Arial"/>
                <w:sz w:val="18"/>
                <w:szCs w:val="18"/>
                <w:color w:val="0000FF"/>
                <w:w w:val="92"/>
              </w:rPr>
            </w:pPr>
            <w:hyperlink r:id="rId88">
              <w:r>
                <w:rPr>
                  <w:rFonts w:ascii="Arial" w:cs="Arial" w:eastAsia="Arial" w:hAnsi="Arial"/>
                  <w:sz w:val="18"/>
                  <w:szCs w:val="18"/>
                  <w:color w:val="0000FF"/>
                  <w:w w:val="92"/>
                </w:rPr>
                <w:t>Third Amended and Restated Charter of Cumberland Pharmaceuticals Inc., incorporated herein by reference</w:t>
              </w:r>
            </w:hyperlink>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2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94"/>
              </w:rPr>
            </w:pPr>
            <w:hyperlink r:id="rId88">
              <w:r>
                <w:rPr>
                  <w:rFonts w:ascii="Arial" w:cs="Arial" w:eastAsia="Arial" w:hAnsi="Arial"/>
                  <w:sz w:val="18"/>
                  <w:szCs w:val="18"/>
                  <w:color w:val="0000FF"/>
                  <w:w w:val="94"/>
                </w:rPr>
                <w:t>to the corresponding exhibit to Amendment No. 19 of the Registrant’s Registration Statement on Form S-1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520" w:type="dxa"/>
            <w:vAlign w:val="bottom"/>
            <w:gridSpan w:val="13"/>
          </w:tcPr>
          <w:p>
            <w:pPr>
              <w:spacing w:after="0" w:line="169" w:lineRule="exact"/>
              <w:rPr>
                <w:rFonts w:ascii="Arial" w:cs="Arial" w:eastAsia="Arial" w:hAnsi="Arial"/>
                <w:sz w:val="18"/>
                <w:szCs w:val="18"/>
                <w:color w:val="0000FF"/>
              </w:rPr>
            </w:pPr>
            <w:hyperlink r:id="rId88">
              <w:r>
                <w:rPr>
                  <w:rFonts w:ascii="Arial" w:cs="Arial" w:eastAsia="Arial" w:hAnsi="Arial"/>
                  <w:sz w:val="18"/>
                  <w:szCs w:val="18"/>
                  <w:color w:val="0000FF"/>
                </w:rPr>
                <w:t>(File No. 333-142535) as filed with the SEC on July 17, 2009</w:t>
              </w:r>
            </w:hyperlink>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40" w:type="dxa"/>
            <w:vAlign w:val="bottom"/>
            <w:gridSpan w:val="10"/>
            <w:shd w:val="clear" w:color="auto" w:fill="0000FF"/>
          </w:tcPr>
          <w:p>
            <w:pPr>
              <w:spacing w:after="0" w:line="20" w:lineRule="exact"/>
              <w:rPr>
                <w:sz w:val="1"/>
                <w:szCs w:val="1"/>
                <w:color w:val="auto"/>
              </w:rPr>
            </w:pPr>
          </w:p>
        </w:tc>
        <w:tc>
          <w:tcPr>
            <w:tcW w:w="3540" w:type="dxa"/>
            <w:vAlign w:val="bottom"/>
            <w:gridSpan w:val="1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jc w:val="center"/>
              <w:ind w:left="552"/>
              <w:spacing w:after="0"/>
              <w:rPr>
                <w:sz w:val="20"/>
                <w:szCs w:val="20"/>
                <w:color w:val="auto"/>
              </w:rPr>
            </w:pPr>
            <w:r>
              <w:rPr>
                <w:rFonts w:ascii="Arial" w:cs="Arial" w:eastAsia="Arial" w:hAnsi="Arial"/>
                <w:sz w:val="18"/>
                <w:szCs w:val="18"/>
                <w:color w:val="auto"/>
                <w:w w:val="87"/>
              </w:rPr>
              <w:t>3.2</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gridSpan w:val="27"/>
          </w:tcPr>
          <w:p>
            <w:pPr>
              <w:spacing w:after="0"/>
              <w:rPr>
                <w:rFonts w:ascii="Arial" w:cs="Arial" w:eastAsia="Arial" w:hAnsi="Arial"/>
                <w:sz w:val="18"/>
                <w:szCs w:val="18"/>
                <w:color w:val="0000FF"/>
                <w:w w:val="91"/>
              </w:rPr>
            </w:pPr>
            <w:hyperlink r:id="rId89">
              <w:r>
                <w:rPr>
                  <w:rFonts w:ascii="Arial" w:cs="Arial" w:eastAsia="Arial" w:hAnsi="Arial"/>
                  <w:sz w:val="18"/>
                  <w:szCs w:val="18"/>
                  <w:color w:val="0000FF"/>
                  <w:w w:val="91"/>
                </w:rPr>
                <w:t>Second Amended and Restated Bylaws of Cumberland Pharmaceuticals Inc., incorporated herein by reference</w:t>
              </w:r>
            </w:hyperlink>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8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4"/>
              </w:rPr>
            </w:pPr>
            <w:hyperlink r:id="rId89">
              <w:r>
                <w:rPr>
                  <w:rFonts w:ascii="Arial" w:cs="Arial" w:eastAsia="Arial" w:hAnsi="Arial"/>
                  <w:sz w:val="18"/>
                  <w:szCs w:val="18"/>
                  <w:color w:val="0000FF"/>
                  <w:w w:val="94"/>
                </w:rPr>
                <w:t>to the corresponding exhibit to Amendment No. 19 of the Registrant’s Registration Statement on Form S-1</w:t>
              </w:r>
            </w:hyperlink>
          </w:p>
        </w:tc>
        <w:tc>
          <w:tcPr>
            <w:tcW w:w="80" w:type="dxa"/>
            <w:vAlign w:val="bottom"/>
            <w:tcBorders>
              <w:bottom w:val="single" w:sz="8" w:color="0000FF"/>
            </w:tcBorders>
            <w:gridSpan w:val="4"/>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700"/>
        <w:spacing w:after="0"/>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(File No. 333-142535) as filed with the SEC on July 17, 2009</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jc w:val="center"/>
              <w:ind w:right="570"/>
              <w:spacing w:after="0"/>
              <w:rPr>
                <w:sz w:val="20"/>
                <w:szCs w:val="20"/>
                <w:color w:val="auto"/>
              </w:rPr>
            </w:pPr>
            <w:r>
              <w:rPr>
                <w:rFonts w:ascii="Arial" w:cs="Arial" w:eastAsia="Arial" w:hAnsi="Arial"/>
                <w:sz w:val="18"/>
                <w:szCs w:val="18"/>
                <w:color w:val="auto"/>
                <w:w w:val="87"/>
              </w:rPr>
              <w:t>4.1</w:t>
            </w:r>
          </w:p>
        </w:tc>
        <w:tc>
          <w:tcPr>
            <w:tcW w:w="8300" w:type="dxa"/>
            <w:vAlign w:val="bottom"/>
            <w:gridSpan w:val="30"/>
          </w:tcPr>
          <w:p>
            <w:pPr>
              <w:spacing w:after="0"/>
              <w:rPr>
                <w:rFonts w:ascii="Arial" w:cs="Arial" w:eastAsia="Arial" w:hAnsi="Arial"/>
                <w:sz w:val="18"/>
                <w:szCs w:val="18"/>
                <w:color w:val="0000FF"/>
                <w:w w:val="96"/>
              </w:rPr>
            </w:pPr>
            <w:hyperlink r:id="rId91">
              <w:r>
                <w:rPr>
                  <w:rFonts w:ascii="Arial" w:cs="Arial" w:eastAsia="Arial" w:hAnsi="Arial"/>
                  <w:sz w:val="18"/>
                  <w:szCs w:val="18"/>
                  <w:color w:val="0000FF"/>
                  <w:w w:val="96"/>
                </w:rPr>
                <w:t>Specimen Common Stock Certificate of Cumberland Pharmaceuticals Inc., incorporated herein by reference</w:t>
              </w:r>
            </w:hyperlink>
          </w:p>
        </w:tc>
      </w:tr>
      <w:tr>
        <w:trPr>
          <w:trHeight w:val="156"/>
        </w:trPr>
        <w:tc>
          <w:tcPr>
            <w:tcW w:w="1200" w:type="dxa"/>
            <w:vAlign w:val="bottom"/>
          </w:tcPr>
          <w:p>
            <w:pPr>
              <w:spacing w:after="0"/>
              <w:rPr>
                <w:sz w:val="13"/>
                <w:szCs w:val="13"/>
                <w:color w:val="auto"/>
              </w:rPr>
            </w:pPr>
          </w:p>
        </w:tc>
        <w:tc>
          <w:tcPr>
            <w:tcW w:w="8180" w:type="dxa"/>
            <w:vAlign w:val="bottom"/>
            <w:tcBorders>
              <w:top w:val="single" w:sz="8" w:color="0000FF"/>
            </w:tcBorders>
            <w:gridSpan w:val="24"/>
          </w:tcPr>
          <w:p>
            <w:pPr>
              <w:spacing w:after="0" w:line="156" w:lineRule="exact"/>
              <w:rPr>
                <w:rFonts w:ascii="Arial" w:cs="Arial" w:eastAsia="Arial" w:hAnsi="Arial"/>
                <w:sz w:val="18"/>
                <w:szCs w:val="18"/>
                <w:color w:val="0000FF"/>
                <w:w w:val="97"/>
              </w:rPr>
            </w:pPr>
            <w:hyperlink r:id="rId91">
              <w:r>
                <w:rPr>
                  <w:rFonts w:ascii="Arial" w:cs="Arial" w:eastAsia="Arial" w:hAnsi="Arial"/>
                  <w:sz w:val="18"/>
                  <w:szCs w:val="18"/>
                  <w:color w:val="0000FF"/>
                  <w:w w:val="97"/>
                </w:rPr>
                <w:t>to the corresponding exhibit to Amendment No. 5 of the Registrant’s Registration Statement on Form S-1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79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91">
              <w:r>
                <w:rPr>
                  <w:rFonts w:ascii="Arial" w:cs="Arial" w:eastAsia="Arial" w:hAnsi="Arial"/>
                  <w:sz w:val="18"/>
                  <w:szCs w:val="18"/>
                  <w:color w:val="0000FF"/>
                </w:rPr>
                <w:t>(File No. 333-142535) as filed with the SEC on August 6, 2007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200" w:type="dxa"/>
            <w:vAlign w:val="bottom"/>
          </w:tcPr>
          <w:p>
            <w:pPr>
              <w:jc w:val="center"/>
              <w:ind w:right="570"/>
              <w:spacing w:after="0"/>
              <w:rPr>
                <w:sz w:val="20"/>
                <w:szCs w:val="20"/>
                <w:color w:val="auto"/>
              </w:rPr>
            </w:pPr>
            <w:r>
              <w:rPr>
                <w:rFonts w:ascii="Arial" w:cs="Arial" w:eastAsia="Arial" w:hAnsi="Arial"/>
                <w:sz w:val="18"/>
                <w:szCs w:val="18"/>
                <w:color w:val="auto"/>
                <w:w w:val="87"/>
              </w:rPr>
              <w:t>4.2</w:t>
            </w:r>
          </w:p>
        </w:tc>
        <w:tc>
          <w:tcPr>
            <w:tcW w:w="8300" w:type="dxa"/>
            <w:vAlign w:val="bottom"/>
            <w:gridSpan w:val="30"/>
          </w:tcPr>
          <w:p>
            <w:pPr>
              <w:spacing w:after="0"/>
              <w:rPr>
                <w:rFonts w:ascii="Arial" w:cs="Arial" w:eastAsia="Arial" w:hAnsi="Arial"/>
                <w:sz w:val="18"/>
                <w:szCs w:val="18"/>
                <w:color w:val="0000FF"/>
                <w:w w:val="95"/>
              </w:rPr>
            </w:pPr>
            <w:hyperlink r:id="rId92">
              <w:r>
                <w:rPr>
                  <w:rFonts w:ascii="Arial" w:cs="Arial" w:eastAsia="Arial" w:hAnsi="Arial"/>
                  <w:sz w:val="18"/>
                  <w:szCs w:val="18"/>
                  <w:color w:val="0000FF"/>
                  <w:w w:val="95"/>
                </w:rPr>
                <w:t>Preferred Stock Terms, Rights, and Provisions, incorporated herein by reference to the corresponding exhibit</w:t>
              </w:r>
            </w:hyperlink>
          </w:p>
        </w:tc>
      </w:tr>
      <w:tr>
        <w:trPr>
          <w:trHeight w:val="155"/>
        </w:trPr>
        <w:tc>
          <w:tcPr>
            <w:tcW w:w="1200" w:type="dxa"/>
            <w:vAlign w:val="bottom"/>
          </w:tcPr>
          <w:p>
            <w:pPr>
              <w:spacing w:after="0"/>
              <w:rPr>
                <w:sz w:val="13"/>
                <w:szCs w:val="13"/>
                <w:color w:val="auto"/>
              </w:rPr>
            </w:pPr>
          </w:p>
        </w:tc>
        <w:tc>
          <w:tcPr>
            <w:tcW w:w="8240" w:type="dxa"/>
            <w:vAlign w:val="bottom"/>
            <w:tcBorders>
              <w:top w:val="single" w:sz="8" w:color="0000FF"/>
              <w:bottom w:val="single" w:sz="8" w:color="0000FF"/>
            </w:tcBorders>
            <w:gridSpan w:val="27"/>
          </w:tcPr>
          <w:p>
            <w:pPr>
              <w:spacing w:after="0" w:line="156" w:lineRule="exact"/>
              <w:rPr>
                <w:rFonts w:ascii="Arial" w:cs="Arial" w:eastAsia="Arial" w:hAnsi="Arial"/>
                <w:sz w:val="18"/>
                <w:szCs w:val="18"/>
                <w:color w:val="0000FF"/>
                <w:w w:val="97"/>
              </w:rPr>
            </w:pPr>
            <w:hyperlink r:id="rId92">
              <w:r>
                <w:rPr>
                  <w:rFonts w:ascii="Arial" w:cs="Arial" w:eastAsia="Arial" w:hAnsi="Arial"/>
                  <w:sz w:val="18"/>
                  <w:szCs w:val="18"/>
                  <w:color w:val="0000FF"/>
                  <w:w w:val="97"/>
                </w:rPr>
                <w:t>to Registrant's Registration Statement Form S-3 (File No. 333-221402) as filed with the SEC on December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1740" w:type="dxa"/>
            <w:vAlign w:val="bottom"/>
            <w:gridSpan w:val="3"/>
          </w:tcPr>
          <w:p>
            <w:pPr>
              <w:spacing w:after="0" w:line="156" w:lineRule="exact"/>
              <w:rPr>
                <w:rFonts w:ascii="Arial" w:cs="Arial" w:eastAsia="Arial" w:hAnsi="Arial"/>
                <w:sz w:val="18"/>
                <w:szCs w:val="18"/>
                <w:color w:val="0000FF"/>
              </w:rPr>
            </w:pPr>
            <w:hyperlink r:id="rId92">
              <w:r>
                <w:rPr>
                  <w:rFonts w:ascii="Arial" w:cs="Arial" w:eastAsia="Arial" w:hAnsi="Arial"/>
                  <w:sz w:val="18"/>
                  <w:szCs w:val="18"/>
                  <w:color w:val="0000FF"/>
                </w:rPr>
                <w:t>19, 2017</w:t>
              </w:r>
            </w:hyperlink>
          </w:p>
        </w:tc>
        <w:tc>
          <w:tcPr>
            <w:tcW w:w="2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200" w:type="dxa"/>
            <w:vAlign w:val="bottom"/>
          </w:tcPr>
          <w:p>
            <w:pPr>
              <w:jc w:val="center"/>
              <w:ind w:right="570"/>
              <w:spacing w:after="0"/>
              <w:rPr>
                <w:sz w:val="20"/>
                <w:szCs w:val="20"/>
                <w:color w:val="auto"/>
              </w:rPr>
            </w:pPr>
            <w:r>
              <w:rPr>
                <w:rFonts w:ascii="Arial" w:cs="Arial" w:eastAsia="Arial" w:hAnsi="Arial"/>
                <w:sz w:val="18"/>
                <w:szCs w:val="18"/>
                <w:color w:val="auto"/>
                <w:w w:val="87"/>
              </w:rPr>
              <w:t>4.3</w:t>
            </w:r>
          </w:p>
        </w:tc>
        <w:tc>
          <w:tcPr>
            <w:tcW w:w="8300" w:type="dxa"/>
            <w:vAlign w:val="bottom"/>
            <w:gridSpan w:val="30"/>
          </w:tcPr>
          <w:p>
            <w:pPr>
              <w:spacing w:after="0"/>
              <w:rPr>
                <w:rFonts w:ascii="Arial" w:cs="Arial" w:eastAsia="Arial" w:hAnsi="Arial"/>
                <w:sz w:val="18"/>
                <w:szCs w:val="18"/>
                <w:color w:val="0000FF"/>
              </w:rPr>
            </w:pPr>
            <w:hyperlink r:id="rId93">
              <w:r>
                <w:rPr>
                  <w:rFonts w:ascii="Arial" w:cs="Arial" w:eastAsia="Arial" w:hAnsi="Arial"/>
                  <w:sz w:val="18"/>
                  <w:szCs w:val="18"/>
                  <w:color w:val="0000FF"/>
                </w:rPr>
                <w:t>Form of Senior Indenture, incorporated herein by reference to the corresponding exhibit to Registrant's</w:t>
              </w:r>
            </w:hyperlink>
          </w:p>
        </w:tc>
      </w:tr>
      <w:tr>
        <w:trPr>
          <w:trHeight w:val="156"/>
        </w:trPr>
        <w:tc>
          <w:tcPr>
            <w:tcW w:w="1200" w:type="dxa"/>
            <w:vAlign w:val="bottom"/>
          </w:tcPr>
          <w:p>
            <w:pPr>
              <w:spacing w:after="0"/>
              <w:rPr>
                <w:sz w:val="13"/>
                <w:szCs w:val="13"/>
                <w:color w:val="auto"/>
              </w:rPr>
            </w:pPr>
          </w:p>
        </w:tc>
        <w:tc>
          <w:tcPr>
            <w:tcW w:w="79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93">
              <w:r>
                <w:rPr>
                  <w:rFonts w:ascii="Arial" w:cs="Arial" w:eastAsia="Arial" w:hAnsi="Arial"/>
                  <w:sz w:val="18"/>
                  <w:szCs w:val="18"/>
                  <w:color w:val="0000FF"/>
                </w:rPr>
                <w:t>Registration Statement Form S-3 (File No. 333-221402) as filed with the SEC on November 7,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200" w:type="dxa"/>
            <w:vAlign w:val="bottom"/>
          </w:tcPr>
          <w:p>
            <w:pPr>
              <w:jc w:val="center"/>
              <w:ind w:right="570"/>
              <w:spacing w:after="0"/>
              <w:rPr>
                <w:sz w:val="20"/>
                <w:szCs w:val="20"/>
                <w:color w:val="auto"/>
              </w:rPr>
            </w:pPr>
            <w:r>
              <w:rPr>
                <w:rFonts w:ascii="Arial" w:cs="Arial" w:eastAsia="Arial" w:hAnsi="Arial"/>
                <w:sz w:val="18"/>
                <w:szCs w:val="18"/>
                <w:color w:val="auto"/>
                <w:w w:val="87"/>
              </w:rPr>
              <w:t>4.4</w:t>
            </w:r>
          </w:p>
        </w:tc>
        <w:tc>
          <w:tcPr>
            <w:tcW w:w="8300" w:type="dxa"/>
            <w:vAlign w:val="bottom"/>
            <w:gridSpan w:val="30"/>
          </w:tcPr>
          <w:p>
            <w:pPr>
              <w:spacing w:after="0"/>
              <w:rPr>
                <w:rFonts w:ascii="Arial" w:cs="Arial" w:eastAsia="Arial" w:hAnsi="Arial"/>
                <w:sz w:val="18"/>
                <w:szCs w:val="18"/>
                <w:color w:val="0000FF"/>
                <w:w w:val="95"/>
              </w:rPr>
            </w:pPr>
            <w:hyperlink r:id="rId94">
              <w:r>
                <w:rPr>
                  <w:rFonts w:ascii="Arial" w:cs="Arial" w:eastAsia="Arial" w:hAnsi="Arial"/>
                  <w:sz w:val="18"/>
                  <w:szCs w:val="18"/>
                  <w:color w:val="0000FF"/>
                  <w:w w:val="95"/>
                </w:rPr>
                <w:t>Form of Subordinated Indenture, incorporated herein by reference to the corresponding exhibit to Registrant's</w:t>
              </w:r>
            </w:hyperlink>
          </w:p>
        </w:tc>
      </w:tr>
      <w:tr>
        <w:trPr>
          <w:trHeight w:val="156"/>
        </w:trPr>
        <w:tc>
          <w:tcPr>
            <w:tcW w:w="1200" w:type="dxa"/>
            <w:vAlign w:val="bottom"/>
          </w:tcPr>
          <w:p>
            <w:pPr>
              <w:spacing w:after="0"/>
              <w:rPr>
                <w:sz w:val="13"/>
                <w:szCs w:val="13"/>
                <w:color w:val="auto"/>
              </w:rPr>
            </w:pPr>
          </w:p>
        </w:tc>
        <w:tc>
          <w:tcPr>
            <w:tcW w:w="81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94">
              <w:r>
                <w:rPr>
                  <w:rFonts w:ascii="Arial" w:cs="Arial" w:eastAsia="Arial" w:hAnsi="Arial"/>
                  <w:sz w:val="18"/>
                  <w:szCs w:val="18"/>
                  <w:color w:val="0000FF"/>
                </w:rPr>
                <w:t>Registration Statement Form S-3 (File No. 333-221402) as filed with the SEC on November 7,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200" w:type="dxa"/>
            <w:vAlign w:val="bottom"/>
          </w:tcPr>
          <w:p>
            <w:pPr>
              <w:jc w:val="center"/>
              <w:ind w:right="590"/>
              <w:spacing w:after="0"/>
              <w:rPr>
                <w:sz w:val="20"/>
                <w:szCs w:val="20"/>
                <w:color w:val="auto"/>
              </w:rPr>
            </w:pPr>
            <w:r>
              <w:rPr>
                <w:rFonts w:ascii="Arial" w:cs="Arial" w:eastAsia="Arial" w:hAnsi="Arial"/>
                <w:sz w:val="18"/>
                <w:szCs w:val="18"/>
                <w:color w:val="auto"/>
                <w:w w:val="91"/>
              </w:rPr>
              <w:t>4.5#</w:t>
            </w:r>
          </w:p>
        </w:tc>
        <w:tc>
          <w:tcPr>
            <w:tcW w:w="8300" w:type="dxa"/>
            <w:vAlign w:val="bottom"/>
            <w:gridSpan w:val="30"/>
          </w:tcPr>
          <w:p>
            <w:pPr>
              <w:spacing w:after="0"/>
              <w:rPr>
                <w:rFonts w:ascii="Arial" w:cs="Arial" w:eastAsia="Arial" w:hAnsi="Arial"/>
                <w:sz w:val="18"/>
                <w:szCs w:val="18"/>
                <w:color w:val="0000FF"/>
                <w:w w:val="95"/>
              </w:rPr>
            </w:pPr>
            <w:hyperlink r:id="rId95">
              <w:r>
                <w:rPr>
                  <w:rFonts w:ascii="Arial" w:cs="Arial" w:eastAsia="Arial" w:hAnsi="Arial"/>
                  <w:sz w:val="18"/>
                  <w:szCs w:val="18"/>
                  <w:color w:val="0000FF"/>
                  <w:w w:val="95"/>
                </w:rPr>
                <w:t>Form of Option Agreement under 1999 Stock Option Plan of Cumberland Pharmaceuticals Inc., incorporated</w:t>
              </w:r>
            </w:hyperlink>
          </w:p>
        </w:tc>
      </w:tr>
      <w:tr>
        <w:trPr>
          <w:trHeight w:val="156"/>
        </w:trPr>
        <w:tc>
          <w:tcPr>
            <w:tcW w:w="1200" w:type="dxa"/>
            <w:vAlign w:val="bottom"/>
          </w:tcPr>
          <w:p>
            <w:pPr>
              <w:spacing w:after="0"/>
              <w:rPr>
                <w:sz w:val="13"/>
                <w:szCs w:val="13"/>
                <w:color w:val="auto"/>
              </w:rPr>
            </w:pPr>
          </w:p>
        </w:tc>
        <w:tc>
          <w:tcPr>
            <w:tcW w:w="8180" w:type="dxa"/>
            <w:vAlign w:val="bottom"/>
            <w:tcBorders>
              <w:top w:val="single" w:sz="8" w:color="0000FF"/>
            </w:tcBorders>
            <w:gridSpan w:val="24"/>
          </w:tcPr>
          <w:p>
            <w:pPr>
              <w:spacing w:after="0" w:line="156" w:lineRule="exact"/>
              <w:rPr>
                <w:rFonts w:ascii="Arial" w:cs="Arial" w:eastAsia="Arial" w:hAnsi="Arial"/>
                <w:sz w:val="18"/>
                <w:szCs w:val="18"/>
                <w:color w:val="0000FF"/>
                <w:w w:val="94"/>
              </w:rPr>
            </w:pPr>
            <w:hyperlink r:id="rId95">
              <w:r>
                <w:rPr>
                  <w:rFonts w:ascii="Arial" w:cs="Arial" w:eastAsia="Arial" w:hAnsi="Arial"/>
                  <w:sz w:val="18"/>
                  <w:szCs w:val="18"/>
                  <w:color w:val="0000FF"/>
                  <w:w w:val="94"/>
                </w:rPr>
                <w:t>herein by reference to the corresponding exhibit to the Registrant’s Registration Statement on Form S-1 (File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40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95">
              <w:r>
                <w:rPr>
                  <w:rFonts w:ascii="Arial" w:cs="Arial" w:eastAsia="Arial" w:hAnsi="Arial"/>
                  <w:sz w:val="18"/>
                  <w:szCs w:val="18"/>
                  <w:color w:val="0000FF"/>
                  <w:w w:val="91"/>
                </w:rPr>
                <w:t>No. 333-142535) as filed with the SEC on May 1, 2007</w:t>
              </w:r>
            </w:hyperlink>
          </w:p>
        </w:tc>
        <w:tc>
          <w:tcPr>
            <w:tcW w:w="404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00" w:type="dxa"/>
            <w:vAlign w:val="bottom"/>
          </w:tcPr>
          <w:p>
            <w:pPr>
              <w:jc w:val="center"/>
              <w:ind w:right="590"/>
              <w:spacing w:after="0"/>
              <w:rPr>
                <w:sz w:val="20"/>
                <w:szCs w:val="20"/>
                <w:color w:val="auto"/>
              </w:rPr>
            </w:pPr>
            <w:r>
              <w:rPr>
                <w:rFonts w:ascii="Arial" w:cs="Arial" w:eastAsia="Arial" w:hAnsi="Arial"/>
                <w:sz w:val="18"/>
                <w:szCs w:val="18"/>
                <w:color w:val="auto"/>
                <w:w w:val="87"/>
              </w:rPr>
              <w:t>4.6.1#</w:t>
            </w:r>
          </w:p>
        </w:tc>
        <w:tc>
          <w:tcPr>
            <w:tcW w:w="8300" w:type="dxa"/>
            <w:vAlign w:val="bottom"/>
            <w:gridSpan w:val="30"/>
          </w:tcPr>
          <w:p>
            <w:pPr>
              <w:spacing w:after="0"/>
              <w:rPr>
                <w:rFonts w:ascii="Arial" w:cs="Arial" w:eastAsia="Arial" w:hAnsi="Arial"/>
                <w:sz w:val="18"/>
                <w:szCs w:val="18"/>
                <w:color w:val="0000FF"/>
                <w:w w:val="99"/>
              </w:rPr>
            </w:pPr>
            <w:hyperlink r:id="rId96">
              <w:r>
                <w:rPr>
                  <w:rFonts w:ascii="Arial" w:cs="Arial" w:eastAsia="Arial" w:hAnsi="Arial"/>
                  <w:sz w:val="18"/>
                  <w:szCs w:val="18"/>
                  <w:color w:val="0000FF"/>
                  <w:w w:val="99"/>
                </w:rPr>
                <w:t>Form of Incentive Stock Option Agreement under the Amended and Restated 2007 Long-Term Incentive</w:t>
              </w:r>
            </w:hyperlink>
          </w:p>
        </w:tc>
      </w:tr>
      <w:tr>
        <w:trPr>
          <w:trHeight w:val="156"/>
        </w:trPr>
        <w:tc>
          <w:tcPr>
            <w:tcW w:w="1200" w:type="dxa"/>
            <w:vAlign w:val="bottom"/>
          </w:tcPr>
          <w:p>
            <w:pPr>
              <w:spacing w:after="0"/>
              <w:rPr>
                <w:sz w:val="13"/>
                <w:szCs w:val="13"/>
                <w:color w:val="auto"/>
              </w:rPr>
            </w:pPr>
          </w:p>
        </w:tc>
        <w:tc>
          <w:tcPr>
            <w:tcW w:w="812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8"/>
              </w:rPr>
            </w:pPr>
            <w:hyperlink r:id="rId96">
              <w:r>
                <w:rPr>
                  <w:rFonts w:ascii="Arial" w:cs="Arial" w:eastAsia="Arial" w:hAnsi="Arial"/>
                  <w:sz w:val="18"/>
                  <w:szCs w:val="18"/>
                  <w:color w:val="0000FF"/>
                  <w:w w:val="98"/>
                </w:rPr>
                <w:t>Compensation  Plan  of  Cumberland  Pharmaceuticals  Inc.  incorporated  herein  by  reference  to  the</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8280" w:type="dxa"/>
            <w:vAlign w:val="bottom"/>
            <w:gridSpan w:val="29"/>
          </w:tcPr>
          <w:p>
            <w:pPr>
              <w:spacing w:after="0" w:line="156" w:lineRule="exact"/>
              <w:rPr>
                <w:rFonts w:ascii="Arial" w:cs="Arial" w:eastAsia="Arial" w:hAnsi="Arial"/>
                <w:sz w:val="18"/>
                <w:szCs w:val="18"/>
                <w:color w:val="0000FF"/>
                <w:w w:val="96"/>
              </w:rPr>
            </w:pPr>
            <w:hyperlink r:id="rId96">
              <w:r>
                <w:rPr>
                  <w:rFonts w:ascii="Arial" w:cs="Arial" w:eastAsia="Arial" w:hAnsi="Arial"/>
                  <w:sz w:val="18"/>
                  <w:szCs w:val="18"/>
                  <w:color w:val="0000FF"/>
                  <w:w w:val="96"/>
                </w:rPr>
                <w:t>corresponding exhibit to the Registrant’s Annual Report on Form 10-K (File No. 001-33637) as filed with the</w:t>
              </w:r>
            </w:hyperlink>
          </w:p>
        </w:tc>
        <w:tc>
          <w:tcPr>
            <w:tcW w:w="20" w:type="dxa"/>
            <w:vAlign w:val="bottom"/>
          </w:tcPr>
          <w:p>
            <w:pPr>
              <w:spacing w:after="0"/>
              <w:rPr>
                <w:sz w:val="13"/>
                <w:szCs w:val="13"/>
                <w:color w:val="auto"/>
              </w:rPr>
            </w:pPr>
          </w:p>
        </w:tc>
      </w:tr>
      <w:tr>
        <w:trPr>
          <w:trHeight w:val="169"/>
        </w:trPr>
        <w:tc>
          <w:tcPr>
            <w:tcW w:w="1200" w:type="dxa"/>
            <w:vAlign w:val="bottom"/>
          </w:tcPr>
          <w:p>
            <w:pPr>
              <w:spacing w:after="0"/>
              <w:rPr>
                <w:sz w:val="14"/>
                <w:szCs w:val="14"/>
                <w:color w:val="auto"/>
              </w:rPr>
            </w:pPr>
          </w:p>
        </w:tc>
        <w:tc>
          <w:tcPr>
            <w:tcW w:w="174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89"/>
              </w:rPr>
            </w:pPr>
            <w:hyperlink r:id="rId96">
              <w:r>
                <w:rPr>
                  <w:rFonts w:ascii="Arial" w:cs="Arial" w:eastAsia="Arial" w:hAnsi="Arial"/>
                  <w:sz w:val="18"/>
                  <w:szCs w:val="18"/>
                  <w:color w:val="0000FF"/>
                  <w:w w:val="89"/>
                </w:rPr>
                <w:t>SEC on March 12, 2013</w:t>
              </w:r>
            </w:hyperlink>
          </w:p>
        </w:tc>
        <w:tc>
          <w:tcPr>
            <w:tcW w:w="6200" w:type="dxa"/>
            <w:vAlign w:val="bottom"/>
            <w:tcBorders>
              <w:top w:val="single" w:sz="8" w:color="0000FF"/>
            </w:tcBorders>
            <w:gridSpan w:val="9"/>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4"/>
        </w:trPr>
        <w:tc>
          <w:tcPr>
            <w:tcW w:w="1200" w:type="dxa"/>
            <w:vAlign w:val="bottom"/>
          </w:tcPr>
          <w:p>
            <w:pPr>
              <w:jc w:val="center"/>
              <w:ind w:right="590"/>
              <w:spacing w:after="0"/>
              <w:rPr>
                <w:sz w:val="20"/>
                <w:szCs w:val="20"/>
                <w:color w:val="auto"/>
              </w:rPr>
            </w:pPr>
            <w:r>
              <w:rPr>
                <w:rFonts w:ascii="Arial" w:cs="Arial" w:eastAsia="Arial" w:hAnsi="Arial"/>
                <w:sz w:val="18"/>
                <w:szCs w:val="18"/>
                <w:color w:val="auto"/>
                <w:w w:val="87"/>
              </w:rPr>
              <w:t>4.6.2#</w:t>
            </w:r>
          </w:p>
        </w:tc>
        <w:tc>
          <w:tcPr>
            <w:tcW w:w="8300" w:type="dxa"/>
            <w:vAlign w:val="bottom"/>
            <w:gridSpan w:val="30"/>
          </w:tcPr>
          <w:p>
            <w:pPr>
              <w:spacing w:after="0"/>
              <w:rPr>
                <w:rFonts w:ascii="Arial" w:cs="Arial" w:eastAsia="Arial" w:hAnsi="Arial"/>
                <w:sz w:val="18"/>
                <w:szCs w:val="18"/>
                <w:color w:val="0000FF"/>
                <w:w w:val="95"/>
              </w:rPr>
            </w:pPr>
            <w:hyperlink r:id="rId97">
              <w:r>
                <w:rPr>
                  <w:rFonts w:ascii="Arial" w:cs="Arial" w:eastAsia="Arial" w:hAnsi="Arial"/>
                  <w:sz w:val="18"/>
                  <w:szCs w:val="18"/>
                  <w:color w:val="0000FF"/>
                  <w:w w:val="95"/>
                </w:rPr>
                <w:t>Form of Non-Statutory Stock Option Agreement under the Amended and Restated 2007 Long-Term Incentive</w:t>
              </w:r>
            </w:hyperlink>
          </w:p>
        </w:tc>
      </w:tr>
      <w:tr>
        <w:trPr>
          <w:trHeight w:val="155"/>
        </w:trPr>
        <w:tc>
          <w:tcPr>
            <w:tcW w:w="1200" w:type="dxa"/>
            <w:vAlign w:val="bottom"/>
          </w:tcPr>
          <w:p>
            <w:pPr>
              <w:spacing w:after="0"/>
              <w:rPr>
                <w:sz w:val="13"/>
                <w:szCs w:val="13"/>
                <w:color w:val="auto"/>
              </w:rPr>
            </w:pPr>
          </w:p>
        </w:tc>
        <w:tc>
          <w:tcPr>
            <w:tcW w:w="7920" w:type="dxa"/>
            <w:vAlign w:val="bottom"/>
            <w:tcBorders>
              <w:top w:val="single" w:sz="8" w:color="0000FF"/>
            </w:tcBorders>
            <w:gridSpan w:val="11"/>
          </w:tcPr>
          <w:p>
            <w:pPr>
              <w:spacing w:after="0" w:line="156" w:lineRule="exact"/>
              <w:rPr>
                <w:rFonts w:ascii="Arial" w:cs="Arial" w:eastAsia="Arial" w:hAnsi="Arial"/>
                <w:sz w:val="18"/>
                <w:szCs w:val="18"/>
                <w:color w:val="0000FF"/>
                <w:w w:val="96"/>
              </w:rPr>
            </w:pPr>
            <w:hyperlink r:id="rId97">
              <w:r>
                <w:rPr>
                  <w:rFonts w:ascii="Arial" w:cs="Arial" w:eastAsia="Arial" w:hAnsi="Arial"/>
                  <w:sz w:val="18"/>
                  <w:szCs w:val="18"/>
                  <w:color w:val="0000FF"/>
                  <w:w w:val="96"/>
                </w:rPr>
                <w:t>Compensation  Plan  of  Cumberland  Pharmaceuticals  Inc.  incorporated  herein  by  reference  to  the</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8280" w:type="dxa"/>
            <w:vAlign w:val="bottom"/>
            <w:tcBorders>
              <w:top w:val="single" w:sz="8" w:color="0000FF"/>
            </w:tcBorders>
            <w:gridSpan w:val="29"/>
          </w:tcPr>
          <w:p>
            <w:pPr>
              <w:spacing w:after="0" w:line="156" w:lineRule="exact"/>
              <w:rPr>
                <w:rFonts w:ascii="Arial" w:cs="Arial" w:eastAsia="Arial" w:hAnsi="Arial"/>
                <w:sz w:val="18"/>
                <w:szCs w:val="18"/>
                <w:color w:val="0000FF"/>
                <w:w w:val="96"/>
              </w:rPr>
            </w:pPr>
            <w:hyperlink r:id="rId97">
              <w:r>
                <w:rPr>
                  <w:rFonts w:ascii="Arial" w:cs="Arial" w:eastAsia="Arial" w:hAnsi="Arial"/>
                  <w:sz w:val="18"/>
                  <w:szCs w:val="18"/>
                  <w:color w:val="0000FF"/>
                  <w:w w:val="96"/>
                </w:rPr>
                <w:t>corresponding exhibit to the Registrant’s Annual Report on Form 10-K (File No. 001-33637) as filed with the</w:t>
              </w:r>
            </w:hyperlink>
          </w:p>
        </w:tc>
        <w:tc>
          <w:tcPr>
            <w:tcW w:w="20" w:type="dxa"/>
            <w:vAlign w:val="bottom"/>
          </w:tcPr>
          <w:p>
            <w:pPr>
              <w:spacing w:after="0"/>
              <w:rPr>
                <w:sz w:val="13"/>
                <w:szCs w:val="13"/>
                <w:color w:val="auto"/>
              </w:rPr>
            </w:pPr>
          </w:p>
        </w:tc>
      </w:tr>
      <w:tr>
        <w:trPr>
          <w:trHeight w:val="169"/>
        </w:trPr>
        <w:tc>
          <w:tcPr>
            <w:tcW w:w="1200" w:type="dxa"/>
            <w:vAlign w:val="bottom"/>
          </w:tcPr>
          <w:p>
            <w:pPr>
              <w:spacing w:after="0"/>
              <w:rPr>
                <w:sz w:val="14"/>
                <w:szCs w:val="14"/>
                <w:color w:val="auto"/>
              </w:rPr>
            </w:pPr>
          </w:p>
        </w:tc>
        <w:tc>
          <w:tcPr>
            <w:tcW w:w="174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89"/>
              </w:rPr>
            </w:pPr>
            <w:hyperlink r:id="rId97">
              <w:r>
                <w:rPr>
                  <w:rFonts w:ascii="Arial" w:cs="Arial" w:eastAsia="Arial" w:hAnsi="Arial"/>
                  <w:sz w:val="18"/>
                  <w:szCs w:val="18"/>
                  <w:color w:val="0000FF"/>
                  <w:w w:val="89"/>
                </w:rPr>
                <w:t>SEC on March 12, 2013</w:t>
              </w:r>
            </w:hyperlink>
          </w:p>
        </w:tc>
        <w:tc>
          <w:tcPr>
            <w:tcW w:w="6200" w:type="dxa"/>
            <w:vAlign w:val="bottom"/>
            <w:tcBorders>
              <w:top w:val="single" w:sz="8" w:color="0000FF"/>
            </w:tcBorders>
            <w:gridSpan w:val="9"/>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3"/>
        </w:trPr>
        <w:tc>
          <w:tcPr>
            <w:tcW w:w="1200" w:type="dxa"/>
            <w:vAlign w:val="bottom"/>
          </w:tcPr>
          <w:p>
            <w:pPr>
              <w:jc w:val="center"/>
              <w:ind w:right="590"/>
              <w:spacing w:after="0"/>
              <w:rPr>
                <w:sz w:val="20"/>
                <w:szCs w:val="20"/>
                <w:color w:val="auto"/>
              </w:rPr>
            </w:pPr>
            <w:r>
              <w:rPr>
                <w:rFonts w:ascii="Arial" w:cs="Arial" w:eastAsia="Arial" w:hAnsi="Arial"/>
                <w:sz w:val="18"/>
                <w:szCs w:val="18"/>
                <w:color w:val="auto"/>
                <w:w w:val="91"/>
              </w:rPr>
              <w:t>4.7#</w:t>
            </w:r>
          </w:p>
        </w:tc>
        <w:tc>
          <w:tcPr>
            <w:tcW w:w="8300" w:type="dxa"/>
            <w:vAlign w:val="bottom"/>
            <w:gridSpan w:val="30"/>
          </w:tcPr>
          <w:p>
            <w:pPr>
              <w:spacing w:after="0"/>
              <w:rPr>
                <w:rFonts w:ascii="Arial" w:cs="Arial" w:eastAsia="Arial" w:hAnsi="Arial"/>
                <w:sz w:val="18"/>
                <w:szCs w:val="18"/>
                <w:color w:val="0000FF"/>
              </w:rPr>
            </w:pPr>
            <w:hyperlink r:id="rId98">
              <w:r>
                <w:rPr>
                  <w:rFonts w:ascii="Arial" w:cs="Arial" w:eastAsia="Arial" w:hAnsi="Arial"/>
                  <w:sz w:val="18"/>
                  <w:szCs w:val="18"/>
                  <w:color w:val="0000FF"/>
                </w:rPr>
                <w:t>Form of Non-Statutory Stock Option Agreement under the Amended and Restated 2007 Directors’</w:t>
              </w:r>
            </w:hyperlink>
          </w:p>
        </w:tc>
      </w:tr>
      <w:tr>
        <w:trPr>
          <w:trHeight w:val="156"/>
        </w:trPr>
        <w:tc>
          <w:tcPr>
            <w:tcW w:w="1200" w:type="dxa"/>
            <w:vAlign w:val="bottom"/>
          </w:tcPr>
          <w:p>
            <w:pPr>
              <w:spacing w:after="0"/>
              <w:rPr>
                <w:sz w:val="13"/>
                <w:szCs w:val="13"/>
                <w:color w:val="auto"/>
              </w:rPr>
            </w:pPr>
          </w:p>
        </w:tc>
        <w:tc>
          <w:tcPr>
            <w:tcW w:w="8200" w:type="dxa"/>
            <w:vAlign w:val="bottom"/>
            <w:tcBorders>
              <w:top w:val="single" w:sz="8" w:color="0000FF"/>
            </w:tcBorders>
            <w:gridSpan w:val="25"/>
          </w:tcPr>
          <w:p>
            <w:pPr>
              <w:spacing w:after="0" w:line="156" w:lineRule="exact"/>
              <w:rPr>
                <w:rFonts w:ascii="Arial" w:cs="Arial" w:eastAsia="Arial" w:hAnsi="Arial"/>
                <w:sz w:val="18"/>
                <w:szCs w:val="18"/>
                <w:color w:val="0000FF"/>
                <w:w w:val="99"/>
              </w:rPr>
            </w:pPr>
            <w:hyperlink r:id="rId98">
              <w:r>
                <w:rPr>
                  <w:rFonts w:ascii="Arial" w:cs="Arial" w:eastAsia="Arial" w:hAnsi="Arial"/>
                  <w:sz w:val="18"/>
                  <w:szCs w:val="18"/>
                  <w:color w:val="0000FF"/>
                  <w:w w:val="99"/>
                </w:rPr>
                <w:t>Compensation  Plan  of  Cumberland  Pharmaceuticals  Inc.  incorporated  herein  by  reference  to  the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8280" w:type="dxa"/>
            <w:vAlign w:val="bottom"/>
            <w:tcBorders>
              <w:top w:val="single" w:sz="8" w:color="0000FF"/>
            </w:tcBorders>
            <w:gridSpan w:val="29"/>
          </w:tcPr>
          <w:p>
            <w:pPr>
              <w:spacing w:after="0" w:line="156" w:lineRule="exact"/>
              <w:rPr>
                <w:rFonts w:ascii="Arial" w:cs="Arial" w:eastAsia="Arial" w:hAnsi="Arial"/>
                <w:sz w:val="18"/>
                <w:szCs w:val="18"/>
                <w:color w:val="0000FF"/>
                <w:w w:val="96"/>
              </w:rPr>
            </w:pPr>
            <w:hyperlink r:id="rId98">
              <w:r>
                <w:rPr>
                  <w:rFonts w:ascii="Arial" w:cs="Arial" w:eastAsia="Arial" w:hAnsi="Arial"/>
                  <w:sz w:val="18"/>
                  <w:szCs w:val="18"/>
                  <w:color w:val="0000FF"/>
                  <w:w w:val="96"/>
                </w:rPr>
                <w:t>corresponding exhibit to the Registrant’s Annual Report on Form 10-K (File No. 001-33637) as filed with the</w:t>
              </w:r>
            </w:hyperlink>
          </w:p>
        </w:tc>
        <w:tc>
          <w:tcPr>
            <w:tcW w:w="20" w:type="dxa"/>
            <w:vAlign w:val="bottom"/>
          </w:tcPr>
          <w:p>
            <w:pPr>
              <w:spacing w:after="0"/>
              <w:rPr>
                <w:sz w:val="13"/>
                <w:szCs w:val="13"/>
                <w:color w:val="auto"/>
              </w:rPr>
            </w:pPr>
          </w:p>
        </w:tc>
      </w:tr>
      <w:tr>
        <w:trPr>
          <w:trHeight w:val="169"/>
        </w:trPr>
        <w:tc>
          <w:tcPr>
            <w:tcW w:w="1200" w:type="dxa"/>
            <w:vAlign w:val="bottom"/>
          </w:tcPr>
          <w:p>
            <w:pPr>
              <w:spacing w:after="0"/>
              <w:rPr>
                <w:sz w:val="14"/>
                <w:szCs w:val="14"/>
                <w:color w:val="auto"/>
              </w:rPr>
            </w:pPr>
          </w:p>
        </w:tc>
        <w:tc>
          <w:tcPr>
            <w:tcW w:w="174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89"/>
              </w:rPr>
            </w:pPr>
            <w:hyperlink r:id="rId98">
              <w:r>
                <w:rPr>
                  <w:rFonts w:ascii="Arial" w:cs="Arial" w:eastAsia="Arial" w:hAnsi="Arial"/>
                  <w:sz w:val="18"/>
                  <w:szCs w:val="18"/>
                  <w:color w:val="0000FF"/>
                  <w:w w:val="89"/>
                </w:rPr>
                <w:t>SEC on March 12, 2013</w:t>
              </w:r>
            </w:hyperlink>
          </w:p>
        </w:tc>
        <w:tc>
          <w:tcPr>
            <w:tcW w:w="6200" w:type="dxa"/>
            <w:vAlign w:val="bottom"/>
            <w:tcBorders>
              <w:top w:val="single" w:sz="8" w:color="0000FF"/>
            </w:tcBorders>
            <w:gridSpan w:val="9"/>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3"/>
        </w:trPr>
        <w:tc>
          <w:tcPr>
            <w:tcW w:w="1200" w:type="dxa"/>
            <w:vAlign w:val="bottom"/>
          </w:tcPr>
          <w:p>
            <w:pPr>
              <w:jc w:val="center"/>
              <w:ind w:right="570"/>
              <w:spacing w:after="0"/>
              <w:rPr>
                <w:sz w:val="20"/>
                <w:szCs w:val="20"/>
                <w:color w:val="auto"/>
              </w:rPr>
            </w:pPr>
            <w:r>
              <w:rPr>
                <w:rFonts w:ascii="Arial" w:cs="Arial" w:eastAsia="Arial" w:hAnsi="Arial"/>
                <w:sz w:val="18"/>
                <w:szCs w:val="18"/>
                <w:color w:val="auto"/>
                <w:w w:val="87"/>
              </w:rPr>
              <w:t>4.8</w:t>
            </w:r>
          </w:p>
        </w:tc>
        <w:tc>
          <w:tcPr>
            <w:tcW w:w="8300" w:type="dxa"/>
            <w:vAlign w:val="bottom"/>
            <w:gridSpan w:val="30"/>
          </w:tcPr>
          <w:p>
            <w:pPr>
              <w:spacing w:after="0"/>
              <w:rPr>
                <w:rFonts w:ascii="Arial" w:cs="Arial" w:eastAsia="Arial" w:hAnsi="Arial"/>
                <w:sz w:val="18"/>
                <w:szCs w:val="18"/>
                <w:color w:val="0000FF"/>
                <w:w w:val="97"/>
              </w:rPr>
            </w:pPr>
            <w:hyperlink r:id="rId99">
              <w:r>
                <w:rPr>
                  <w:rFonts w:ascii="Arial" w:cs="Arial" w:eastAsia="Arial" w:hAnsi="Arial"/>
                  <w:sz w:val="18"/>
                  <w:szCs w:val="18"/>
                  <w:color w:val="0000FF"/>
                  <w:w w:val="97"/>
                </w:rPr>
                <w:t>Warrant to Purchase Common Stock of Cumberland Pharmaceuticals Inc., issued to Bank of America, N.A.</w:t>
              </w:r>
            </w:hyperlink>
          </w:p>
        </w:tc>
      </w:tr>
      <w:tr>
        <w:trPr>
          <w:trHeight w:val="155"/>
        </w:trPr>
        <w:tc>
          <w:tcPr>
            <w:tcW w:w="1200" w:type="dxa"/>
            <w:vAlign w:val="bottom"/>
          </w:tcPr>
          <w:p>
            <w:pPr>
              <w:spacing w:after="0"/>
              <w:rPr>
                <w:sz w:val="13"/>
                <w:szCs w:val="13"/>
                <w:color w:val="auto"/>
              </w:rPr>
            </w:pPr>
          </w:p>
        </w:tc>
        <w:tc>
          <w:tcPr>
            <w:tcW w:w="806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5"/>
              </w:rPr>
            </w:pPr>
            <w:hyperlink r:id="rId99">
              <w:r>
                <w:rPr>
                  <w:rFonts w:ascii="Arial" w:cs="Arial" w:eastAsia="Arial" w:hAnsi="Arial"/>
                  <w:sz w:val="18"/>
                  <w:szCs w:val="18"/>
                  <w:color w:val="0000FF"/>
                  <w:w w:val="95"/>
                </w:rPr>
                <w:t>on July 22, 2009, incorporated herein by reference to the corresponding exhibit to the Registrant’s Annual</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8260" w:type="dxa"/>
            <w:vAlign w:val="bottom"/>
            <w:gridSpan w:val="28"/>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Report on Form 10-K (File No. 001-33637) as filed with the SEC on March 19, 2010</w:t>
              </w:r>
            </w:hyperlink>
          </w:p>
        </w:tc>
        <w:tc>
          <w:tcPr>
            <w:tcW w:w="4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20" w:type="dxa"/>
            <w:vAlign w:val="bottom"/>
            <w:gridSpan w:val="4"/>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77"/>
        </w:trPr>
        <w:tc>
          <w:tcPr>
            <w:tcW w:w="1200" w:type="dxa"/>
            <w:vAlign w:val="bottom"/>
          </w:tcPr>
          <w:p>
            <w:pPr>
              <w:jc w:val="center"/>
              <w:ind w:right="570"/>
              <w:spacing w:after="0"/>
              <w:rPr>
                <w:sz w:val="20"/>
                <w:szCs w:val="20"/>
                <w:color w:val="auto"/>
              </w:rPr>
            </w:pPr>
            <w:r>
              <w:rPr>
                <w:rFonts w:ascii="Arial" w:cs="Arial" w:eastAsia="Arial" w:hAnsi="Arial"/>
                <w:sz w:val="18"/>
                <w:szCs w:val="18"/>
                <w:color w:val="auto"/>
                <w:w w:val="87"/>
              </w:rPr>
              <w:t>4.9</w:t>
            </w:r>
          </w:p>
        </w:tc>
        <w:tc>
          <w:tcPr>
            <w:tcW w:w="8300" w:type="dxa"/>
            <w:vAlign w:val="bottom"/>
            <w:gridSpan w:val="30"/>
          </w:tcPr>
          <w:p>
            <w:pPr>
              <w:spacing w:after="0"/>
              <w:rPr>
                <w:rFonts w:ascii="Arial" w:cs="Arial" w:eastAsia="Arial" w:hAnsi="Arial"/>
                <w:sz w:val="18"/>
                <w:szCs w:val="18"/>
                <w:color w:val="0000FF"/>
              </w:rPr>
            </w:pPr>
            <w:hyperlink r:id="rId93">
              <w:r>
                <w:rPr>
                  <w:rFonts w:ascii="Arial" w:cs="Arial" w:eastAsia="Arial" w:hAnsi="Arial"/>
                  <w:sz w:val="18"/>
                  <w:szCs w:val="18"/>
                  <w:color w:val="0000FF"/>
                </w:rPr>
                <w:t>Form of Senior Indenture, incorporated herein by reference to the corresponding exhibit to Registrant's</w:t>
              </w:r>
            </w:hyperlink>
          </w:p>
        </w:tc>
      </w:tr>
      <w:tr>
        <w:trPr>
          <w:trHeight w:val="155"/>
        </w:trPr>
        <w:tc>
          <w:tcPr>
            <w:tcW w:w="1200" w:type="dxa"/>
            <w:vAlign w:val="bottom"/>
          </w:tcPr>
          <w:p>
            <w:pPr>
              <w:spacing w:after="0"/>
              <w:rPr>
                <w:sz w:val="13"/>
                <w:szCs w:val="13"/>
                <w:color w:val="auto"/>
              </w:rPr>
            </w:pPr>
          </w:p>
        </w:tc>
        <w:tc>
          <w:tcPr>
            <w:tcW w:w="7980" w:type="dxa"/>
            <w:vAlign w:val="bottom"/>
            <w:tcBorders>
              <w:top w:val="single" w:sz="8" w:color="0000FF"/>
            </w:tcBorders>
            <w:gridSpan w:val="14"/>
          </w:tcPr>
          <w:p>
            <w:pPr>
              <w:spacing w:after="0" w:line="156" w:lineRule="exact"/>
              <w:rPr>
                <w:rFonts w:ascii="Arial" w:cs="Arial" w:eastAsia="Arial" w:hAnsi="Arial"/>
                <w:sz w:val="18"/>
                <w:szCs w:val="18"/>
                <w:color w:val="0000FF"/>
                <w:w w:val="97"/>
              </w:rPr>
            </w:pPr>
            <w:hyperlink r:id="rId93">
              <w:r>
                <w:rPr>
                  <w:rFonts w:ascii="Arial" w:cs="Arial" w:eastAsia="Arial" w:hAnsi="Arial"/>
                  <w:sz w:val="18"/>
                  <w:szCs w:val="18"/>
                  <w:color w:val="0000FF"/>
                  <w:w w:val="97"/>
                </w:rPr>
                <w:t>Registration Statement Form S-3 (File No. 333-184091) as filed with the SEC on September 25, 2012.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20" w:type="dxa"/>
            <w:vAlign w:val="bottom"/>
            <w:gridSpan w:val="4"/>
            <w:shd w:val="clear" w:color="auto" w:fill="0000FF"/>
          </w:tcPr>
          <w:p>
            <w:pPr>
              <w:spacing w:after="0" w:line="20" w:lineRule="exact"/>
              <w:rPr>
                <w:sz w:val="1"/>
                <w:szCs w:val="1"/>
                <w:color w:val="auto"/>
              </w:rPr>
            </w:pPr>
          </w:p>
        </w:tc>
        <w:tc>
          <w:tcPr>
            <w:tcW w:w="298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77"/>
        </w:trPr>
        <w:tc>
          <w:tcPr>
            <w:tcW w:w="1200" w:type="dxa"/>
            <w:vAlign w:val="bottom"/>
          </w:tcPr>
          <w:p>
            <w:pPr>
              <w:jc w:val="center"/>
              <w:ind w:right="590"/>
              <w:spacing w:after="0"/>
              <w:rPr>
                <w:sz w:val="20"/>
                <w:szCs w:val="20"/>
                <w:color w:val="auto"/>
              </w:rPr>
            </w:pPr>
            <w:r>
              <w:rPr>
                <w:rFonts w:ascii="Arial" w:cs="Arial" w:eastAsia="Arial" w:hAnsi="Arial"/>
                <w:sz w:val="18"/>
                <w:szCs w:val="18"/>
                <w:color w:val="auto"/>
                <w:w w:val="91"/>
              </w:rPr>
              <w:t>4.10</w:t>
            </w:r>
          </w:p>
        </w:tc>
        <w:tc>
          <w:tcPr>
            <w:tcW w:w="8300" w:type="dxa"/>
            <w:vAlign w:val="bottom"/>
            <w:gridSpan w:val="30"/>
          </w:tcPr>
          <w:p>
            <w:pPr>
              <w:spacing w:after="0"/>
              <w:rPr>
                <w:rFonts w:ascii="Arial" w:cs="Arial" w:eastAsia="Arial" w:hAnsi="Arial"/>
                <w:sz w:val="18"/>
                <w:szCs w:val="18"/>
                <w:color w:val="0000FF"/>
                <w:w w:val="95"/>
              </w:rPr>
            </w:pPr>
            <w:hyperlink r:id="rId94">
              <w:r>
                <w:rPr>
                  <w:rFonts w:ascii="Arial" w:cs="Arial" w:eastAsia="Arial" w:hAnsi="Arial"/>
                  <w:sz w:val="18"/>
                  <w:szCs w:val="18"/>
                  <w:color w:val="0000FF"/>
                  <w:w w:val="95"/>
                </w:rPr>
                <w:t>Form of Subordinated Indenture, incorporated herein by reference to the corresponding exhibit to Registrant's</w:t>
              </w:r>
            </w:hyperlink>
          </w:p>
        </w:tc>
      </w:tr>
      <w:tr>
        <w:trPr>
          <w:trHeight w:val="155"/>
        </w:trPr>
        <w:tc>
          <w:tcPr>
            <w:tcW w:w="1200" w:type="dxa"/>
            <w:vAlign w:val="bottom"/>
          </w:tcPr>
          <w:p>
            <w:pPr>
              <w:spacing w:after="0"/>
              <w:rPr>
                <w:sz w:val="13"/>
                <w:szCs w:val="13"/>
                <w:color w:val="auto"/>
              </w:rPr>
            </w:pPr>
          </w:p>
        </w:tc>
        <w:tc>
          <w:tcPr>
            <w:tcW w:w="81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94">
              <w:r>
                <w:rPr>
                  <w:rFonts w:ascii="Arial" w:cs="Arial" w:eastAsia="Arial" w:hAnsi="Arial"/>
                  <w:sz w:val="18"/>
                  <w:szCs w:val="18"/>
                  <w:color w:val="0000FF"/>
                </w:rPr>
                <w:t>Registration Statement Form S-3 (File No. 333-184091) as filed with the SEC on September 25, 2012</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77"/>
        </w:trPr>
        <w:tc>
          <w:tcPr>
            <w:tcW w:w="1200" w:type="dxa"/>
            <w:vAlign w:val="bottom"/>
          </w:tcPr>
          <w:p>
            <w:pPr>
              <w:jc w:val="center"/>
              <w:ind w:right="570"/>
              <w:spacing w:after="0"/>
              <w:rPr>
                <w:sz w:val="20"/>
                <w:szCs w:val="20"/>
                <w:color w:val="auto"/>
              </w:rPr>
            </w:pPr>
            <w:r>
              <w:rPr>
                <w:rFonts w:ascii="Arial" w:cs="Arial" w:eastAsia="Arial" w:hAnsi="Arial"/>
                <w:sz w:val="18"/>
                <w:szCs w:val="18"/>
                <w:color w:val="auto"/>
                <w:w w:val="85"/>
              </w:rPr>
              <w:t>4.11</w:t>
            </w:r>
          </w:p>
        </w:tc>
        <w:tc>
          <w:tcPr>
            <w:tcW w:w="736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Description of Cumberland Pharmaceutical's Common Stock</w:t>
            </w:r>
          </w:p>
        </w:tc>
        <w:tc>
          <w:tcPr>
            <w:tcW w:w="940" w:type="dxa"/>
            <w:vAlign w:val="bottom"/>
            <w:gridSpan w:val="21"/>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20" w:type="dxa"/>
            <w:vAlign w:val="bottom"/>
            <w:gridSpan w:val="4"/>
            <w:shd w:val="clear" w:color="auto" w:fill="0000FF"/>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3"/>
        </w:trPr>
        <w:tc>
          <w:tcPr>
            <w:tcW w:w="1200" w:type="dxa"/>
            <w:vAlign w:val="bottom"/>
          </w:tcPr>
          <w:p>
            <w:pPr>
              <w:jc w:val="center"/>
              <w:ind w:right="590"/>
              <w:spacing w:after="0"/>
              <w:rPr>
                <w:sz w:val="20"/>
                <w:szCs w:val="20"/>
                <w:color w:val="auto"/>
              </w:rPr>
            </w:pPr>
            <w:r>
              <w:rPr>
                <w:rFonts w:ascii="Arial" w:cs="Arial" w:eastAsia="Arial" w:hAnsi="Arial"/>
                <w:sz w:val="18"/>
                <w:szCs w:val="18"/>
                <w:color w:val="auto"/>
                <w:w w:val="88"/>
              </w:rPr>
              <w:t>10.7†</w:t>
            </w:r>
          </w:p>
        </w:tc>
        <w:tc>
          <w:tcPr>
            <w:tcW w:w="8300" w:type="dxa"/>
            <w:vAlign w:val="bottom"/>
            <w:gridSpan w:val="30"/>
          </w:tcPr>
          <w:p>
            <w:pPr>
              <w:spacing w:after="0"/>
              <w:rPr>
                <w:rFonts w:ascii="Arial" w:cs="Arial" w:eastAsia="Arial" w:hAnsi="Arial"/>
                <w:sz w:val="18"/>
                <w:szCs w:val="18"/>
                <w:color w:val="0000FF"/>
                <w:w w:val="96"/>
              </w:rPr>
            </w:pPr>
            <w:hyperlink r:id="rId100">
              <w:r>
                <w:rPr>
                  <w:rFonts w:ascii="Arial" w:cs="Arial" w:eastAsia="Arial" w:hAnsi="Arial"/>
                  <w:sz w:val="18"/>
                  <w:szCs w:val="18"/>
                  <w:color w:val="0000FF"/>
                  <w:w w:val="96"/>
                </w:rPr>
                <w:t>Exclusive Distribution Agreement, effective as of July 1, 2010, by and between Cardinal Health 105, Inc. and</w:t>
              </w:r>
            </w:hyperlink>
          </w:p>
        </w:tc>
      </w:tr>
      <w:tr>
        <w:trPr>
          <w:trHeight w:val="156"/>
        </w:trPr>
        <w:tc>
          <w:tcPr>
            <w:tcW w:w="1200" w:type="dxa"/>
            <w:vAlign w:val="bottom"/>
          </w:tcPr>
          <w:p>
            <w:pPr>
              <w:spacing w:after="0"/>
              <w:rPr>
                <w:sz w:val="13"/>
                <w:szCs w:val="13"/>
                <w:color w:val="auto"/>
              </w:rPr>
            </w:pPr>
          </w:p>
        </w:tc>
        <w:tc>
          <w:tcPr>
            <w:tcW w:w="8140" w:type="dxa"/>
            <w:vAlign w:val="bottom"/>
            <w:tcBorders>
              <w:top w:val="single" w:sz="8" w:color="0000FF"/>
            </w:tcBorders>
            <w:gridSpan w:val="22"/>
          </w:tcPr>
          <w:p>
            <w:pPr>
              <w:spacing w:after="0" w:line="156" w:lineRule="exact"/>
              <w:rPr>
                <w:rFonts w:ascii="Arial" w:cs="Arial" w:eastAsia="Arial" w:hAnsi="Arial"/>
                <w:sz w:val="18"/>
                <w:szCs w:val="18"/>
                <w:color w:val="0000FF"/>
                <w:w w:val="99"/>
              </w:rPr>
            </w:pPr>
            <w:hyperlink r:id="rId100">
              <w:r>
                <w:rPr>
                  <w:rFonts w:ascii="Arial" w:cs="Arial" w:eastAsia="Arial" w:hAnsi="Arial"/>
                  <w:sz w:val="18"/>
                  <w:szCs w:val="18"/>
                  <w:color w:val="0000FF"/>
                  <w:w w:val="99"/>
                </w:rPr>
                <w:t>Cumberland Pharmaceuticals Inc., incorporated herein by reference to the corresponding exhibit of the</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8020" w:type="dxa"/>
            <w:vAlign w:val="bottom"/>
            <w:tcBorders>
              <w:top w:val="single" w:sz="8" w:color="0000FF"/>
            </w:tcBorders>
            <w:gridSpan w:val="16"/>
          </w:tcPr>
          <w:p>
            <w:pPr>
              <w:spacing w:after="0" w:line="156" w:lineRule="exact"/>
              <w:rPr>
                <w:rFonts w:ascii="Arial" w:cs="Arial" w:eastAsia="Arial" w:hAnsi="Arial"/>
                <w:sz w:val="18"/>
                <w:szCs w:val="18"/>
                <w:color w:val="0000FF"/>
                <w:w w:val="96"/>
              </w:rPr>
            </w:pPr>
            <w:hyperlink r:id="rId100">
              <w:r>
                <w:rPr>
                  <w:rFonts w:ascii="Arial" w:cs="Arial" w:eastAsia="Arial" w:hAnsi="Arial"/>
                  <w:sz w:val="18"/>
                  <w:szCs w:val="18"/>
                  <w:color w:val="0000FF"/>
                  <w:w w:val="96"/>
                </w:rPr>
                <w:t>Registrant’s Current Report on Form 8-K (File No. 001-33637) as filed with the SEC on August 13, 2010</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20" w:type="dxa"/>
            <w:vAlign w:val="bottom"/>
            <w:gridSpan w:val="9"/>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77"/>
        </w:trPr>
        <w:tc>
          <w:tcPr>
            <w:tcW w:w="1200" w:type="dxa"/>
            <w:vAlign w:val="bottom"/>
          </w:tcPr>
          <w:p>
            <w:pPr>
              <w:jc w:val="center"/>
              <w:ind w:right="570"/>
              <w:spacing w:after="0"/>
              <w:rPr>
                <w:sz w:val="20"/>
                <w:szCs w:val="20"/>
                <w:color w:val="auto"/>
              </w:rPr>
            </w:pPr>
            <w:r>
              <w:rPr>
                <w:rFonts w:ascii="Arial" w:cs="Arial" w:eastAsia="Arial" w:hAnsi="Arial"/>
                <w:sz w:val="18"/>
                <w:szCs w:val="18"/>
                <w:color w:val="auto"/>
                <w:w w:val="89"/>
              </w:rPr>
              <w:t>10.7.1†</w:t>
            </w:r>
          </w:p>
        </w:tc>
        <w:tc>
          <w:tcPr>
            <w:tcW w:w="8300" w:type="dxa"/>
            <w:vAlign w:val="bottom"/>
            <w:gridSpan w:val="30"/>
          </w:tcPr>
          <w:p>
            <w:pPr>
              <w:spacing w:after="0"/>
              <w:rPr>
                <w:rFonts w:ascii="Arial" w:cs="Arial" w:eastAsia="Arial" w:hAnsi="Arial"/>
                <w:sz w:val="18"/>
                <w:szCs w:val="18"/>
                <w:color w:val="0000FF"/>
              </w:rPr>
            </w:pPr>
            <w:hyperlink r:id="rId101">
              <w:r>
                <w:rPr>
                  <w:rFonts w:ascii="Arial" w:cs="Arial" w:eastAsia="Arial" w:hAnsi="Arial"/>
                  <w:sz w:val="18"/>
                  <w:szCs w:val="18"/>
                  <w:color w:val="0000FF"/>
                </w:rPr>
                <w:t>First Amendment to Exclusive Distribution Agreement, dated March 31, 2013, by and between Cardinal</w:t>
              </w:r>
            </w:hyperlink>
          </w:p>
        </w:tc>
      </w:tr>
      <w:tr>
        <w:trPr>
          <w:trHeight w:val="155"/>
        </w:trPr>
        <w:tc>
          <w:tcPr>
            <w:tcW w:w="1200" w:type="dxa"/>
            <w:vAlign w:val="bottom"/>
          </w:tcPr>
          <w:p>
            <w:pPr>
              <w:spacing w:after="0"/>
              <w:rPr>
                <w:sz w:val="13"/>
                <w:szCs w:val="13"/>
                <w:color w:val="auto"/>
              </w:rPr>
            </w:pPr>
          </w:p>
        </w:tc>
        <w:tc>
          <w:tcPr>
            <w:tcW w:w="80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101">
              <w:r>
                <w:rPr>
                  <w:rFonts w:ascii="Arial" w:cs="Arial" w:eastAsia="Arial" w:hAnsi="Arial"/>
                  <w:sz w:val="18"/>
                  <w:szCs w:val="18"/>
                  <w:color w:val="0000FF"/>
                  <w:w w:val="91"/>
                </w:rPr>
                <w:t>Health 105, Inc. and Cumberland Pharmaceuticals Inc., incorporated herein by reference to the corresponding</w:t>
              </w:r>
            </w:hyperlink>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8220" w:type="dxa"/>
            <w:vAlign w:val="bottom"/>
            <w:gridSpan w:val="26"/>
          </w:tcPr>
          <w:p>
            <w:pPr>
              <w:spacing w:after="0" w:line="156" w:lineRule="exact"/>
              <w:rPr>
                <w:rFonts w:ascii="Arial" w:cs="Arial" w:eastAsia="Arial" w:hAnsi="Arial"/>
                <w:sz w:val="18"/>
                <w:szCs w:val="18"/>
                <w:color w:val="0000FF"/>
                <w:w w:val="95"/>
              </w:rPr>
            </w:pPr>
            <w:hyperlink r:id="rId101">
              <w:r>
                <w:rPr>
                  <w:rFonts w:ascii="Arial" w:cs="Arial" w:eastAsia="Arial" w:hAnsi="Arial"/>
                  <w:sz w:val="18"/>
                  <w:szCs w:val="18"/>
                  <w:color w:val="0000FF"/>
                  <w:w w:val="95"/>
                </w:rPr>
                <w:t>exhibit of the Registrant's Current Report on Form 8-K (File No. 001-33637) as filed with the SEC on June 3,</w:t>
              </w:r>
            </w:hyperlink>
          </w:p>
        </w:tc>
        <w:tc>
          <w:tcPr>
            <w:tcW w:w="80" w:type="dxa"/>
            <w:vAlign w:val="bottom"/>
            <w:gridSpan w:val="4"/>
          </w:tcPr>
          <w:p>
            <w:pPr>
              <w:spacing w:after="0"/>
              <w:rPr>
                <w:sz w:val="13"/>
                <w:szCs w:val="13"/>
                <w:color w:val="auto"/>
              </w:rPr>
            </w:pPr>
          </w:p>
        </w:tc>
      </w:tr>
      <w:tr>
        <w:trPr>
          <w:trHeight w:val="169"/>
        </w:trPr>
        <w:tc>
          <w:tcPr>
            <w:tcW w:w="120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4"/>
              </w:rPr>
            </w:pPr>
            <w:hyperlink r:id="rId101">
              <w:r>
                <w:rPr>
                  <w:rFonts w:ascii="Arial" w:cs="Arial" w:eastAsia="Arial" w:hAnsi="Arial"/>
                  <w:sz w:val="18"/>
                  <w:szCs w:val="18"/>
                  <w:color w:val="0000FF"/>
                  <w:w w:val="84"/>
                </w:rPr>
                <w:t>2013</w:t>
              </w:r>
            </w:hyperlink>
          </w:p>
        </w:tc>
        <w:tc>
          <w:tcPr>
            <w:tcW w:w="26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22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560" w:type="dxa"/>
            <w:vAlign w:val="bottom"/>
            <w:tcBorders>
              <w:top w:val="single" w:sz="8" w:color="0000FF"/>
            </w:tcBorders>
          </w:tcPr>
          <w:p>
            <w:pPr>
              <w:spacing w:after="0"/>
              <w:rPr>
                <w:sz w:val="14"/>
                <w:szCs w:val="14"/>
                <w:color w:val="auto"/>
              </w:rPr>
            </w:pPr>
          </w:p>
        </w:tc>
        <w:tc>
          <w:tcPr>
            <w:tcW w:w="11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200" w:type="dxa"/>
            <w:vAlign w:val="bottom"/>
          </w:tcPr>
          <w:p>
            <w:pPr>
              <w:jc w:val="center"/>
              <w:ind w:right="570"/>
              <w:spacing w:after="0"/>
              <w:rPr>
                <w:sz w:val="20"/>
                <w:szCs w:val="20"/>
                <w:color w:val="auto"/>
              </w:rPr>
            </w:pPr>
            <w:r>
              <w:rPr>
                <w:rFonts w:ascii="Arial" w:cs="Arial" w:eastAsia="Arial" w:hAnsi="Arial"/>
                <w:sz w:val="18"/>
                <w:szCs w:val="18"/>
                <w:color w:val="auto"/>
                <w:w w:val="90"/>
              </w:rPr>
              <w:t>10.10†</w:t>
            </w:r>
          </w:p>
        </w:tc>
        <w:tc>
          <w:tcPr>
            <w:tcW w:w="8300" w:type="dxa"/>
            <w:vAlign w:val="bottom"/>
            <w:gridSpan w:val="30"/>
          </w:tcPr>
          <w:p>
            <w:pPr>
              <w:spacing w:after="0"/>
              <w:rPr>
                <w:rFonts w:ascii="Arial" w:cs="Arial" w:eastAsia="Arial" w:hAnsi="Arial"/>
                <w:sz w:val="18"/>
                <w:szCs w:val="18"/>
                <w:color w:val="0000FF"/>
                <w:w w:val="99"/>
              </w:rPr>
            </w:pPr>
            <w:hyperlink r:id="rId102">
              <w:r>
                <w:rPr>
                  <w:rFonts w:ascii="Arial" w:cs="Arial" w:eastAsia="Arial" w:hAnsi="Arial"/>
                  <w:sz w:val="18"/>
                  <w:szCs w:val="18"/>
                  <w:color w:val="0000FF"/>
                  <w:w w:val="99"/>
                </w:rPr>
                <w:t>License  Agreement,  dated  May  28,  1999,  by  and  between  Vanderbilt  University  and  Cumberland</w:t>
              </w:r>
            </w:hyperlink>
          </w:p>
        </w:tc>
      </w:tr>
      <w:tr>
        <w:trPr>
          <w:trHeight w:val="156"/>
        </w:trPr>
        <w:tc>
          <w:tcPr>
            <w:tcW w:w="1200" w:type="dxa"/>
            <w:vAlign w:val="bottom"/>
          </w:tcPr>
          <w:p>
            <w:pPr>
              <w:spacing w:after="0"/>
              <w:rPr>
                <w:sz w:val="13"/>
                <w:szCs w:val="13"/>
                <w:color w:val="auto"/>
              </w:rPr>
            </w:pPr>
          </w:p>
        </w:tc>
        <w:tc>
          <w:tcPr>
            <w:tcW w:w="8100" w:type="dxa"/>
            <w:vAlign w:val="bottom"/>
            <w:tcBorders>
              <w:top w:val="single" w:sz="8" w:color="0000FF"/>
            </w:tcBorders>
            <w:gridSpan w:val="20"/>
          </w:tcPr>
          <w:p>
            <w:pPr>
              <w:spacing w:after="0" w:line="156" w:lineRule="exact"/>
              <w:rPr>
                <w:rFonts w:ascii="Arial" w:cs="Arial" w:eastAsia="Arial" w:hAnsi="Arial"/>
                <w:sz w:val="18"/>
                <w:szCs w:val="18"/>
                <w:color w:val="0000FF"/>
                <w:w w:val="94"/>
              </w:rPr>
            </w:pPr>
            <w:hyperlink r:id="rId102">
              <w:r>
                <w:rPr>
                  <w:rFonts w:ascii="Arial" w:cs="Arial" w:eastAsia="Arial" w:hAnsi="Arial"/>
                  <w:sz w:val="18"/>
                  <w:szCs w:val="18"/>
                  <w:color w:val="0000FF"/>
                  <w:w w:val="94"/>
                </w:rPr>
                <w:t>Pharmaceuticals Inc., incorporated herein by reference to the corresponding exhibit to Amendment No. 3 of</w:t>
              </w:r>
            </w:hyperlink>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8080" w:type="dxa"/>
            <w:vAlign w:val="bottom"/>
            <w:tcBorders>
              <w:top w:val="single" w:sz="8" w:color="0000FF"/>
            </w:tcBorders>
            <w:gridSpan w:val="19"/>
          </w:tcPr>
          <w:p>
            <w:pPr>
              <w:spacing w:after="0" w:line="156" w:lineRule="exact"/>
              <w:rPr>
                <w:rFonts w:ascii="Arial" w:cs="Arial" w:eastAsia="Arial" w:hAnsi="Arial"/>
                <w:sz w:val="18"/>
                <w:szCs w:val="18"/>
                <w:color w:val="0000FF"/>
                <w:w w:val="93"/>
              </w:rPr>
            </w:pPr>
            <w:hyperlink r:id="rId102">
              <w:r>
                <w:rPr>
                  <w:rFonts w:ascii="Arial" w:cs="Arial" w:eastAsia="Arial" w:hAnsi="Arial"/>
                  <w:sz w:val="18"/>
                  <w:szCs w:val="18"/>
                  <w:color w:val="0000FF"/>
                  <w:w w:val="93"/>
                </w:rPr>
                <w:t>the Registrant’s Registration Statement on Form S-1 (File No. 333-142535) as filed with the SEC on July 11,</w:t>
              </w:r>
            </w:hyperlink>
          </w:p>
        </w:tc>
        <w:tc>
          <w:tcPr>
            <w:tcW w:w="10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9"/>
        </w:trPr>
        <w:tc>
          <w:tcPr>
            <w:tcW w:w="120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4"/>
              </w:rPr>
            </w:pPr>
            <w:hyperlink r:id="rId102">
              <w:r>
                <w:rPr>
                  <w:rFonts w:ascii="Arial" w:cs="Arial" w:eastAsia="Arial" w:hAnsi="Arial"/>
                  <w:sz w:val="18"/>
                  <w:szCs w:val="18"/>
                  <w:color w:val="0000FF"/>
                  <w:w w:val="84"/>
                </w:rPr>
                <w:t>2007</w:t>
              </w:r>
            </w:hyperlink>
          </w:p>
        </w:tc>
        <w:tc>
          <w:tcPr>
            <w:tcW w:w="26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22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560" w:type="dxa"/>
            <w:vAlign w:val="bottom"/>
            <w:tcBorders>
              <w:top w:val="single" w:sz="8" w:color="0000FF"/>
            </w:tcBorders>
          </w:tcPr>
          <w:p>
            <w:pPr>
              <w:spacing w:after="0"/>
              <w:rPr>
                <w:sz w:val="14"/>
                <w:szCs w:val="14"/>
                <w:color w:val="auto"/>
              </w:rPr>
            </w:pPr>
          </w:p>
        </w:tc>
        <w:tc>
          <w:tcPr>
            <w:tcW w:w="11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19"/>
          </w:cols>
          <w:pgMar w:left="840" w:top="1440" w:right="1440" w:bottom="1440" w:gutter="0" w:footer="0" w:header="0"/>
        </w:sectPr>
      </w:pPr>
    </w:p>
    <w:bookmarkStart w:id="77" w:name="page78"/>
    <w:bookmarkEnd w:id="77"/>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8800" w:type="dxa"/>
            <w:vAlign w:val="bottom"/>
            <w:gridSpan w:val="39"/>
          </w:tcPr>
          <w:p>
            <w:pPr>
              <w:ind w:left="240"/>
              <w:spacing w:after="0"/>
              <w:rPr>
                <w:sz w:val="20"/>
                <w:szCs w:val="20"/>
                <w:color w:val="auto"/>
              </w:rPr>
            </w:pPr>
            <w:r>
              <w:rPr>
                <w:rFonts w:ascii="Arial" w:cs="Arial" w:eastAsia="Arial" w:hAnsi="Arial"/>
                <w:sz w:val="18"/>
                <w:szCs w:val="18"/>
                <w:color w:val="auto"/>
              </w:rPr>
              <w:t>Registrant's Quarterly Report on Form 10-Q (File No. 001-33637) as filed with the SEC on May13,</w:t>
            </w:r>
          </w:p>
        </w:tc>
      </w:tr>
      <w:tr>
        <w:trPr>
          <w:trHeight w:val="217"/>
        </w:trPr>
        <w:tc>
          <w:tcPr>
            <w:tcW w:w="880" w:type="dxa"/>
            <w:vAlign w:val="bottom"/>
          </w:tcPr>
          <w:p>
            <w:pPr>
              <w:spacing w:after="0"/>
              <w:rPr>
                <w:sz w:val="18"/>
                <w:szCs w:val="18"/>
                <w:color w:val="auto"/>
              </w:rPr>
            </w:pPr>
          </w:p>
        </w:tc>
        <w:tc>
          <w:tcPr>
            <w:tcW w:w="2500" w:type="dxa"/>
            <w:vAlign w:val="bottom"/>
            <w:gridSpan w:val="2"/>
          </w:tcPr>
          <w:p>
            <w:pPr>
              <w:ind w:left="24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880" w:type="dxa"/>
            <w:vAlign w:val="bottom"/>
          </w:tcPr>
          <w:p>
            <w:pPr>
              <w:jc w:val="center"/>
              <w:ind w:right="150"/>
              <w:spacing w:after="0" w:line="202" w:lineRule="exact"/>
              <w:rPr>
                <w:sz w:val="20"/>
                <w:szCs w:val="20"/>
                <w:color w:val="auto"/>
              </w:rPr>
            </w:pPr>
            <w:r>
              <w:rPr>
                <w:rFonts w:ascii="Arial" w:cs="Arial" w:eastAsia="Arial" w:hAnsi="Arial"/>
                <w:sz w:val="18"/>
                <w:szCs w:val="18"/>
                <w:color w:val="auto"/>
                <w:w w:val="87"/>
              </w:rPr>
              <w:t>10.11#</w:t>
            </w:r>
          </w:p>
        </w:tc>
        <w:tc>
          <w:tcPr>
            <w:tcW w:w="360" w:type="dxa"/>
            <w:vAlign w:val="bottom"/>
          </w:tcPr>
          <w:p>
            <w:pPr>
              <w:spacing w:after="0"/>
              <w:rPr>
                <w:sz w:val="17"/>
                <w:szCs w:val="17"/>
                <w:color w:val="auto"/>
              </w:rPr>
            </w:pPr>
          </w:p>
        </w:tc>
        <w:tc>
          <w:tcPr>
            <w:tcW w:w="8440" w:type="dxa"/>
            <w:vAlign w:val="bottom"/>
            <w:gridSpan w:val="38"/>
          </w:tcPr>
          <w:p>
            <w:pPr>
              <w:spacing w:after="0" w:line="202" w:lineRule="exact"/>
              <w:rPr>
                <w:sz w:val="20"/>
                <w:szCs w:val="20"/>
                <w:color w:val="auto"/>
              </w:rPr>
            </w:pPr>
            <w:r>
              <w:rPr>
                <w:rFonts w:ascii="Arial" w:cs="Arial" w:eastAsia="Arial" w:hAnsi="Arial"/>
                <w:sz w:val="18"/>
                <w:szCs w:val="18"/>
                <w:color w:val="0000FF"/>
                <w:w w:val="99"/>
              </w:rPr>
              <w:t>Employment Agreement dated March 7, 2022, effective as of January 1, 2022, by and between A.J. Kazimi</w:t>
            </w:r>
          </w:p>
        </w:tc>
      </w:tr>
      <w:tr>
        <w:trPr>
          <w:trHeight w:val="156"/>
        </w:trPr>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80" w:type="dxa"/>
            <w:vAlign w:val="bottom"/>
            <w:tcBorders>
              <w:top w:val="single" w:sz="8" w:color="0000FF"/>
              <w:bottom w:val="single" w:sz="8" w:color="0000FF"/>
            </w:tcBorders>
            <w:gridSpan w:val="20"/>
          </w:tcPr>
          <w:p>
            <w:pPr>
              <w:spacing w:after="0" w:line="156" w:lineRule="exact"/>
              <w:rPr>
                <w:sz w:val="20"/>
                <w:szCs w:val="20"/>
                <w:color w:val="auto"/>
              </w:rPr>
            </w:pPr>
            <w:r>
              <w:rPr>
                <w:rFonts w:ascii="Arial" w:cs="Arial" w:eastAsia="Arial" w:hAnsi="Arial"/>
                <w:sz w:val="18"/>
                <w:szCs w:val="18"/>
                <w:color w:val="0000FF"/>
                <w:w w:val="95"/>
              </w:rPr>
              <w:t>and Cumberland Pharmaceuticals Inc., incorporated herein by reference to Exhibit 10.1 of the Registrant’s</w:t>
            </w: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40" w:type="dxa"/>
            <w:vAlign w:val="bottom"/>
            <w:gridSpan w:val="38"/>
          </w:tcPr>
          <w:p>
            <w:pPr>
              <w:spacing w:after="0" w:line="156" w:lineRule="exact"/>
              <w:rPr>
                <w:sz w:val="20"/>
                <w:szCs w:val="20"/>
                <w:color w:val="auto"/>
              </w:rPr>
            </w:pPr>
            <w:r>
              <w:rPr>
                <w:rFonts w:ascii="Arial" w:cs="Arial" w:eastAsia="Arial" w:hAnsi="Arial"/>
                <w:sz w:val="18"/>
                <w:szCs w:val="18"/>
                <w:color w:val="0000FF"/>
              </w:rPr>
              <w:t>Quarterly Report on Form 10-Q (File No. 001-33637) as filed with the SEC on May 13, 2022</w:t>
            </w: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0"/>
              </w:rPr>
              <w:t>10.14#</w:t>
            </w:r>
          </w:p>
        </w:tc>
        <w:tc>
          <w:tcPr>
            <w:tcW w:w="360" w:type="dxa"/>
            <w:vAlign w:val="bottom"/>
          </w:tcPr>
          <w:p>
            <w:pPr>
              <w:spacing w:after="0"/>
              <w:rPr>
                <w:sz w:val="24"/>
                <w:szCs w:val="24"/>
                <w:color w:val="auto"/>
              </w:rPr>
            </w:pPr>
          </w:p>
        </w:tc>
        <w:tc>
          <w:tcPr>
            <w:tcW w:w="8440" w:type="dxa"/>
            <w:vAlign w:val="bottom"/>
            <w:gridSpan w:val="38"/>
          </w:tcPr>
          <w:p>
            <w:pPr>
              <w:spacing w:after="0"/>
              <w:rPr>
                <w:sz w:val="20"/>
                <w:szCs w:val="20"/>
                <w:color w:val="auto"/>
              </w:rPr>
            </w:pPr>
            <w:r>
              <w:rPr>
                <w:rFonts w:ascii="Arial" w:cs="Arial" w:eastAsia="Arial" w:hAnsi="Arial"/>
                <w:sz w:val="18"/>
                <w:szCs w:val="18"/>
                <w:color w:val="0000FF"/>
              </w:rPr>
              <w:t>Employment Agreement dated March 7, 2022, effective as of January 1, 2022, by and between John M.</w:t>
            </w:r>
          </w:p>
        </w:tc>
      </w:tr>
      <w:tr>
        <w:trPr>
          <w:trHeight w:val="156"/>
        </w:trPr>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20" w:type="dxa"/>
            <w:vAlign w:val="bottom"/>
            <w:tcBorders>
              <w:top w:val="single" w:sz="8" w:color="0000FF"/>
            </w:tcBorders>
            <w:gridSpan w:val="37"/>
          </w:tcPr>
          <w:p>
            <w:pPr>
              <w:spacing w:after="0" w:line="156" w:lineRule="exact"/>
              <w:rPr>
                <w:sz w:val="20"/>
                <w:szCs w:val="20"/>
                <w:color w:val="auto"/>
              </w:rPr>
            </w:pPr>
            <w:r>
              <w:rPr>
                <w:rFonts w:ascii="Arial" w:cs="Arial" w:eastAsia="Arial" w:hAnsi="Arial"/>
                <w:sz w:val="18"/>
                <w:szCs w:val="18"/>
                <w:color w:val="0000FF"/>
              </w:rPr>
              <w:t>Hamm and Cumberland Pharmaceuticals Inc., incorporated herein by reference to Exhibit 10.3 of the</w:t>
            </w:r>
          </w:p>
        </w:tc>
        <w:tc>
          <w:tcPr>
            <w:tcW w:w="20" w:type="dxa"/>
            <w:vAlign w:val="bottom"/>
          </w:tcPr>
          <w:p>
            <w:pPr>
              <w:spacing w:after="0"/>
              <w:rPr>
                <w:sz w:val="13"/>
                <w:szCs w:val="13"/>
                <w:color w:val="auto"/>
              </w:rPr>
            </w:pPr>
          </w:p>
        </w:tc>
      </w:tr>
      <w:tr>
        <w:trPr>
          <w:trHeight w:val="156"/>
        </w:trPr>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40" w:type="dxa"/>
            <w:vAlign w:val="bottom"/>
            <w:tcBorders>
              <w:top w:val="single" w:sz="8" w:color="0000FF"/>
              <w:bottom w:val="single" w:sz="8" w:color="0000FF"/>
            </w:tcBorders>
            <w:gridSpan w:val="11"/>
          </w:tcPr>
          <w:p>
            <w:pPr>
              <w:spacing w:after="0" w:line="156" w:lineRule="exact"/>
              <w:rPr>
                <w:sz w:val="20"/>
                <w:szCs w:val="20"/>
                <w:color w:val="auto"/>
              </w:rPr>
            </w:pPr>
            <w:r>
              <w:rPr>
                <w:rFonts w:ascii="Arial" w:cs="Arial" w:eastAsia="Arial" w:hAnsi="Arial"/>
                <w:sz w:val="18"/>
                <w:szCs w:val="18"/>
                <w:color w:val="0000FF"/>
                <w:w w:val="91"/>
              </w:rPr>
              <w:t>Registrant’s Quarterly Report on Form 10-Q (File No. 001-33637) as filed with the SEC on May 13, 2022</w:t>
            </w:r>
          </w:p>
        </w:tc>
        <w:tc>
          <w:tcPr>
            <w:tcW w:w="40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0"/>
              </w:rPr>
              <w:t>10.15#</w:t>
            </w:r>
          </w:p>
        </w:tc>
        <w:tc>
          <w:tcPr>
            <w:tcW w:w="360" w:type="dxa"/>
            <w:vAlign w:val="bottom"/>
          </w:tcPr>
          <w:p>
            <w:pPr>
              <w:spacing w:after="0"/>
              <w:rPr>
                <w:sz w:val="24"/>
                <w:szCs w:val="24"/>
                <w:color w:val="auto"/>
              </w:rPr>
            </w:pPr>
          </w:p>
        </w:tc>
        <w:tc>
          <w:tcPr>
            <w:tcW w:w="8440" w:type="dxa"/>
            <w:vAlign w:val="bottom"/>
            <w:gridSpan w:val="38"/>
          </w:tcPr>
          <w:p>
            <w:pPr>
              <w:spacing w:after="0"/>
              <w:rPr>
                <w:sz w:val="20"/>
                <w:szCs w:val="20"/>
                <w:color w:val="auto"/>
              </w:rPr>
            </w:pPr>
            <w:r>
              <w:rPr>
                <w:rFonts w:ascii="Arial" w:cs="Arial" w:eastAsia="Arial" w:hAnsi="Arial"/>
                <w:sz w:val="18"/>
                <w:szCs w:val="18"/>
                <w:color w:val="0000FF"/>
              </w:rPr>
              <w:t>Employment Agreement dated March 7, 2022, effective as of January 1, 2021, by and between James L.</w:t>
            </w:r>
          </w:p>
        </w:tc>
      </w:tr>
      <w:tr>
        <w:trPr>
          <w:trHeight w:val="176"/>
        </w:trPr>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20" w:type="dxa"/>
            <w:vAlign w:val="bottom"/>
            <w:tcBorders>
              <w:top w:val="single" w:sz="8" w:color="0000FF"/>
              <w:bottom w:val="single" w:sz="8" w:color="0000FF"/>
            </w:tcBorders>
            <w:gridSpan w:val="27"/>
          </w:tcPr>
          <w:p>
            <w:pPr>
              <w:spacing w:after="0" w:line="156" w:lineRule="exact"/>
              <w:rPr>
                <w:sz w:val="20"/>
                <w:szCs w:val="20"/>
                <w:color w:val="auto"/>
              </w:rPr>
            </w:pPr>
            <w:r>
              <w:rPr>
                <w:rFonts w:ascii="Arial" w:cs="Arial" w:eastAsia="Arial" w:hAnsi="Arial"/>
                <w:sz w:val="18"/>
                <w:szCs w:val="18"/>
                <w:color w:val="0000FF"/>
              </w:rPr>
              <w:t>Herman and Cumberland Pharmaceuticals Inc., incorporated herein by reference to Exhibit 10.4 of the</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35"/>
        </w:trPr>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580" w:type="dxa"/>
            <w:vAlign w:val="bottom"/>
            <w:tcBorders>
              <w:bottom w:val="single" w:sz="8" w:color="0000FF"/>
            </w:tcBorders>
            <w:gridSpan w:val="4"/>
          </w:tcPr>
          <w:p>
            <w:pPr>
              <w:spacing w:after="0" w:line="136" w:lineRule="exact"/>
              <w:rPr>
                <w:sz w:val="20"/>
                <w:szCs w:val="20"/>
                <w:color w:val="auto"/>
              </w:rPr>
            </w:pPr>
            <w:r>
              <w:rPr>
                <w:rFonts w:ascii="Arial" w:cs="Arial" w:eastAsia="Arial" w:hAnsi="Arial"/>
                <w:sz w:val="15"/>
                <w:szCs w:val="15"/>
                <w:color w:val="0000FF"/>
              </w:rPr>
              <w:t>Registrant’s Quarterly Report on Form 10-Q (File</w:t>
            </w:r>
          </w:p>
        </w:tc>
        <w:tc>
          <w:tcPr>
            <w:tcW w:w="4060" w:type="dxa"/>
            <w:vAlign w:val="bottom"/>
            <w:tcBorders>
              <w:bottom w:val="single" w:sz="8" w:color="0000FF"/>
            </w:tcBorders>
            <w:gridSpan w:val="7"/>
          </w:tcPr>
          <w:p>
            <w:pPr>
              <w:ind w:left="60"/>
              <w:spacing w:after="0" w:line="136" w:lineRule="exact"/>
              <w:rPr>
                <w:sz w:val="20"/>
                <w:szCs w:val="20"/>
                <w:color w:val="auto"/>
              </w:rPr>
            </w:pPr>
            <w:r>
              <w:rPr>
                <w:rFonts w:ascii="Arial" w:cs="Arial" w:eastAsia="Arial" w:hAnsi="Arial"/>
                <w:sz w:val="15"/>
                <w:szCs w:val="15"/>
                <w:color w:val="0000FF"/>
              </w:rPr>
              <w:t>No. 001-33637) as filed with the SEC on May 13, 2022</w:t>
            </w:r>
          </w:p>
        </w:tc>
        <w:tc>
          <w:tcPr>
            <w:tcW w:w="680" w:type="dxa"/>
            <w:vAlign w:val="bottom"/>
            <w:gridSpan w:val="21"/>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77"/>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0"/>
              </w:rPr>
              <w:t>10.17#</w:t>
            </w:r>
          </w:p>
        </w:tc>
        <w:tc>
          <w:tcPr>
            <w:tcW w:w="360" w:type="dxa"/>
            <w:vAlign w:val="bottom"/>
          </w:tcPr>
          <w:p>
            <w:pPr>
              <w:spacing w:after="0"/>
              <w:rPr>
                <w:sz w:val="24"/>
                <w:szCs w:val="24"/>
                <w:color w:val="auto"/>
              </w:rPr>
            </w:pPr>
          </w:p>
        </w:tc>
        <w:tc>
          <w:tcPr>
            <w:tcW w:w="8440" w:type="dxa"/>
            <w:vAlign w:val="bottom"/>
            <w:gridSpan w:val="38"/>
          </w:tcPr>
          <w:p>
            <w:pPr>
              <w:spacing w:after="0"/>
              <w:rPr>
                <w:rFonts w:ascii="Arial" w:cs="Arial" w:eastAsia="Arial" w:hAnsi="Arial"/>
                <w:sz w:val="18"/>
                <w:szCs w:val="18"/>
                <w:color w:val="0000FF"/>
              </w:rPr>
            </w:pPr>
            <w:hyperlink r:id="rId104">
              <w:r>
                <w:rPr>
                  <w:rFonts w:ascii="Arial" w:cs="Arial" w:eastAsia="Arial" w:hAnsi="Arial"/>
                  <w:sz w:val="18"/>
                  <w:szCs w:val="18"/>
                  <w:color w:val="0000FF"/>
                </w:rPr>
                <w:t>1999 Stock Option Plan of Cumberland Pharmaceuticals Inc., incorporated herein by reference to the</w:t>
              </w:r>
            </w:hyperlink>
          </w:p>
        </w:tc>
      </w:tr>
      <w:tr>
        <w:trPr>
          <w:trHeight w:val="155"/>
        </w:trPr>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340" w:type="dxa"/>
            <w:vAlign w:val="bottom"/>
            <w:tcBorders>
              <w:top w:val="single" w:sz="8" w:color="0000FF"/>
            </w:tcBorders>
            <w:gridSpan w:val="33"/>
          </w:tcPr>
          <w:p>
            <w:pPr>
              <w:spacing w:after="0" w:line="156" w:lineRule="exact"/>
              <w:rPr>
                <w:rFonts w:ascii="Arial" w:cs="Arial" w:eastAsia="Arial" w:hAnsi="Arial"/>
                <w:sz w:val="18"/>
                <w:szCs w:val="18"/>
                <w:color w:val="0000FF"/>
                <w:w w:val="97"/>
              </w:rPr>
            </w:pPr>
            <w:hyperlink r:id="rId104">
              <w:r>
                <w:rPr>
                  <w:rFonts w:ascii="Arial" w:cs="Arial" w:eastAsia="Arial" w:hAnsi="Arial"/>
                  <w:sz w:val="18"/>
                  <w:szCs w:val="18"/>
                  <w:color w:val="0000FF"/>
                  <w:w w:val="97"/>
                </w:rPr>
                <w:t>corresponding exhibit to the Registrant’s Registration Statement on Form S-1 (File No. 333-142535) as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04">
              <w:r>
                <w:rPr>
                  <w:rFonts w:ascii="Arial" w:cs="Arial" w:eastAsia="Arial" w:hAnsi="Arial"/>
                  <w:sz w:val="18"/>
                  <w:szCs w:val="18"/>
                  <w:color w:val="0000FF"/>
                </w:rPr>
                <w:t>with the SEC on May 1, 2007</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0"/>
              </w:rPr>
              <w:t>10.18#</w:t>
            </w:r>
          </w:p>
        </w:tc>
        <w:tc>
          <w:tcPr>
            <w:tcW w:w="360" w:type="dxa"/>
            <w:vAlign w:val="bottom"/>
          </w:tcPr>
          <w:p>
            <w:pPr>
              <w:spacing w:after="0"/>
              <w:rPr>
                <w:sz w:val="24"/>
                <w:szCs w:val="24"/>
                <w:color w:val="auto"/>
              </w:rPr>
            </w:pPr>
          </w:p>
        </w:tc>
        <w:tc>
          <w:tcPr>
            <w:tcW w:w="8440" w:type="dxa"/>
            <w:vAlign w:val="bottom"/>
            <w:gridSpan w:val="38"/>
          </w:tcPr>
          <w:p>
            <w:pPr>
              <w:spacing w:after="0"/>
              <w:rPr>
                <w:rFonts w:ascii="Arial" w:cs="Arial" w:eastAsia="Arial" w:hAnsi="Arial"/>
                <w:sz w:val="18"/>
                <w:szCs w:val="18"/>
                <w:color w:val="0000FF"/>
                <w:w w:val="97"/>
              </w:rPr>
            </w:pPr>
            <w:hyperlink r:id="rId105">
              <w:r>
                <w:rPr>
                  <w:rFonts w:ascii="Arial" w:cs="Arial" w:eastAsia="Arial" w:hAnsi="Arial"/>
                  <w:sz w:val="18"/>
                  <w:szCs w:val="18"/>
                  <w:color w:val="0000FF"/>
                  <w:w w:val="97"/>
                </w:rPr>
                <w:t>Amended and Restated 2007 Long-Term Incentive Compensation Plan of Cumberland Pharmaceuticals Inc.,</w:t>
              </w:r>
            </w:hyperlink>
          </w:p>
        </w:tc>
      </w:tr>
      <w:tr>
        <w:trPr>
          <w:trHeight w:val="156"/>
        </w:trPr>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60" w:type="dxa"/>
            <w:vAlign w:val="bottom"/>
            <w:tcBorders>
              <w:top w:val="single" w:sz="8" w:color="0000FF"/>
            </w:tcBorders>
            <w:gridSpan w:val="29"/>
          </w:tcPr>
          <w:p>
            <w:pPr>
              <w:spacing w:after="0" w:line="156" w:lineRule="exact"/>
              <w:rPr>
                <w:rFonts w:ascii="Arial" w:cs="Arial" w:eastAsia="Arial" w:hAnsi="Arial"/>
                <w:sz w:val="18"/>
                <w:szCs w:val="18"/>
                <w:color w:val="0000FF"/>
                <w:w w:val="98"/>
              </w:rPr>
            </w:pPr>
            <w:hyperlink r:id="rId105">
              <w:r>
                <w:rPr>
                  <w:rFonts w:ascii="Arial" w:cs="Arial" w:eastAsia="Arial" w:hAnsi="Arial"/>
                  <w:sz w:val="18"/>
                  <w:szCs w:val="18"/>
                  <w:color w:val="0000FF"/>
                  <w:w w:val="98"/>
                </w:rPr>
                <w:t>incorporated herein by reference to Appendix A of the Registrant’s Schedule 14A as filed with the SEC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105">
              <w:r>
                <w:rPr>
                  <w:rFonts w:ascii="Arial" w:cs="Arial" w:eastAsia="Arial" w:hAnsi="Arial"/>
                  <w:sz w:val="18"/>
                  <w:szCs w:val="18"/>
                  <w:color w:val="0000FF"/>
                  <w:w w:val="90"/>
                </w:rPr>
                <w:t>March 12, 2012 and approved by the Registrant's shareholders on April 17, 2012</w:t>
              </w:r>
            </w:hyperlink>
          </w:p>
        </w:tc>
        <w:tc>
          <w:tcPr>
            <w:tcW w:w="23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0"/>
              </w:rPr>
              <w:t>10.19#</w:t>
            </w:r>
          </w:p>
        </w:tc>
        <w:tc>
          <w:tcPr>
            <w:tcW w:w="360" w:type="dxa"/>
            <w:vAlign w:val="bottom"/>
          </w:tcPr>
          <w:p>
            <w:pPr>
              <w:spacing w:after="0"/>
              <w:rPr>
                <w:sz w:val="24"/>
                <w:szCs w:val="24"/>
                <w:color w:val="auto"/>
              </w:rPr>
            </w:pPr>
          </w:p>
        </w:tc>
        <w:tc>
          <w:tcPr>
            <w:tcW w:w="8440" w:type="dxa"/>
            <w:vAlign w:val="bottom"/>
            <w:gridSpan w:val="38"/>
          </w:tcPr>
          <w:p>
            <w:pPr>
              <w:spacing w:after="0"/>
              <w:rPr>
                <w:rFonts w:ascii="Arial" w:cs="Arial" w:eastAsia="Arial" w:hAnsi="Arial"/>
                <w:sz w:val="18"/>
                <w:szCs w:val="18"/>
                <w:color w:val="0000FF"/>
              </w:rPr>
            </w:pPr>
            <w:hyperlink r:id="rId105">
              <w:r>
                <w:rPr>
                  <w:rFonts w:ascii="Arial" w:cs="Arial" w:eastAsia="Arial" w:hAnsi="Arial"/>
                  <w:sz w:val="18"/>
                  <w:szCs w:val="18"/>
                  <w:color w:val="0000FF"/>
                </w:rPr>
                <w:t>Amended and Restated 2007 Directors’ Incentive Plan of Cumberland Pharmaceuticals Inc., incorporated</w:t>
              </w:r>
            </w:hyperlink>
          </w:p>
        </w:tc>
      </w:tr>
      <w:tr>
        <w:trPr>
          <w:trHeight w:val="156"/>
        </w:trPr>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16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94"/>
              </w:rPr>
            </w:pPr>
            <w:hyperlink r:id="rId105">
              <w:r>
                <w:rPr>
                  <w:rFonts w:ascii="Arial" w:cs="Arial" w:eastAsia="Arial" w:hAnsi="Arial"/>
                  <w:sz w:val="18"/>
                  <w:szCs w:val="18"/>
                  <w:color w:val="0000FF"/>
                  <w:w w:val="94"/>
                </w:rPr>
                <w:t>herein by reference to Appendix B of the Registrant's Schedule 14A as filed with the SEC on March 12, 2012</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360" w:type="dxa"/>
            <w:vAlign w:val="bottom"/>
            <w:gridSpan w:val="34"/>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and approved by the Registrant's shareholders on April 17, 2012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880" w:type="dxa"/>
            <w:vAlign w:val="bottom"/>
          </w:tcPr>
          <w:p>
            <w:pPr>
              <w:jc w:val="center"/>
              <w:ind w:right="150"/>
              <w:spacing w:after="0"/>
              <w:rPr>
                <w:sz w:val="20"/>
                <w:szCs w:val="20"/>
                <w:color w:val="auto"/>
              </w:rPr>
            </w:pPr>
            <w:r>
              <w:rPr>
                <w:rFonts w:ascii="Arial" w:cs="Arial" w:eastAsia="Arial" w:hAnsi="Arial"/>
                <w:sz w:val="18"/>
                <w:szCs w:val="18"/>
                <w:color w:val="auto"/>
                <w:w w:val="88"/>
              </w:rPr>
              <w:t>10.20</w:t>
            </w:r>
          </w:p>
        </w:tc>
        <w:tc>
          <w:tcPr>
            <w:tcW w:w="360" w:type="dxa"/>
            <w:vAlign w:val="bottom"/>
          </w:tcPr>
          <w:p>
            <w:pPr>
              <w:spacing w:after="0"/>
              <w:rPr>
                <w:sz w:val="24"/>
                <w:szCs w:val="24"/>
                <w:color w:val="auto"/>
              </w:rPr>
            </w:pPr>
          </w:p>
        </w:tc>
        <w:tc>
          <w:tcPr>
            <w:tcW w:w="8440" w:type="dxa"/>
            <w:vAlign w:val="bottom"/>
            <w:gridSpan w:val="38"/>
          </w:tcPr>
          <w:p>
            <w:pPr>
              <w:spacing w:after="0"/>
              <w:rPr>
                <w:rFonts w:ascii="Arial" w:cs="Arial" w:eastAsia="Arial" w:hAnsi="Arial"/>
                <w:sz w:val="18"/>
                <w:szCs w:val="18"/>
                <w:color w:val="0000FF"/>
                <w:w w:val="97"/>
              </w:rPr>
            </w:pPr>
            <w:hyperlink r:id="rId106">
              <w:r>
                <w:rPr>
                  <w:rFonts w:ascii="Arial" w:cs="Arial" w:eastAsia="Arial" w:hAnsi="Arial"/>
                  <w:sz w:val="18"/>
                  <w:szCs w:val="18"/>
                  <w:color w:val="0000FF"/>
                  <w:w w:val="97"/>
                </w:rPr>
                <w:t>Form of Indemnification Agreement between Cumberland Pharmaceuticals Inc. and all members of its Board</w:t>
              </w:r>
            </w:hyperlink>
          </w:p>
        </w:tc>
      </w:tr>
      <w:tr>
        <w:trPr>
          <w:trHeight w:val="156"/>
        </w:trPr>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380" w:type="dxa"/>
            <w:vAlign w:val="bottom"/>
            <w:tcBorders>
              <w:top w:val="single" w:sz="8" w:color="0000FF"/>
            </w:tcBorders>
            <w:gridSpan w:val="35"/>
          </w:tcPr>
          <w:p>
            <w:pPr>
              <w:spacing w:after="0" w:line="156" w:lineRule="exact"/>
              <w:rPr>
                <w:rFonts w:ascii="Arial" w:cs="Arial" w:eastAsia="Arial" w:hAnsi="Arial"/>
                <w:sz w:val="18"/>
                <w:szCs w:val="18"/>
                <w:color w:val="0000FF"/>
                <w:w w:val="99"/>
              </w:rPr>
            </w:pPr>
            <w:hyperlink r:id="rId106">
              <w:r>
                <w:rPr>
                  <w:rFonts w:ascii="Arial" w:cs="Arial" w:eastAsia="Arial" w:hAnsi="Arial"/>
                  <w:sz w:val="18"/>
                  <w:szCs w:val="18"/>
                  <w:color w:val="0000FF"/>
                  <w:w w:val="99"/>
                </w:rPr>
                <w:t>of Directors, incorporated herein by reference to the corresponding exhibit to the Registrant’s Registration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36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06">
              <w:r>
                <w:rPr>
                  <w:rFonts w:ascii="Arial" w:cs="Arial" w:eastAsia="Arial" w:hAnsi="Arial"/>
                  <w:sz w:val="18"/>
                  <w:szCs w:val="18"/>
                  <w:color w:val="0000FF"/>
                </w:rPr>
                <w:t>Statement on Form S-1 (File No. 333-142535) as filed with the SEC on May 1, 2007</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0"/>
              </w:rPr>
              <w:t>10.23†</w:t>
            </w:r>
          </w:p>
        </w:tc>
        <w:tc>
          <w:tcPr>
            <w:tcW w:w="360" w:type="dxa"/>
            <w:vAlign w:val="bottom"/>
          </w:tcPr>
          <w:p>
            <w:pPr>
              <w:spacing w:after="0"/>
              <w:rPr>
                <w:sz w:val="24"/>
                <w:szCs w:val="24"/>
                <w:color w:val="auto"/>
              </w:rPr>
            </w:pPr>
          </w:p>
        </w:tc>
        <w:tc>
          <w:tcPr>
            <w:tcW w:w="8440" w:type="dxa"/>
            <w:vAlign w:val="bottom"/>
            <w:gridSpan w:val="38"/>
          </w:tcPr>
          <w:p>
            <w:pPr>
              <w:spacing w:after="0"/>
              <w:rPr>
                <w:rFonts w:ascii="Arial" w:cs="Arial" w:eastAsia="Arial" w:hAnsi="Arial"/>
                <w:sz w:val="18"/>
                <w:szCs w:val="18"/>
                <w:color w:val="0000FF"/>
              </w:rPr>
            </w:pPr>
            <w:hyperlink r:id="rId107">
              <w:r>
                <w:rPr>
                  <w:rFonts w:ascii="Arial" w:cs="Arial" w:eastAsia="Arial" w:hAnsi="Arial"/>
                  <w:sz w:val="18"/>
                  <w:szCs w:val="18"/>
                  <w:color w:val="0000FF"/>
                </w:rPr>
                <w:t>Amended and Restated Lease Agreement, dated November 11, 2004, by and between The Gateway to</w:t>
              </w:r>
            </w:hyperlink>
          </w:p>
        </w:tc>
      </w:tr>
      <w:tr>
        <w:trPr>
          <w:trHeight w:val="155"/>
        </w:trPr>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14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Nashville LLC and Cumberland Emerging Technologies, Inc., incorporated herein by reference to the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100" w:type="dxa"/>
            <w:vAlign w:val="bottom"/>
            <w:tcBorders>
              <w:top w:val="single" w:sz="8" w:color="0000FF"/>
            </w:tcBorders>
            <w:gridSpan w:val="21"/>
          </w:tcPr>
          <w:p>
            <w:pPr>
              <w:spacing w:after="0" w:line="156" w:lineRule="exact"/>
              <w:rPr>
                <w:rFonts w:ascii="Arial" w:cs="Arial" w:eastAsia="Arial" w:hAnsi="Arial"/>
                <w:sz w:val="18"/>
                <w:szCs w:val="18"/>
                <w:color w:val="0000FF"/>
                <w:w w:val="94"/>
              </w:rPr>
            </w:pPr>
            <w:hyperlink r:id="rId107">
              <w:r>
                <w:rPr>
                  <w:rFonts w:ascii="Arial" w:cs="Arial" w:eastAsia="Arial" w:hAnsi="Arial"/>
                  <w:sz w:val="18"/>
                  <w:szCs w:val="18"/>
                  <w:color w:val="0000FF"/>
                  <w:w w:val="94"/>
                </w:rPr>
                <w:t>corresponding exhibit to the Registrant’s Registration Statement on Form S-1 (File No. 333-142535) as filed</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2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r:id="rId107">
              <w:r>
                <w:rPr>
                  <w:rFonts w:ascii="Arial" w:cs="Arial" w:eastAsia="Arial" w:hAnsi="Arial"/>
                  <w:sz w:val="18"/>
                  <w:szCs w:val="18"/>
                  <w:color w:val="0000FF"/>
                </w:rPr>
                <w:t>with the SEC on May 1, 2007</w:t>
              </w:r>
            </w:hyperlink>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7"/>
        </w:trPr>
        <w:tc>
          <w:tcPr>
            <w:tcW w:w="880" w:type="dxa"/>
            <w:vAlign w:val="bottom"/>
          </w:tcPr>
          <w:p>
            <w:pPr>
              <w:jc w:val="center"/>
              <w:ind w:right="150"/>
              <w:spacing w:after="0"/>
              <w:rPr>
                <w:sz w:val="20"/>
                <w:szCs w:val="20"/>
                <w:color w:val="auto"/>
              </w:rPr>
            </w:pPr>
            <w:r>
              <w:rPr>
                <w:rFonts w:ascii="Arial" w:cs="Arial" w:eastAsia="Arial" w:hAnsi="Arial"/>
                <w:sz w:val="18"/>
                <w:szCs w:val="18"/>
                <w:color w:val="auto"/>
                <w:w w:val="88"/>
              </w:rPr>
              <w:t>10.24</w:t>
            </w:r>
          </w:p>
        </w:tc>
        <w:tc>
          <w:tcPr>
            <w:tcW w:w="360" w:type="dxa"/>
            <w:vAlign w:val="bottom"/>
          </w:tcPr>
          <w:p>
            <w:pPr>
              <w:spacing w:after="0"/>
              <w:rPr>
                <w:sz w:val="24"/>
                <w:szCs w:val="24"/>
                <w:color w:val="auto"/>
              </w:rPr>
            </w:pPr>
          </w:p>
        </w:tc>
        <w:tc>
          <w:tcPr>
            <w:tcW w:w="8440" w:type="dxa"/>
            <w:vAlign w:val="bottom"/>
            <w:gridSpan w:val="38"/>
          </w:tcPr>
          <w:p>
            <w:pPr>
              <w:spacing w:after="0"/>
              <w:rPr>
                <w:rFonts w:ascii="Arial" w:cs="Arial" w:eastAsia="Arial" w:hAnsi="Arial"/>
                <w:sz w:val="18"/>
                <w:szCs w:val="18"/>
                <w:color w:val="0000FF"/>
                <w:w w:val="97"/>
              </w:rPr>
            </w:pPr>
            <w:hyperlink r:id="rId108">
              <w:r>
                <w:rPr>
                  <w:rFonts w:ascii="Arial" w:cs="Arial" w:eastAsia="Arial" w:hAnsi="Arial"/>
                  <w:sz w:val="18"/>
                  <w:szCs w:val="18"/>
                  <w:color w:val="0000FF"/>
                  <w:w w:val="97"/>
                </w:rPr>
                <w:t>First Amendment to Amended and Restated Lease Agreement, dated August 23, 2005, by and between The</w:t>
              </w:r>
            </w:hyperlink>
          </w:p>
        </w:tc>
      </w:tr>
      <w:tr>
        <w:trPr>
          <w:trHeight w:val="169"/>
        </w:trPr>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180" w:type="dxa"/>
            <w:vAlign w:val="bottom"/>
            <w:tcBorders>
              <w:top w:val="single" w:sz="8" w:color="0000FF"/>
            </w:tcBorders>
            <w:gridSpan w:val="25"/>
          </w:tcPr>
          <w:p>
            <w:pPr>
              <w:spacing w:after="0" w:line="169" w:lineRule="exact"/>
              <w:rPr>
                <w:rFonts w:ascii="Arial" w:cs="Arial" w:eastAsia="Arial" w:hAnsi="Arial"/>
                <w:sz w:val="18"/>
                <w:szCs w:val="18"/>
                <w:color w:val="0000FF"/>
                <w:w w:val="93"/>
              </w:rPr>
            </w:pPr>
            <w:hyperlink r:id="rId108">
              <w:r>
                <w:rPr>
                  <w:rFonts w:ascii="Arial" w:cs="Arial" w:eastAsia="Arial" w:hAnsi="Arial"/>
                  <w:sz w:val="18"/>
                  <w:szCs w:val="18"/>
                  <w:color w:val="0000FF"/>
                  <w:w w:val="93"/>
                </w:rPr>
                <w:t>Gateway to Nashville LLC and Cumberland Emerging Technologies, Inc., incorporated herein by reference to</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980" w:type="dxa"/>
            <w:vAlign w:val="bottom"/>
            <w:tcBorders>
              <w:top w:val="single" w:sz="8" w:color="0000FF"/>
            </w:tcBorders>
            <w:gridSpan w:val="15"/>
          </w:tcPr>
          <w:p>
            <w:pPr>
              <w:spacing w:after="0" w:line="156" w:lineRule="exact"/>
              <w:rPr>
                <w:rFonts w:ascii="Arial" w:cs="Arial" w:eastAsia="Arial" w:hAnsi="Arial"/>
                <w:sz w:val="18"/>
                <w:szCs w:val="18"/>
                <w:color w:val="0000FF"/>
                <w:w w:val="93"/>
              </w:rPr>
            </w:pPr>
            <w:hyperlink r:id="rId108">
              <w:r>
                <w:rPr>
                  <w:rFonts w:ascii="Arial" w:cs="Arial" w:eastAsia="Arial" w:hAnsi="Arial"/>
                  <w:sz w:val="18"/>
                  <w:szCs w:val="18"/>
                  <w:color w:val="0000FF"/>
                  <w:w w:val="93"/>
                </w:rPr>
                <w:t>the corresponding exhibit to the Registrant’s Registration Statement on Form S-1 (File No. 333-142535) as</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108">
              <w:r>
                <w:rPr>
                  <w:rFonts w:ascii="Arial" w:cs="Arial" w:eastAsia="Arial" w:hAnsi="Arial"/>
                  <w:sz w:val="18"/>
                  <w:szCs w:val="18"/>
                  <w:color w:val="0000FF"/>
                  <w:w w:val="92"/>
                </w:rPr>
                <w:t>filed with the SEC on May 1, 2007</w:t>
              </w:r>
            </w:hyperlink>
          </w:p>
        </w:tc>
        <w:tc>
          <w:tcPr>
            <w:tcW w:w="54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89"/>
              </w:rPr>
              <w:t>10.24.1</w:t>
            </w:r>
          </w:p>
        </w:tc>
        <w:tc>
          <w:tcPr>
            <w:tcW w:w="360" w:type="dxa"/>
            <w:vAlign w:val="bottom"/>
          </w:tcPr>
          <w:p>
            <w:pPr>
              <w:spacing w:after="0"/>
              <w:rPr>
                <w:sz w:val="24"/>
                <w:szCs w:val="24"/>
                <w:color w:val="auto"/>
              </w:rPr>
            </w:pPr>
          </w:p>
        </w:tc>
        <w:tc>
          <w:tcPr>
            <w:tcW w:w="8440" w:type="dxa"/>
            <w:vAlign w:val="bottom"/>
            <w:gridSpan w:val="38"/>
          </w:tcPr>
          <w:p>
            <w:pPr>
              <w:spacing w:after="0"/>
              <w:rPr>
                <w:rFonts w:ascii="Arial" w:cs="Arial" w:eastAsia="Arial" w:hAnsi="Arial"/>
                <w:sz w:val="18"/>
                <w:szCs w:val="18"/>
                <w:color w:val="0000FF"/>
                <w:w w:val="94"/>
              </w:rPr>
            </w:pPr>
            <w:hyperlink r:id="rId109">
              <w:r>
                <w:rPr>
                  <w:rFonts w:ascii="Arial" w:cs="Arial" w:eastAsia="Arial" w:hAnsi="Arial"/>
                  <w:sz w:val="18"/>
                  <w:szCs w:val="18"/>
                  <w:color w:val="0000FF"/>
                  <w:w w:val="94"/>
                </w:rPr>
                <w:t>Second Amendment to Amended and Restated Lease Agreement, dated January 9, 2006, by and between The</w:t>
              </w:r>
            </w:hyperlink>
          </w:p>
        </w:tc>
      </w:tr>
      <w:tr>
        <w:trPr>
          <w:trHeight w:val="169"/>
        </w:trPr>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40" w:type="dxa"/>
            <w:vAlign w:val="bottom"/>
            <w:tcBorders>
              <w:top w:val="single" w:sz="8" w:color="0000FF"/>
            </w:tcBorders>
            <w:gridSpan w:val="28"/>
          </w:tcPr>
          <w:p>
            <w:pPr>
              <w:spacing w:after="0" w:line="169" w:lineRule="exact"/>
              <w:rPr>
                <w:rFonts w:ascii="Arial" w:cs="Arial" w:eastAsia="Arial" w:hAnsi="Arial"/>
                <w:sz w:val="18"/>
                <w:szCs w:val="18"/>
                <w:color w:val="0000FF"/>
                <w:w w:val="94"/>
              </w:rPr>
            </w:pPr>
            <w:hyperlink r:id="rId109">
              <w:r>
                <w:rPr>
                  <w:rFonts w:ascii="Arial" w:cs="Arial" w:eastAsia="Arial" w:hAnsi="Arial"/>
                  <w:sz w:val="18"/>
                  <w:szCs w:val="18"/>
                  <w:color w:val="0000FF"/>
                  <w:w w:val="94"/>
                </w:rPr>
                <w:t>Gateway to Nashville LLC and Cumberland Emerging Technologies, Inc., incorporated herein by reference to</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2"/>
              </w:rPr>
            </w:pPr>
            <w:hyperlink r:id="rId109">
              <w:r>
                <w:rPr>
                  <w:rFonts w:ascii="Arial" w:cs="Arial" w:eastAsia="Arial" w:hAnsi="Arial"/>
                  <w:sz w:val="18"/>
                  <w:szCs w:val="18"/>
                  <w:color w:val="0000FF"/>
                  <w:w w:val="92"/>
                </w:rPr>
                <w:t>the corresponding exhibit to Amendment No. 10 of the Registrant’s Registration Statement on Form S-1 (File</w:t>
              </w:r>
            </w:hyperlink>
          </w:p>
        </w:tc>
        <w:tc>
          <w:tcPr>
            <w:tcW w:w="60" w:type="dxa"/>
            <w:vAlign w:val="bottom"/>
            <w:tcBorders>
              <w:bottom w:val="single" w:sz="8" w:color="0000FF"/>
            </w:tcBorders>
            <w:gridSpan w:val="3"/>
          </w:tcPr>
          <w:p>
            <w:pPr>
              <w:spacing w:after="0"/>
              <w:rPr>
                <w:sz w:val="13"/>
                <w:szCs w:val="13"/>
                <w:color w:val="auto"/>
              </w:rPr>
            </w:pPr>
          </w:p>
        </w:tc>
        <w:tc>
          <w:tcPr>
            <w:tcW w:w="140" w:type="dxa"/>
            <w:vAlign w:val="bottom"/>
            <w:tcBorders>
              <w:bottom w:val="single" w:sz="8" w:color="0000FF"/>
            </w:tcBorders>
            <w:gridSpan w:val="7"/>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80" w:type="dxa"/>
            <w:vAlign w:val="bottom"/>
            <w:gridSpan w:val="30"/>
          </w:tcPr>
          <w:p>
            <w:pPr>
              <w:spacing w:after="0" w:line="156" w:lineRule="exact"/>
              <w:rPr>
                <w:rFonts w:ascii="Arial" w:cs="Arial" w:eastAsia="Arial" w:hAnsi="Arial"/>
                <w:sz w:val="18"/>
                <w:szCs w:val="18"/>
                <w:color w:val="0000FF"/>
              </w:rPr>
            </w:pPr>
            <w:hyperlink r:id="rId109">
              <w:r>
                <w:rPr>
                  <w:rFonts w:ascii="Arial" w:cs="Arial" w:eastAsia="Arial" w:hAnsi="Arial"/>
                  <w:sz w:val="18"/>
                  <w:szCs w:val="18"/>
                  <w:color w:val="0000FF"/>
                </w:rPr>
                <w:t>No. 333-142535) as filed with the SEC on May 21, 2008</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880" w:type="dxa"/>
            <w:vAlign w:val="bottom"/>
          </w:tcPr>
          <w:p>
            <w:pPr>
              <w:jc w:val="center"/>
              <w:ind w:right="150"/>
              <w:spacing w:after="0"/>
              <w:rPr>
                <w:sz w:val="20"/>
                <w:szCs w:val="20"/>
                <w:color w:val="auto"/>
              </w:rPr>
            </w:pPr>
            <w:r>
              <w:rPr>
                <w:rFonts w:ascii="Arial" w:cs="Arial" w:eastAsia="Arial" w:hAnsi="Arial"/>
                <w:sz w:val="18"/>
                <w:szCs w:val="18"/>
                <w:color w:val="auto"/>
                <w:w w:val="91"/>
              </w:rPr>
              <w:t>10.24.2†</w:t>
            </w:r>
          </w:p>
        </w:tc>
        <w:tc>
          <w:tcPr>
            <w:tcW w:w="360" w:type="dxa"/>
            <w:vAlign w:val="bottom"/>
          </w:tcPr>
          <w:p>
            <w:pPr>
              <w:spacing w:after="0"/>
              <w:rPr>
                <w:sz w:val="24"/>
                <w:szCs w:val="24"/>
                <w:color w:val="auto"/>
              </w:rPr>
            </w:pPr>
          </w:p>
        </w:tc>
        <w:tc>
          <w:tcPr>
            <w:tcW w:w="8440" w:type="dxa"/>
            <w:vAlign w:val="bottom"/>
            <w:gridSpan w:val="38"/>
          </w:tcPr>
          <w:p>
            <w:pPr>
              <w:spacing w:after="0"/>
              <w:rPr>
                <w:rFonts w:ascii="Arial" w:cs="Arial" w:eastAsia="Arial" w:hAnsi="Arial"/>
                <w:sz w:val="18"/>
                <w:szCs w:val="18"/>
                <w:color w:val="0000FF"/>
              </w:rPr>
            </w:pPr>
            <w:hyperlink r:id="rId110">
              <w:r>
                <w:rPr>
                  <w:rFonts w:ascii="Arial" w:cs="Arial" w:eastAsia="Arial" w:hAnsi="Arial"/>
                  <w:sz w:val="18"/>
                  <w:szCs w:val="18"/>
                  <w:color w:val="0000FF"/>
                </w:rPr>
                <w:t>Third Amendment to Amended and Restated Lease Agreement, dated July 3, 2012, by and between The</w:t>
              </w:r>
            </w:hyperlink>
          </w:p>
        </w:tc>
      </w:tr>
      <w:tr>
        <w:trPr>
          <w:trHeight w:val="169"/>
        </w:trPr>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300" w:type="dxa"/>
            <w:vAlign w:val="bottom"/>
            <w:tcBorders>
              <w:top w:val="single" w:sz="8" w:color="0000FF"/>
            </w:tcBorders>
            <w:gridSpan w:val="31"/>
          </w:tcPr>
          <w:p>
            <w:pPr>
              <w:spacing w:after="0" w:line="169" w:lineRule="exact"/>
              <w:rPr>
                <w:rFonts w:ascii="Arial" w:cs="Arial" w:eastAsia="Arial" w:hAnsi="Arial"/>
                <w:sz w:val="18"/>
                <w:szCs w:val="18"/>
                <w:color w:val="0000FF"/>
                <w:w w:val="95"/>
              </w:rPr>
            </w:pPr>
            <w:hyperlink r:id="rId110">
              <w:r>
                <w:rPr>
                  <w:rFonts w:ascii="Arial" w:cs="Arial" w:eastAsia="Arial" w:hAnsi="Arial"/>
                  <w:sz w:val="18"/>
                  <w:szCs w:val="18"/>
                  <w:color w:val="0000FF"/>
                  <w:w w:val="95"/>
                </w:rPr>
                <w:t>Gateway to Nashville LLC and Cumberland Emerging Technologies, Inc., incorporated herein by reference to</w:t>
              </w:r>
            </w:hyperlink>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5"/>
              </w:rPr>
            </w:pPr>
            <w:hyperlink r:id="rId110">
              <w:r>
                <w:rPr>
                  <w:rFonts w:ascii="Arial" w:cs="Arial" w:eastAsia="Arial" w:hAnsi="Arial"/>
                  <w:sz w:val="18"/>
                  <w:szCs w:val="18"/>
                  <w:color w:val="0000FF"/>
                  <w:w w:val="95"/>
                </w:rPr>
                <w:t>the corresponding exhibit to the Registrant's Quarterly Report on Form 10-Q (File No. 001-33637) as filed</w:t>
              </w:r>
            </w:hyperlink>
          </w:p>
        </w:tc>
        <w:tc>
          <w:tcPr>
            <w:tcW w:w="60" w:type="dxa"/>
            <w:vAlign w:val="bottom"/>
            <w:tcBorders>
              <w:bottom w:val="single" w:sz="8" w:color="0000FF"/>
            </w:tcBorders>
            <w:gridSpan w:val="3"/>
          </w:tcPr>
          <w:p>
            <w:pPr>
              <w:spacing w:after="0"/>
              <w:rPr>
                <w:sz w:val="13"/>
                <w:szCs w:val="13"/>
                <w:color w:val="auto"/>
              </w:rPr>
            </w:pPr>
          </w:p>
        </w:tc>
        <w:tc>
          <w:tcPr>
            <w:tcW w:w="140" w:type="dxa"/>
            <w:vAlign w:val="bottom"/>
            <w:tcBorders>
              <w:bottom w:val="single" w:sz="8" w:color="0000FF"/>
            </w:tcBorders>
            <w:gridSpan w:val="7"/>
          </w:tcPr>
          <w:p>
            <w:pPr>
              <w:spacing w:after="0"/>
              <w:rPr>
                <w:sz w:val="13"/>
                <w:szCs w:val="13"/>
                <w:color w:val="auto"/>
              </w:rPr>
            </w:pPr>
          </w:p>
        </w:tc>
        <w:tc>
          <w:tcPr>
            <w:tcW w:w="200" w:type="dxa"/>
            <w:vAlign w:val="bottom"/>
            <w:gridSpan w:val="10"/>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40" w:type="dxa"/>
            <w:vAlign w:val="bottom"/>
            <w:tcBorders>
              <w:bottom w:val="single" w:sz="8" w:color="0000FF"/>
            </w:tcBorders>
            <w:gridSpan w:val="2"/>
          </w:tcPr>
          <w:p>
            <w:pPr>
              <w:spacing w:after="0" w:line="156" w:lineRule="exact"/>
              <w:rPr>
                <w:rFonts w:ascii="Arial" w:cs="Arial" w:eastAsia="Arial" w:hAnsi="Arial"/>
                <w:sz w:val="18"/>
                <w:szCs w:val="18"/>
                <w:color w:val="0000FF"/>
                <w:w w:val="90"/>
              </w:rPr>
            </w:pPr>
            <w:hyperlink r:id="rId110">
              <w:r>
                <w:rPr>
                  <w:rFonts w:ascii="Arial" w:cs="Arial" w:eastAsia="Arial" w:hAnsi="Arial"/>
                  <w:sz w:val="18"/>
                  <w:szCs w:val="18"/>
                  <w:color w:val="0000FF"/>
                  <w:w w:val="90"/>
                </w:rPr>
                <w:t>with the SEC on August 9, 2012</w:t>
              </w:r>
            </w:hyperlink>
          </w:p>
        </w:tc>
        <w:tc>
          <w:tcPr>
            <w:tcW w:w="5860" w:type="dxa"/>
            <w:vAlign w:val="bottom"/>
            <w:gridSpan w:val="24"/>
          </w:tcPr>
          <w:p>
            <w:pPr>
              <w:spacing w:after="0"/>
              <w:rPr>
                <w:sz w:val="13"/>
                <w:szCs w:val="13"/>
                <w:color w:val="auto"/>
              </w:rPr>
            </w:pPr>
          </w:p>
        </w:tc>
        <w:tc>
          <w:tcPr>
            <w:tcW w:w="200" w:type="dxa"/>
            <w:vAlign w:val="bottom"/>
            <w:gridSpan w:val="10"/>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0"/>
              </w:rPr>
              <w:t>10.25†</w:t>
            </w:r>
          </w:p>
        </w:tc>
        <w:tc>
          <w:tcPr>
            <w:tcW w:w="360" w:type="dxa"/>
            <w:vAlign w:val="bottom"/>
          </w:tcPr>
          <w:p>
            <w:pPr>
              <w:spacing w:after="0"/>
              <w:rPr>
                <w:sz w:val="24"/>
                <w:szCs w:val="24"/>
                <w:color w:val="auto"/>
              </w:rPr>
            </w:pPr>
          </w:p>
        </w:tc>
        <w:tc>
          <w:tcPr>
            <w:tcW w:w="8440" w:type="dxa"/>
            <w:vAlign w:val="bottom"/>
            <w:gridSpan w:val="38"/>
          </w:tcPr>
          <w:p>
            <w:pPr>
              <w:spacing w:after="0"/>
              <w:rPr>
                <w:rFonts w:ascii="Arial" w:cs="Arial" w:eastAsia="Arial" w:hAnsi="Arial"/>
                <w:sz w:val="18"/>
                <w:szCs w:val="18"/>
                <w:color w:val="0000FF"/>
                <w:w w:val="95"/>
              </w:rPr>
            </w:pPr>
            <w:hyperlink r:id="rId111">
              <w:r>
                <w:rPr>
                  <w:rFonts w:ascii="Arial" w:cs="Arial" w:eastAsia="Arial" w:hAnsi="Arial"/>
                  <w:sz w:val="18"/>
                  <w:szCs w:val="18"/>
                  <w:color w:val="0000FF"/>
                  <w:w w:val="95"/>
                </w:rPr>
                <w:t>License and Supply Agreement, dated November 16, 2015, by and between Cumberland Pharmaceuticals Inc.</w:t>
              </w:r>
            </w:hyperlink>
          </w:p>
        </w:tc>
      </w:tr>
      <w:tr>
        <w:trPr>
          <w:trHeight w:val="169"/>
        </w:trPr>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6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r:id="rId111">
              <w:r>
                <w:rPr>
                  <w:rFonts w:ascii="Arial" w:cs="Arial" w:eastAsia="Arial" w:hAnsi="Arial"/>
                  <w:sz w:val="18"/>
                  <w:szCs w:val="18"/>
                  <w:color w:val="0000FF"/>
                </w:rPr>
                <w:t>and Gastro-Entero Logic, LLC incorporated herein by reference to the corresponding exhibit of the</w:t>
              </w:r>
            </w:hyperlink>
          </w:p>
        </w:tc>
        <w:tc>
          <w:tcPr>
            <w:tcW w:w="340" w:type="dxa"/>
            <w:vAlign w:val="bottom"/>
            <w:gridSpan w:val="17"/>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111">
              <w:r>
                <w:rPr>
                  <w:rFonts w:ascii="Arial" w:cs="Arial" w:eastAsia="Arial" w:hAnsi="Arial"/>
                  <w:sz w:val="18"/>
                  <w:szCs w:val="18"/>
                  <w:color w:val="0000FF"/>
                  <w:w w:val="91"/>
                </w:rPr>
                <w:t>Registrant's Annual Report on Form 10-K (File No. 001-33637) as filed with the SEC on March 14, 2016</w:t>
              </w:r>
            </w:hyperlink>
          </w:p>
        </w:tc>
        <w:tc>
          <w:tcPr>
            <w:tcW w:w="360" w:type="dxa"/>
            <w:vAlign w:val="bottom"/>
            <w:tcBorders>
              <w:top w:val="single" w:sz="8" w:color="0000FF"/>
            </w:tcBorders>
            <w:gridSpan w:val="4"/>
          </w:tcPr>
          <w:p>
            <w:pPr>
              <w:spacing w:after="0"/>
              <w:rPr>
                <w:sz w:val="13"/>
                <w:szCs w:val="13"/>
                <w:color w:val="auto"/>
              </w:rPr>
            </w:pPr>
          </w:p>
        </w:tc>
        <w:tc>
          <w:tcPr>
            <w:tcW w:w="440" w:type="dxa"/>
            <w:vAlign w:val="bottom"/>
            <w:gridSpan w:val="2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0"/>
              </w:rPr>
              <w:t>10.28†</w:t>
            </w:r>
          </w:p>
        </w:tc>
        <w:tc>
          <w:tcPr>
            <w:tcW w:w="360" w:type="dxa"/>
            <w:vAlign w:val="bottom"/>
          </w:tcPr>
          <w:p>
            <w:pPr>
              <w:spacing w:after="0"/>
              <w:rPr>
                <w:sz w:val="24"/>
                <w:szCs w:val="24"/>
                <w:color w:val="auto"/>
              </w:rPr>
            </w:pPr>
          </w:p>
        </w:tc>
        <w:tc>
          <w:tcPr>
            <w:tcW w:w="8440" w:type="dxa"/>
            <w:vAlign w:val="bottom"/>
            <w:gridSpan w:val="38"/>
          </w:tcPr>
          <w:p>
            <w:pPr>
              <w:spacing w:after="0"/>
              <w:rPr>
                <w:rFonts w:ascii="Arial" w:cs="Arial" w:eastAsia="Arial" w:hAnsi="Arial"/>
                <w:sz w:val="18"/>
                <w:szCs w:val="18"/>
                <w:color w:val="0000FF"/>
                <w:w w:val="97"/>
              </w:rPr>
            </w:pPr>
            <w:hyperlink r:id="rId112">
              <w:r>
                <w:rPr>
                  <w:rFonts w:ascii="Arial" w:cs="Arial" w:eastAsia="Arial" w:hAnsi="Arial"/>
                  <w:sz w:val="18"/>
                  <w:szCs w:val="18"/>
                  <w:color w:val="0000FF"/>
                  <w:w w:val="97"/>
                </w:rPr>
                <w:t>Asset Purchase and Royalty Agreement for Kristalose dated November 15, 2011 by and between Mylan Inc.</w:t>
              </w:r>
            </w:hyperlink>
          </w:p>
        </w:tc>
      </w:tr>
      <w:tr>
        <w:trPr>
          <w:trHeight w:val="169"/>
        </w:trPr>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20" w:type="dxa"/>
            <w:vAlign w:val="bottom"/>
            <w:tcBorders>
              <w:top w:val="single" w:sz="8" w:color="0000FF"/>
              <w:bottom w:val="single" w:sz="8" w:color="0000FF"/>
            </w:tcBorders>
            <w:gridSpan w:val="27"/>
          </w:tcPr>
          <w:p>
            <w:pPr>
              <w:spacing w:after="0" w:line="169" w:lineRule="exact"/>
              <w:rPr>
                <w:rFonts w:ascii="Arial" w:cs="Arial" w:eastAsia="Arial" w:hAnsi="Arial"/>
                <w:sz w:val="18"/>
                <w:szCs w:val="18"/>
                <w:color w:val="0000FF"/>
                <w:w w:val="96"/>
              </w:rPr>
            </w:pPr>
            <w:hyperlink r:id="rId112">
              <w:r>
                <w:rPr>
                  <w:rFonts w:ascii="Arial" w:cs="Arial" w:eastAsia="Arial" w:hAnsi="Arial"/>
                  <w:sz w:val="18"/>
                  <w:szCs w:val="18"/>
                  <w:color w:val="0000FF"/>
                  <w:w w:val="96"/>
                </w:rPr>
                <w:t>and Cumberland Pharmaceuticals Inc., incorporated herein by reference to the corresponding exhibit of the</w:t>
              </w:r>
            </w:hyperlink>
          </w:p>
        </w:tc>
        <w:tc>
          <w:tcPr>
            <w:tcW w:w="180" w:type="dxa"/>
            <w:vAlign w:val="bottom"/>
            <w:tcBorders>
              <w:bottom w:val="single" w:sz="8" w:color="0000FF"/>
            </w:tcBorders>
            <w:gridSpan w:val="9"/>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0" w:type="dxa"/>
            <w:vAlign w:val="bottom"/>
            <w:gridSpan w:val="36"/>
          </w:tcPr>
          <w:p>
            <w:pPr>
              <w:spacing w:after="0" w:line="156" w:lineRule="exact"/>
              <w:rPr>
                <w:rFonts w:ascii="Arial" w:cs="Arial" w:eastAsia="Arial" w:hAnsi="Arial"/>
                <w:sz w:val="18"/>
                <w:szCs w:val="18"/>
                <w:color w:val="0000FF"/>
                <w:w w:val="98"/>
              </w:rPr>
            </w:pPr>
            <w:hyperlink r:id="rId112">
              <w:r>
                <w:rPr>
                  <w:rFonts w:ascii="Arial" w:cs="Arial" w:eastAsia="Arial" w:hAnsi="Arial"/>
                  <w:sz w:val="18"/>
                  <w:szCs w:val="18"/>
                  <w:color w:val="0000FF"/>
                  <w:w w:val="98"/>
                </w:rPr>
                <w:t>Registrant’s Current Report on Form 8-K (File No. 001-33637) as filed with the SEC on November 22, 2011</w:t>
              </w:r>
            </w:hyperlink>
          </w:p>
        </w:tc>
        <w:tc>
          <w:tcPr>
            <w:tcW w:w="40" w:type="dxa"/>
            <w:vAlign w:val="bottom"/>
            <w:gridSpan w:val="2"/>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79"/>
          </w:cols>
          <w:pgMar w:left="780" w:top="1440" w:right="1440" w:bottom="1440" w:gutter="0" w:footer="0" w:header="0"/>
        </w:sectPr>
      </w:pPr>
    </w:p>
    <w:bookmarkStart w:id="78" w:name="page79"/>
    <w:bookmarkEnd w:id="78"/>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jc w:val="center"/>
              <w:ind w:right="570"/>
              <w:spacing w:after="0"/>
              <w:rPr>
                <w:sz w:val="20"/>
                <w:szCs w:val="20"/>
                <w:color w:val="auto"/>
              </w:rPr>
            </w:pPr>
            <w:r>
              <w:rPr>
                <w:rFonts w:ascii="Arial" w:cs="Arial" w:eastAsia="Arial" w:hAnsi="Arial"/>
                <w:sz w:val="18"/>
                <w:szCs w:val="18"/>
                <w:color w:val="auto"/>
                <w:w w:val="90"/>
              </w:rPr>
              <w:t>10.30#</w:t>
            </w:r>
          </w:p>
        </w:tc>
        <w:tc>
          <w:tcPr>
            <w:tcW w:w="8360" w:type="dxa"/>
            <w:vAlign w:val="bottom"/>
            <w:gridSpan w:val="31"/>
          </w:tcPr>
          <w:p>
            <w:pPr>
              <w:spacing w:after="0"/>
              <w:rPr>
                <w:rFonts w:ascii="Arial" w:cs="Arial" w:eastAsia="Arial" w:hAnsi="Arial"/>
                <w:sz w:val="18"/>
                <w:szCs w:val="18"/>
                <w:color w:val="0000FF"/>
                <w:w w:val="95"/>
              </w:rPr>
            </w:pPr>
            <w:hyperlink r:id="rId114">
              <w:r>
                <w:rPr>
                  <w:rFonts w:ascii="Arial" w:cs="Arial" w:eastAsia="Arial" w:hAnsi="Arial"/>
                  <w:sz w:val="18"/>
                  <w:szCs w:val="18"/>
                  <w:color w:val="0000FF"/>
                  <w:w w:val="95"/>
                </w:rPr>
                <w:t>Supplemental Executive Retirement and Savings Plan, incorporated herein by reference to the corresponding</w:t>
              </w:r>
            </w:hyperlink>
          </w:p>
        </w:tc>
      </w:tr>
      <w:tr>
        <w:trPr>
          <w:trHeight w:val="155"/>
        </w:trPr>
        <w:tc>
          <w:tcPr>
            <w:tcW w:w="1160" w:type="dxa"/>
            <w:vAlign w:val="bottom"/>
          </w:tcPr>
          <w:p>
            <w:pPr>
              <w:spacing w:after="0"/>
              <w:rPr>
                <w:sz w:val="13"/>
                <w:szCs w:val="13"/>
                <w:color w:val="auto"/>
              </w:rPr>
            </w:pPr>
          </w:p>
        </w:tc>
        <w:tc>
          <w:tcPr>
            <w:tcW w:w="8120" w:type="dxa"/>
            <w:vAlign w:val="bottom"/>
            <w:tcBorders>
              <w:top w:val="single" w:sz="8" w:color="0000FF"/>
            </w:tcBorders>
            <w:gridSpan w:val="19"/>
          </w:tcPr>
          <w:p>
            <w:pPr>
              <w:spacing w:after="0" w:line="156" w:lineRule="exact"/>
              <w:rPr>
                <w:rFonts w:ascii="Arial" w:cs="Arial" w:eastAsia="Arial" w:hAnsi="Arial"/>
                <w:sz w:val="18"/>
                <w:szCs w:val="18"/>
                <w:color w:val="0000FF"/>
                <w:w w:val="96"/>
              </w:rPr>
            </w:pPr>
            <w:hyperlink r:id="rId114">
              <w:r>
                <w:rPr>
                  <w:rFonts w:ascii="Arial" w:cs="Arial" w:eastAsia="Arial" w:hAnsi="Arial"/>
                  <w:sz w:val="18"/>
                  <w:szCs w:val="18"/>
                  <w:color w:val="0000FF"/>
                  <w:w w:val="96"/>
                </w:rPr>
                <w:t>exhibit to the Registrant's Current Report on Form 8-K (File No. 001-33637) as filed with the SEC on May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60" w:type="dxa"/>
            <w:vAlign w:val="bottom"/>
          </w:tcPr>
          <w:p>
            <w:pPr>
              <w:spacing w:after="0"/>
              <w:rPr>
                <w:sz w:val="14"/>
                <w:szCs w:val="14"/>
                <w:color w:val="auto"/>
              </w:rPr>
            </w:pPr>
          </w:p>
        </w:tc>
        <w:tc>
          <w:tcPr>
            <w:tcW w:w="62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5"/>
              </w:rPr>
            </w:pPr>
            <w:hyperlink r:id="rId114">
              <w:r>
                <w:rPr>
                  <w:rFonts w:ascii="Arial" w:cs="Arial" w:eastAsia="Arial" w:hAnsi="Arial"/>
                  <w:sz w:val="18"/>
                  <w:szCs w:val="18"/>
                  <w:color w:val="0000FF"/>
                  <w:w w:val="85"/>
                </w:rPr>
                <w:t>24, 2012</w:t>
              </w:r>
            </w:hyperlink>
          </w:p>
        </w:tc>
        <w:tc>
          <w:tcPr>
            <w:tcW w:w="180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22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7"/>
        </w:trPr>
        <w:tc>
          <w:tcPr>
            <w:tcW w:w="1160" w:type="dxa"/>
            <w:vAlign w:val="bottom"/>
          </w:tcPr>
          <w:p>
            <w:pPr>
              <w:jc w:val="center"/>
              <w:ind w:right="570"/>
              <w:spacing w:after="0"/>
              <w:rPr>
                <w:sz w:val="20"/>
                <w:szCs w:val="20"/>
                <w:color w:val="auto"/>
              </w:rPr>
            </w:pPr>
            <w:r>
              <w:rPr>
                <w:rFonts w:ascii="Arial" w:cs="Arial" w:eastAsia="Arial" w:hAnsi="Arial"/>
                <w:sz w:val="18"/>
                <w:szCs w:val="18"/>
                <w:color w:val="auto"/>
                <w:w w:val="90"/>
              </w:rPr>
              <w:t>10.31†</w:t>
            </w:r>
          </w:p>
        </w:tc>
        <w:tc>
          <w:tcPr>
            <w:tcW w:w="8360" w:type="dxa"/>
            <w:vAlign w:val="bottom"/>
            <w:gridSpan w:val="31"/>
          </w:tcPr>
          <w:p>
            <w:pPr>
              <w:spacing w:after="0"/>
              <w:rPr>
                <w:rFonts w:ascii="Arial" w:cs="Arial" w:eastAsia="Arial" w:hAnsi="Arial"/>
                <w:sz w:val="18"/>
                <w:szCs w:val="18"/>
                <w:color w:val="0000FF"/>
                <w:w w:val="94"/>
              </w:rPr>
            </w:pPr>
            <w:hyperlink r:id="rId115">
              <w:r>
                <w:rPr>
                  <w:rFonts w:ascii="Arial" w:cs="Arial" w:eastAsia="Arial" w:hAnsi="Arial"/>
                  <w:sz w:val="18"/>
                  <w:szCs w:val="18"/>
                  <w:color w:val="0000FF"/>
                  <w:w w:val="94"/>
                </w:rPr>
                <w:t>Settlement Agreement, dated November 9, 2012, by and between Cumberland Pharmaceuticals Inc., Paddock</w:t>
              </w:r>
            </w:hyperlink>
          </w:p>
        </w:tc>
      </w:tr>
      <w:tr>
        <w:trPr>
          <w:trHeight w:val="156"/>
        </w:trPr>
        <w:tc>
          <w:tcPr>
            <w:tcW w:w="1160" w:type="dxa"/>
            <w:vAlign w:val="bottom"/>
          </w:tcPr>
          <w:p>
            <w:pPr>
              <w:spacing w:after="0"/>
              <w:rPr>
                <w:sz w:val="13"/>
                <w:szCs w:val="13"/>
                <w:color w:val="auto"/>
              </w:rPr>
            </w:pPr>
          </w:p>
        </w:tc>
        <w:tc>
          <w:tcPr>
            <w:tcW w:w="79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115">
              <w:r>
                <w:rPr>
                  <w:rFonts w:ascii="Arial" w:cs="Arial" w:eastAsia="Arial" w:hAnsi="Arial"/>
                  <w:sz w:val="18"/>
                  <w:szCs w:val="18"/>
                  <w:color w:val="0000FF"/>
                  <w:w w:val="91"/>
                </w:rPr>
                <w:t>Laboratories, LLC and Perrigo Company incorporated herein by reference to the corresponding exhibit to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60" w:type="dxa"/>
            <w:vAlign w:val="bottom"/>
          </w:tcPr>
          <w:p>
            <w:pPr>
              <w:spacing w:after="0"/>
              <w:rPr>
                <w:sz w:val="14"/>
                <w:szCs w:val="14"/>
                <w:color w:val="auto"/>
              </w:rPr>
            </w:pPr>
          </w:p>
        </w:tc>
        <w:tc>
          <w:tcPr>
            <w:tcW w:w="7620" w:type="dxa"/>
            <w:vAlign w:val="bottom"/>
            <w:tcBorders>
              <w:bottom w:val="single" w:sz="8" w:color="0000FF"/>
            </w:tcBorders>
            <w:gridSpan w:val="9"/>
          </w:tcPr>
          <w:p>
            <w:pPr>
              <w:spacing w:after="0" w:line="169" w:lineRule="exact"/>
              <w:rPr>
                <w:rFonts w:ascii="Arial" w:cs="Arial" w:eastAsia="Arial" w:hAnsi="Arial"/>
                <w:sz w:val="18"/>
                <w:szCs w:val="18"/>
                <w:color w:val="0000FF"/>
                <w:w w:val="91"/>
              </w:rPr>
            </w:pPr>
            <w:hyperlink r:id="rId115">
              <w:r>
                <w:rPr>
                  <w:rFonts w:ascii="Arial" w:cs="Arial" w:eastAsia="Arial" w:hAnsi="Arial"/>
                  <w:sz w:val="18"/>
                  <w:szCs w:val="18"/>
                  <w:color w:val="0000FF"/>
                  <w:w w:val="91"/>
                </w:rPr>
                <w:t>Registrant’s Annual Report on Form 10-K (File No. 001-33637) as filed with the SEC on March 12, 2013</w:t>
              </w:r>
            </w:hyperlink>
          </w:p>
        </w:tc>
        <w:tc>
          <w:tcPr>
            <w:tcW w:w="580" w:type="dxa"/>
            <w:vAlign w:val="bottom"/>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160" w:type="dxa"/>
            <w:vAlign w:val="bottom"/>
          </w:tcPr>
          <w:p>
            <w:pPr>
              <w:jc w:val="center"/>
              <w:ind w:right="570"/>
              <w:spacing w:after="0"/>
              <w:rPr>
                <w:sz w:val="20"/>
                <w:szCs w:val="20"/>
                <w:color w:val="auto"/>
              </w:rPr>
            </w:pPr>
            <w:r>
              <w:rPr>
                <w:rFonts w:ascii="Arial" w:cs="Arial" w:eastAsia="Arial" w:hAnsi="Arial"/>
                <w:sz w:val="18"/>
                <w:szCs w:val="18"/>
                <w:color w:val="auto"/>
                <w:w w:val="90"/>
              </w:rPr>
              <w:t>10.32†</w:t>
            </w:r>
          </w:p>
        </w:tc>
        <w:tc>
          <w:tcPr>
            <w:tcW w:w="8360" w:type="dxa"/>
            <w:vAlign w:val="bottom"/>
            <w:gridSpan w:val="31"/>
          </w:tcPr>
          <w:p>
            <w:pPr>
              <w:spacing w:after="0"/>
              <w:rPr>
                <w:rFonts w:ascii="Arial" w:cs="Arial" w:eastAsia="Arial" w:hAnsi="Arial"/>
                <w:sz w:val="18"/>
                <w:szCs w:val="18"/>
                <w:color w:val="0000FF"/>
                <w:w w:val="95"/>
              </w:rPr>
            </w:pPr>
            <w:hyperlink r:id="rId116">
              <w:r>
                <w:rPr>
                  <w:rFonts w:ascii="Arial" w:cs="Arial" w:eastAsia="Arial" w:hAnsi="Arial"/>
                  <w:sz w:val="18"/>
                  <w:szCs w:val="18"/>
                  <w:color w:val="0000FF"/>
                  <w:w w:val="95"/>
                </w:rPr>
                <w:t>License and Supply Agreement, dated November 9, 2012, by and between Cumberland Pharmaceuticals Inc.,</w:t>
              </w:r>
            </w:hyperlink>
          </w:p>
        </w:tc>
      </w:tr>
      <w:tr>
        <w:trPr>
          <w:trHeight w:val="156"/>
        </w:trPr>
        <w:tc>
          <w:tcPr>
            <w:tcW w:w="1160" w:type="dxa"/>
            <w:vAlign w:val="bottom"/>
          </w:tcPr>
          <w:p>
            <w:pPr>
              <w:spacing w:after="0"/>
              <w:rPr>
                <w:sz w:val="13"/>
                <w:szCs w:val="13"/>
                <w:color w:val="auto"/>
              </w:rPr>
            </w:pPr>
          </w:p>
        </w:tc>
        <w:tc>
          <w:tcPr>
            <w:tcW w:w="8340" w:type="dxa"/>
            <w:vAlign w:val="bottom"/>
            <w:tcBorders>
              <w:top w:val="single" w:sz="8" w:color="0000FF"/>
            </w:tcBorders>
            <w:gridSpan w:val="30"/>
          </w:tcPr>
          <w:p>
            <w:pPr>
              <w:spacing w:after="0" w:line="156" w:lineRule="exact"/>
              <w:rPr>
                <w:rFonts w:ascii="Arial" w:cs="Arial" w:eastAsia="Arial" w:hAnsi="Arial"/>
                <w:sz w:val="18"/>
                <w:szCs w:val="18"/>
                <w:color w:val="0000FF"/>
                <w:w w:val="99"/>
              </w:rPr>
            </w:pPr>
            <w:hyperlink r:id="rId116">
              <w:r>
                <w:rPr>
                  <w:rFonts w:ascii="Arial" w:cs="Arial" w:eastAsia="Arial" w:hAnsi="Arial"/>
                  <w:sz w:val="18"/>
                  <w:szCs w:val="18"/>
                  <w:color w:val="0000FF"/>
                  <w:w w:val="99"/>
                </w:rPr>
                <w:t>Paddock Laboratories, LLC and Perrigo Company incorporated herein by reference to the corresponding</w:t>
              </w:r>
            </w:hyperlink>
          </w:p>
        </w:tc>
        <w:tc>
          <w:tcPr>
            <w:tcW w:w="20" w:type="dxa"/>
            <w:vAlign w:val="bottom"/>
          </w:tcPr>
          <w:p>
            <w:pPr>
              <w:spacing w:after="0"/>
              <w:rPr>
                <w:sz w:val="13"/>
                <w:szCs w:val="13"/>
                <w:color w:val="auto"/>
              </w:rPr>
            </w:pPr>
          </w:p>
        </w:tc>
      </w:tr>
      <w:tr>
        <w:trPr>
          <w:trHeight w:val="169"/>
        </w:trPr>
        <w:tc>
          <w:tcPr>
            <w:tcW w:w="1160" w:type="dxa"/>
            <w:vAlign w:val="bottom"/>
          </w:tcPr>
          <w:p>
            <w:pPr>
              <w:spacing w:after="0"/>
              <w:rPr>
                <w:sz w:val="14"/>
                <w:szCs w:val="14"/>
                <w:color w:val="auto"/>
              </w:rPr>
            </w:pPr>
          </w:p>
        </w:tc>
        <w:tc>
          <w:tcPr>
            <w:tcW w:w="8040" w:type="dxa"/>
            <w:vAlign w:val="bottom"/>
            <w:tcBorders>
              <w:top w:val="single" w:sz="8" w:color="0000FF"/>
              <w:bottom w:val="single" w:sz="8" w:color="0000FF"/>
            </w:tcBorders>
            <w:gridSpan w:val="15"/>
          </w:tcPr>
          <w:p>
            <w:pPr>
              <w:spacing w:after="0" w:line="169" w:lineRule="exact"/>
              <w:rPr>
                <w:rFonts w:ascii="Arial" w:cs="Arial" w:eastAsia="Arial" w:hAnsi="Arial"/>
                <w:sz w:val="18"/>
                <w:szCs w:val="18"/>
                <w:color w:val="0000FF"/>
                <w:w w:val="93"/>
              </w:rPr>
            </w:pPr>
            <w:hyperlink r:id="rId116">
              <w:r>
                <w:rPr>
                  <w:rFonts w:ascii="Arial" w:cs="Arial" w:eastAsia="Arial" w:hAnsi="Arial"/>
                  <w:sz w:val="18"/>
                  <w:szCs w:val="18"/>
                  <w:color w:val="0000FF"/>
                  <w:w w:val="93"/>
                </w:rPr>
                <w:t>exhibit to the Registrant’s Annual Report on Form 10-K (File No. 001-33637) as filed with the SEC on March</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620" w:type="dxa"/>
            <w:vAlign w:val="bottom"/>
            <w:tcBorders>
              <w:bottom w:val="single" w:sz="8" w:color="0000FF"/>
            </w:tcBorders>
          </w:tcPr>
          <w:p>
            <w:pPr>
              <w:spacing w:after="0" w:line="156" w:lineRule="exact"/>
              <w:rPr>
                <w:rFonts w:ascii="Arial" w:cs="Arial" w:eastAsia="Arial" w:hAnsi="Arial"/>
                <w:sz w:val="18"/>
                <w:szCs w:val="18"/>
                <w:color w:val="0000FF"/>
                <w:w w:val="85"/>
              </w:rPr>
            </w:pPr>
            <w:hyperlink r:id="rId116">
              <w:r>
                <w:rPr>
                  <w:rFonts w:ascii="Arial" w:cs="Arial" w:eastAsia="Arial" w:hAnsi="Arial"/>
                  <w:sz w:val="18"/>
                  <w:szCs w:val="18"/>
                  <w:color w:val="0000FF"/>
                  <w:w w:val="85"/>
                </w:rPr>
                <w:t>12, 2013</w:t>
              </w:r>
            </w:hyperlink>
          </w:p>
        </w:tc>
        <w:tc>
          <w:tcPr>
            <w:tcW w:w="1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160" w:type="dxa"/>
            <w:vAlign w:val="bottom"/>
          </w:tcPr>
          <w:p>
            <w:pPr>
              <w:jc w:val="center"/>
              <w:ind w:right="590"/>
              <w:spacing w:after="0"/>
              <w:rPr>
                <w:sz w:val="20"/>
                <w:szCs w:val="20"/>
                <w:color w:val="auto"/>
              </w:rPr>
            </w:pPr>
            <w:r>
              <w:rPr>
                <w:rFonts w:ascii="Arial" w:cs="Arial" w:eastAsia="Arial" w:hAnsi="Arial"/>
                <w:sz w:val="18"/>
                <w:szCs w:val="18"/>
                <w:color w:val="auto"/>
                <w:w w:val="88"/>
              </w:rPr>
              <w:t>10.34</w:t>
            </w:r>
          </w:p>
        </w:tc>
        <w:tc>
          <w:tcPr>
            <w:tcW w:w="8360" w:type="dxa"/>
            <w:vAlign w:val="bottom"/>
            <w:gridSpan w:val="31"/>
          </w:tcPr>
          <w:p>
            <w:pPr>
              <w:spacing w:after="0"/>
              <w:rPr>
                <w:rFonts w:ascii="Arial" w:cs="Arial" w:eastAsia="Arial" w:hAnsi="Arial"/>
                <w:sz w:val="18"/>
                <w:szCs w:val="18"/>
                <w:color w:val="0000FF"/>
                <w:w w:val="98"/>
              </w:rPr>
            </w:pPr>
            <w:hyperlink r:id="rId117">
              <w:r>
                <w:rPr>
                  <w:rFonts w:ascii="Arial" w:cs="Arial" w:eastAsia="Arial" w:hAnsi="Arial"/>
                  <w:sz w:val="18"/>
                  <w:szCs w:val="18"/>
                  <w:color w:val="0000FF"/>
                  <w:w w:val="98"/>
                </w:rPr>
                <w:t>Revolving Credit Loan Agreement, dated July 31, 2017, by and between Cumberland Pharmaceuticals Inc.</w:t>
              </w:r>
            </w:hyperlink>
          </w:p>
        </w:tc>
      </w:tr>
      <w:tr>
        <w:trPr>
          <w:trHeight w:val="156"/>
        </w:trPr>
        <w:tc>
          <w:tcPr>
            <w:tcW w:w="1160" w:type="dxa"/>
            <w:vAlign w:val="bottom"/>
          </w:tcPr>
          <w:p>
            <w:pPr>
              <w:spacing w:after="0"/>
              <w:rPr>
                <w:sz w:val="13"/>
                <w:szCs w:val="13"/>
                <w:color w:val="auto"/>
              </w:rPr>
            </w:pPr>
          </w:p>
        </w:tc>
        <w:tc>
          <w:tcPr>
            <w:tcW w:w="79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117">
              <w:r>
                <w:rPr>
                  <w:rFonts w:ascii="Arial" w:cs="Arial" w:eastAsia="Arial" w:hAnsi="Arial"/>
                  <w:sz w:val="18"/>
                  <w:szCs w:val="18"/>
                  <w:color w:val="0000FF"/>
                  <w:w w:val="91"/>
                </w:rPr>
                <w:t>and Pinnacle Bank incorporated herein by reference to the corresponding exhibit to the Registrant's Quarterly</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160" w:type="dxa"/>
            <w:vAlign w:val="bottom"/>
          </w:tcPr>
          <w:p>
            <w:pPr>
              <w:spacing w:after="0"/>
              <w:rPr>
                <w:sz w:val="14"/>
                <w:szCs w:val="14"/>
                <w:color w:val="auto"/>
              </w:rPr>
            </w:pPr>
          </w:p>
        </w:tc>
        <w:tc>
          <w:tcPr>
            <w:tcW w:w="6340" w:type="dxa"/>
            <w:vAlign w:val="bottom"/>
            <w:tcBorders>
              <w:bottom w:val="single" w:sz="8" w:color="0000FF"/>
            </w:tcBorders>
            <w:gridSpan w:val="7"/>
          </w:tcPr>
          <w:p>
            <w:pPr>
              <w:spacing w:after="0" w:line="169" w:lineRule="exact"/>
              <w:rPr>
                <w:rFonts w:ascii="Arial" w:cs="Arial" w:eastAsia="Arial" w:hAnsi="Arial"/>
                <w:sz w:val="18"/>
                <w:szCs w:val="18"/>
                <w:color w:val="0000FF"/>
                <w:w w:val="91"/>
              </w:rPr>
            </w:pPr>
            <w:hyperlink r:id="rId117">
              <w:r>
                <w:rPr>
                  <w:rFonts w:ascii="Arial" w:cs="Arial" w:eastAsia="Arial" w:hAnsi="Arial"/>
                  <w:sz w:val="18"/>
                  <w:szCs w:val="18"/>
                  <w:color w:val="0000FF"/>
                  <w:w w:val="91"/>
                </w:rPr>
                <w:t>Report on Form 10-Q (File No. 001-33637) as filed with the SEC on November 8, 2017</w:t>
              </w:r>
            </w:hyperlink>
          </w:p>
        </w:tc>
        <w:tc>
          <w:tcPr>
            <w:tcW w:w="1680" w:type="dxa"/>
            <w:vAlign w:val="bottom"/>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3"/>
        </w:trPr>
        <w:tc>
          <w:tcPr>
            <w:tcW w:w="1160" w:type="dxa"/>
            <w:vAlign w:val="bottom"/>
          </w:tcPr>
          <w:p>
            <w:pPr>
              <w:jc w:val="center"/>
              <w:ind w:right="590"/>
              <w:spacing w:after="0"/>
              <w:rPr>
                <w:sz w:val="20"/>
                <w:szCs w:val="20"/>
                <w:color w:val="auto"/>
              </w:rPr>
            </w:pPr>
            <w:r>
              <w:rPr>
                <w:rFonts w:ascii="Arial" w:cs="Arial" w:eastAsia="Arial" w:hAnsi="Arial"/>
                <w:sz w:val="18"/>
                <w:szCs w:val="18"/>
                <w:color w:val="auto"/>
                <w:w w:val="88"/>
              </w:rPr>
              <w:t>10.35</w:t>
            </w:r>
          </w:p>
        </w:tc>
        <w:tc>
          <w:tcPr>
            <w:tcW w:w="8360" w:type="dxa"/>
            <w:vAlign w:val="bottom"/>
            <w:gridSpan w:val="31"/>
          </w:tcPr>
          <w:p>
            <w:pPr>
              <w:spacing w:after="0"/>
              <w:rPr>
                <w:rFonts w:ascii="Arial" w:cs="Arial" w:eastAsia="Arial" w:hAnsi="Arial"/>
                <w:sz w:val="18"/>
                <w:szCs w:val="18"/>
                <w:color w:val="0000FF"/>
              </w:rPr>
            </w:pPr>
            <w:hyperlink r:id="rId94">
              <w:r>
                <w:rPr>
                  <w:rFonts w:ascii="Arial" w:cs="Arial" w:eastAsia="Arial" w:hAnsi="Arial"/>
                  <w:sz w:val="18"/>
                  <w:szCs w:val="18"/>
                  <w:color w:val="0000FF"/>
                </w:rPr>
                <w:t>Amendment to Revolving Credit Loan Agreement, by and between Pinnacle Bank and Cumberland</w:t>
              </w:r>
            </w:hyperlink>
          </w:p>
        </w:tc>
      </w:tr>
      <w:tr>
        <w:trPr>
          <w:trHeight w:val="156"/>
        </w:trPr>
        <w:tc>
          <w:tcPr>
            <w:tcW w:w="1160" w:type="dxa"/>
            <w:vAlign w:val="bottom"/>
          </w:tcPr>
          <w:p>
            <w:pPr>
              <w:spacing w:after="0"/>
              <w:rPr>
                <w:sz w:val="13"/>
                <w:szCs w:val="13"/>
                <w:color w:val="auto"/>
              </w:rPr>
            </w:pPr>
          </w:p>
        </w:tc>
        <w:tc>
          <w:tcPr>
            <w:tcW w:w="82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94">
              <w:r>
                <w:rPr>
                  <w:rFonts w:ascii="Arial" w:cs="Arial" w:eastAsia="Arial" w:hAnsi="Arial"/>
                  <w:sz w:val="18"/>
                  <w:szCs w:val="18"/>
                  <w:color w:val="0000FF"/>
                </w:rPr>
                <w:t>Pharmaceuticals Inc., dated August 14, 2018, incorporated herein by reference to Exhibit 10.1 to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160" w:type="dxa"/>
            <w:vAlign w:val="bottom"/>
          </w:tcPr>
          <w:p>
            <w:pPr>
              <w:spacing w:after="0"/>
              <w:rPr>
                <w:sz w:val="14"/>
                <w:szCs w:val="14"/>
                <w:color w:val="auto"/>
              </w:rPr>
            </w:pPr>
          </w:p>
        </w:tc>
        <w:tc>
          <w:tcPr>
            <w:tcW w:w="758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1"/>
              </w:rPr>
            </w:pPr>
            <w:hyperlink r:id="rId94">
              <w:r>
                <w:rPr>
                  <w:rFonts w:ascii="Arial" w:cs="Arial" w:eastAsia="Arial" w:hAnsi="Arial"/>
                  <w:sz w:val="18"/>
                  <w:szCs w:val="18"/>
                  <w:color w:val="0000FF"/>
                  <w:w w:val="91"/>
                </w:rPr>
                <w:t>Registrant's Quarterly Report Form 10-Q (File No. 001-33637) as filed with the SEC on August 14, 2018</w:t>
              </w:r>
            </w:hyperlink>
          </w:p>
        </w:tc>
        <w:tc>
          <w:tcPr>
            <w:tcW w:w="600" w:type="dxa"/>
            <w:vAlign w:val="bottom"/>
            <w:tcBorders>
              <w:top w:val="single" w:sz="8" w:color="0000FF"/>
            </w:tcBorders>
            <w:gridSpan w:val="1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4"/>
        </w:trPr>
        <w:tc>
          <w:tcPr>
            <w:tcW w:w="1160" w:type="dxa"/>
            <w:vAlign w:val="bottom"/>
          </w:tcPr>
          <w:p>
            <w:pPr>
              <w:jc w:val="center"/>
              <w:ind w:right="590"/>
              <w:spacing w:after="0"/>
              <w:rPr>
                <w:sz w:val="20"/>
                <w:szCs w:val="20"/>
                <w:color w:val="auto"/>
              </w:rPr>
            </w:pPr>
            <w:r>
              <w:rPr>
                <w:rFonts w:ascii="Arial" w:cs="Arial" w:eastAsia="Arial" w:hAnsi="Arial"/>
                <w:sz w:val="18"/>
                <w:szCs w:val="18"/>
                <w:color w:val="auto"/>
                <w:w w:val="88"/>
              </w:rPr>
              <w:t>10.36</w:t>
            </w:r>
          </w:p>
        </w:tc>
        <w:tc>
          <w:tcPr>
            <w:tcW w:w="8360" w:type="dxa"/>
            <w:vAlign w:val="bottom"/>
            <w:gridSpan w:val="31"/>
          </w:tcPr>
          <w:p>
            <w:pPr>
              <w:spacing w:after="0"/>
              <w:rPr>
                <w:rFonts w:ascii="Arial" w:cs="Arial" w:eastAsia="Arial" w:hAnsi="Arial"/>
                <w:sz w:val="18"/>
                <w:szCs w:val="18"/>
                <w:color w:val="0000FF"/>
                <w:w w:val="99"/>
              </w:rPr>
            </w:pPr>
            <w:hyperlink r:id="rId94">
              <w:r>
                <w:rPr>
                  <w:rFonts w:ascii="Arial" w:cs="Arial" w:eastAsia="Arial" w:hAnsi="Arial"/>
                  <w:sz w:val="18"/>
                  <w:szCs w:val="18"/>
                  <w:color w:val="0000FF"/>
                  <w:w w:val="99"/>
                </w:rPr>
                <w:t>First Amendment to Revolving Credit Note and Second Amendment to Revolving Credit Loan Agreement,</w:t>
              </w:r>
            </w:hyperlink>
          </w:p>
        </w:tc>
      </w:tr>
      <w:tr>
        <w:trPr>
          <w:trHeight w:val="156"/>
        </w:trPr>
        <w:tc>
          <w:tcPr>
            <w:tcW w:w="1160" w:type="dxa"/>
            <w:vAlign w:val="bottom"/>
          </w:tcPr>
          <w:p>
            <w:pPr>
              <w:spacing w:after="0"/>
              <w:rPr>
                <w:sz w:val="13"/>
                <w:szCs w:val="13"/>
                <w:color w:val="auto"/>
              </w:rPr>
            </w:pPr>
          </w:p>
        </w:tc>
        <w:tc>
          <w:tcPr>
            <w:tcW w:w="83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94">
              <w:r>
                <w:rPr>
                  <w:rFonts w:ascii="Arial" w:cs="Arial" w:eastAsia="Arial" w:hAnsi="Arial"/>
                  <w:sz w:val="18"/>
                  <w:szCs w:val="18"/>
                  <w:color w:val="0000FF"/>
                </w:rPr>
                <w:t>dated as of October 17, 2018, by and between Cumberland Pharmaceuticals Inc. and Pinnacle Bank,</w:t>
              </w:r>
            </w:hyperlink>
          </w:p>
        </w:tc>
        <w:tc>
          <w:tcPr>
            <w:tcW w:w="40" w:type="dxa"/>
            <w:vAlign w:val="bottom"/>
            <w:gridSpan w:val="2"/>
          </w:tcPr>
          <w:p>
            <w:pPr>
              <w:spacing w:after="0"/>
              <w:rPr>
                <w:sz w:val="13"/>
                <w:szCs w:val="13"/>
                <w:color w:val="auto"/>
              </w:rPr>
            </w:pPr>
          </w:p>
        </w:tc>
      </w:tr>
      <w:tr>
        <w:trPr>
          <w:trHeight w:val="169"/>
        </w:trPr>
        <w:tc>
          <w:tcPr>
            <w:tcW w:w="1160" w:type="dxa"/>
            <w:vAlign w:val="bottom"/>
          </w:tcPr>
          <w:p>
            <w:pPr>
              <w:spacing w:after="0"/>
              <w:rPr>
                <w:sz w:val="14"/>
                <w:szCs w:val="14"/>
                <w:color w:val="auto"/>
              </w:rPr>
            </w:pPr>
          </w:p>
        </w:tc>
        <w:tc>
          <w:tcPr>
            <w:tcW w:w="8000" w:type="dxa"/>
            <w:vAlign w:val="bottom"/>
            <w:tcBorders>
              <w:top w:val="single" w:sz="8" w:color="0000FF"/>
              <w:bottom w:val="single" w:sz="8" w:color="0000FF"/>
            </w:tcBorders>
            <w:gridSpan w:val="13"/>
          </w:tcPr>
          <w:p>
            <w:pPr>
              <w:spacing w:after="0" w:line="169" w:lineRule="exact"/>
              <w:rPr>
                <w:rFonts w:ascii="Arial" w:cs="Arial" w:eastAsia="Arial" w:hAnsi="Arial"/>
                <w:sz w:val="18"/>
                <w:szCs w:val="18"/>
                <w:color w:val="0000FF"/>
                <w:w w:val="96"/>
              </w:rPr>
            </w:pPr>
            <w:hyperlink r:id="rId94">
              <w:r>
                <w:rPr>
                  <w:rFonts w:ascii="Arial" w:cs="Arial" w:eastAsia="Arial" w:hAnsi="Arial"/>
                  <w:sz w:val="18"/>
                  <w:szCs w:val="18"/>
                  <w:color w:val="0000FF"/>
                  <w:w w:val="96"/>
                </w:rPr>
                <w:t>incorporated herein by reference to Exhibit 10.1 to the Registrant's Current Report on Form 8-K (File No.</w:t>
              </w:r>
            </w:hyperlink>
          </w:p>
        </w:tc>
        <w:tc>
          <w:tcPr>
            <w:tcW w:w="60" w:type="dxa"/>
            <w:vAlign w:val="bottom"/>
            <w:tcBorders>
              <w:bottom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3940" w:type="dxa"/>
            <w:vAlign w:val="bottom"/>
            <w:tcBorders>
              <w:bottom w:val="single" w:sz="8" w:color="0000FF"/>
            </w:tcBorders>
            <w:gridSpan w:val="5"/>
          </w:tcPr>
          <w:p>
            <w:pPr>
              <w:spacing w:after="0" w:line="156" w:lineRule="exact"/>
              <w:rPr>
                <w:rFonts w:ascii="Arial" w:cs="Arial" w:eastAsia="Arial" w:hAnsi="Arial"/>
                <w:sz w:val="18"/>
                <w:szCs w:val="18"/>
                <w:color w:val="0000FF"/>
                <w:w w:val="90"/>
              </w:rPr>
            </w:pPr>
            <w:hyperlink r:id="rId94">
              <w:r>
                <w:rPr>
                  <w:rFonts w:ascii="Arial" w:cs="Arial" w:eastAsia="Arial" w:hAnsi="Arial"/>
                  <w:sz w:val="18"/>
                  <w:szCs w:val="18"/>
                  <w:color w:val="0000FF"/>
                  <w:w w:val="90"/>
                </w:rPr>
                <w:t>001-33637) as filed with the SEC on October 19, 2018</w:t>
              </w:r>
            </w:hyperlink>
          </w:p>
        </w:tc>
        <w:tc>
          <w:tcPr>
            <w:tcW w:w="412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3"/>
        </w:trPr>
        <w:tc>
          <w:tcPr>
            <w:tcW w:w="1160" w:type="dxa"/>
            <w:vAlign w:val="bottom"/>
          </w:tcPr>
          <w:p>
            <w:pPr>
              <w:jc w:val="center"/>
              <w:ind w:right="590"/>
              <w:spacing w:after="0"/>
              <w:rPr>
                <w:sz w:val="20"/>
                <w:szCs w:val="20"/>
                <w:color w:val="auto"/>
              </w:rPr>
            </w:pPr>
            <w:r>
              <w:rPr>
                <w:rFonts w:ascii="Arial" w:cs="Arial" w:eastAsia="Arial" w:hAnsi="Arial"/>
                <w:sz w:val="18"/>
                <w:szCs w:val="18"/>
                <w:color w:val="auto"/>
                <w:w w:val="88"/>
              </w:rPr>
              <w:t>10.37</w:t>
            </w:r>
          </w:p>
        </w:tc>
        <w:tc>
          <w:tcPr>
            <w:tcW w:w="8360" w:type="dxa"/>
            <w:vAlign w:val="bottom"/>
            <w:gridSpan w:val="31"/>
          </w:tcPr>
          <w:p>
            <w:pPr>
              <w:spacing w:after="0"/>
              <w:rPr>
                <w:rFonts w:ascii="Arial" w:cs="Arial" w:eastAsia="Arial" w:hAnsi="Arial"/>
                <w:sz w:val="18"/>
                <w:szCs w:val="18"/>
                <w:color w:val="0000FF"/>
                <w:w w:val="98"/>
              </w:rPr>
            </w:pPr>
            <w:hyperlink r:id="rId117">
              <w:r>
                <w:rPr>
                  <w:rFonts w:ascii="Arial" w:cs="Arial" w:eastAsia="Arial" w:hAnsi="Arial"/>
                  <w:sz w:val="18"/>
                  <w:szCs w:val="18"/>
                  <w:color w:val="0000FF"/>
                  <w:w w:val="98"/>
                </w:rPr>
                <w:t>Second Amendment to Revolving Credit Note and Third Amendment to Revolving Credit Loan Agreement,</w:t>
              </w:r>
            </w:hyperlink>
          </w:p>
        </w:tc>
      </w:tr>
      <w:tr>
        <w:trPr>
          <w:trHeight w:val="155"/>
        </w:trPr>
        <w:tc>
          <w:tcPr>
            <w:tcW w:w="1160" w:type="dxa"/>
            <w:vAlign w:val="bottom"/>
          </w:tcPr>
          <w:p>
            <w:pPr>
              <w:spacing w:after="0"/>
              <w:rPr>
                <w:sz w:val="13"/>
                <w:szCs w:val="13"/>
                <w:color w:val="auto"/>
              </w:rPr>
            </w:pPr>
          </w:p>
        </w:tc>
        <w:tc>
          <w:tcPr>
            <w:tcW w:w="79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0"/>
              </w:rPr>
            </w:pPr>
            <w:hyperlink r:id="rId117">
              <w:r>
                <w:rPr>
                  <w:rFonts w:ascii="Arial" w:cs="Arial" w:eastAsia="Arial" w:hAnsi="Arial"/>
                  <w:sz w:val="18"/>
                  <w:szCs w:val="18"/>
                  <w:color w:val="0000FF"/>
                  <w:w w:val="90"/>
                </w:rPr>
                <w:t>dated as of May 10, 2019, by and between Cumberland Pharmaceuticals Inc. and Pinnacle Bank, incorporated</w:t>
              </w:r>
            </w:hyperlink>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160" w:type="dxa"/>
            <w:vAlign w:val="bottom"/>
          </w:tcPr>
          <w:p>
            <w:pPr>
              <w:spacing w:after="0"/>
              <w:rPr>
                <w:sz w:val="14"/>
                <w:szCs w:val="14"/>
                <w:color w:val="auto"/>
              </w:rPr>
            </w:pPr>
          </w:p>
        </w:tc>
        <w:tc>
          <w:tcPr>
            <w:tcW w:w="8100" w:type="dxa"/>
            <w:vAlign w:val="bottom"/>
            <w:tcBorders>
              <w:bottom w:val="single" w:sz="8" w:color="0000FF"/>
            </w:tcBorders>
            <w:gridSpan w:val="18"/>
          </w:tcPr>
          <w:p>
            <w:pPr>
              <w:spacing w:after="0" w:line="169" w:lineRule="exact"/>
              <w:rPr>
                <w:rFonts w:ascii="Arial" w:cs="Arial" w:eastAsia="Arial" w:hAnsi="Arial"/>
                <w:sz w:val="18"/>
                <w:szCs w:val="18"/>
                <w:color w:val="0000FF"/>
                <w:w w:val="94"/>
              </w:rPr>
            </w:pPr>
            <w:hyperlink r:id="rId117">
              <w:r>
                <w:rPr>
                  <w:rFonts w:ascii="Arial" w:cs="Arial" w:eastAsia="Arial" w:hAnsi="Arial"/>
                  <w:sz w:val="18"/>
                  <w:szCs w:val="18"/>
                  <w:color w:val="0000FF"/>
                  <w:w w:val="94"/>
                </w:rPr>
                <w:t>herein by reference to Exhibit 10.2 to the Registrant's Quarterly Report on Form 10-Q (File No. 001-336371)</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5"/>
        </w:trPr>
        <w:tc>
          <w:tcPr>
            <w:tcW w:w="1160" w:type="dxa"/>
            <w:vAlign w:val="bottom"/>
          </w:tcPr>
          <w:p>
            <w:pPr>
              <w:spacing w:after="0"/>
              <w:rPr>
                <w:sz w:val="13"/>
                <w:szCs w:val="13"/>
                <w:color w:val="auto"/>
              </w:rPr>
            </w:pPr>
          </w:p>
        </w:tc>
        <w:tc>
          <w:tcPr>
            <w:tcW w:w="8220" w:type="dxa"/>
            <w:vAlign w:val="bottom"/>
            <w:gridSpan w:val="24"/>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as filed with the SEC on May 15,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96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4"/>
        </w:trPr>
        <w:tc>
          <w:tcPr>
            <w:tcW w:w="1160" w:type="dxa"/>
            <w:vAlign w:val="bottom"/>
          </w:tcPr>
          <w:p>
            <w:pPr>
              <w:jc w:val="center"/>
              <w:ind w:right="570"/>
              <w:spacing w:after="0"/>
              <w:rPr>
                <w:sz w:val="20"/>
                <w:szCs w:val="20"/>
                <w:color w:val="auto"/>
              </w:rPr>
            </w:pPr>
            <w:r>
              <w:rPr>
                <w:rFonts w:ascii="Arial" w:cs="Arial" w:eastAsia="Arial" w:hAnsi="Arial"/>
                <w:sz w:val="18"/>
                <w:szCs w:val="18"/>
                <w:color w:val="auto"/>
                <w:w w:val="90"/>
              </w:rPr>
              <w:t>10.38#</w:t>
            </w:r>
          </w:p>
        </w:tc>
        <w:tc>
          <w:tcPr>
            <w:tcW w:w="8360" w:type="dxa"/>
            <w:vAlign w:val="bottom"/>
            <w:gridSpan w:val="31"/>
          </w:tcPr>
          <w:p>
            <w:pPr>
              <w:spacing w:after="0"/>
              <w:rPr>
                <w:rFonts w:ascii="Arial" w:cs="Arial" w:eastAsia="Arial" w:hAnsi="Arial"/>
                <w:sz w:val="18"/>
                <w:szCs w:val="18"/>
                <w:color w:val="0000FF"/>
                <w:w w:val="95"/>
              </w:rPr>
            </w:pPr>
            <w:hyperlink r:id="rId118">
              <w:r>
                <w:rPr>
                  <w:rFonts w:ascii="Arial" w:cs="Arial" w:eastAsia="Arial" w:hAnsi="Arial"/>
                  <w:sz w:val="18"/>
                  <w:szCs w:val="18"/>
                  <w:color w:val="0000FF"/>
                  <w:w w:val="95"/>
                </w:rPr>
                <w:t>Amendment Number 2 to the Amended and Restated 2007 Long-Term Incentive Plan, incorporated herein by</w:t>
              </w:r>
            </w:hyperlink>
          </w:p>
        </w:tc>
      </w:tr>
      <w:tr>
        <w:trPr>
          <w:trHeight w:val="155"/>
        </w:trPr>
        <w:tc>
          <w:tcPr>
            <w:tcW w:w="116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9"/>
              </w:rPr>
            </w:pPr>
            <w:hyperlink r:id="rId118">
              <w:r>
                <w:rPr>
                  <w:rFonts w:ascii="Arial" w:cs="Arial" w:eastAsia="Arial" w:hAnsi="Arial"/>
                  <w:sz w:val="18"/>
                  <w:szCs w:val="18"/>
                  <w:color w:val="0000FF"/>
                  <w:w w:val="99"/>
                </w:rPr>
                <w:t>reference to Exhibit 10.1 of the Registrant’s Quarterly Report on Form 10-Q (File No. 001-33637) as filed</w:t>
              </w:r>
            </w:hyperlink>
          </w:p>
        </w:tc>
        <w:tc>
          <w:tcPr>
            <w:tcW w:w="60" w:type="dxa"/>
            <w:vAlign w:val="bottom"/>
            <w:tcBorders>
              <w:bottom w:val="single" w:sz="8" w:color="0000FF"/>
            </w:tcBorders>
            <w:gridSpan w:val="3"/>
          </w:tcPr>
          <w:p>
            <w:pPr>
              <w:spacing w:after="0"/>
              <w:rPr>
                <w:sz w:val="13"/>
                <w:szCs w:val="13"/>
                <w:color w:val="auto"/>
              </w:rPr>
            </w:pPr>
          </w:p>
        </w:tc>
      </w:tr>
      <w:tr>
        <w:trPr>
          <w:trHeight w:val="169"/>
        </w:trPr>
        <w:tc>
          <w:tcPr>
            <w:tcW w:w="1160" w:type="dxa"/>
            <w:vAlign w:val="bottom"/>
          </w:tcPr>
          <w:p>
            <w:pPr>
              <w:spacing w:after="0"/>
              <w:rPr>
                <w:sz w:val="14"/>
                <w:szCs w:val="14"/>
                <w:color w:val="auto"/>
              </w:rPr>
            </w:pPr>
          </w:p>
        </w:tc>
        <w:tc>
          <w:tcPr>
            <w:tcW w:w="8360" w:type="dxa"/>
            <w:vAlign w:val="bottom"/>
            <w:gridSpan w:val="31"/>
          </w:tcPr>
          <w:p>
            <w:pPr>
              <w:spacing w:after="0" w:line="169" w:lineRule="exact"/>
              <w:rPr>
                <w:rFonts w:ascii="Arial" w:cs="Arial" w:eastAsia="Arial" w:hAnsi="Arial"/>
                <w:sz w:val="18"/>
                <w:szCs w:val="18"/>
                <w:color w:val="0000FF"/>
              </w:rPr>
            </w:pPr>
            <w:hyperlink r:id="rId118">
              <w:r>
                <w:rPr>
                  <w:rFonts w:ascii="Arial" w:cs="Arial" w:eastAsia="Arial" w:hAnsi="Arial"/>
                  <w:sz w:val="18"/>
                  <w:szCs w:val="18"/>
                  <w:color w:val="0000FF"/>
                </w:rPr>
                <w:t>with the SEC on August 14, 2020</w:t>
              </w:r>
            </w:hyperlink>
          </w:p>
        </w:tc>
      </w:tr>
      <w:tr>
        <w:trPr>
          <w:trHeight w:val="20"/>
        </w:trPr>
        <w:tc>
          <w:tcPr>
            <w:tcW w:w="1160" w:type="dxa"/>
            <w:vAlign w:val="bottom"/>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96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63"/>
        </w:trPr>
        <w:tc>
          <w:tcPr>
            <w:tcW w:w="1160" w:type="dxa"/>
            <w:vAlign w:val="bottom"/>
          </w:tcPr>
          <w:p>
            <w:pPr>
              <w:jc w:val="center"/>
              <w:ind w:right="570"/>
              <w:spacing w:after="0"/>
              <w:rPr>
                <w:sz w:val="20"/>
                <w:szCs w:val="20"/>
                <w:color w:val="auto"/>
              </w:rPr>
            </w:pPr>
            <w:r>
              <w:rPr>
                <w:rFonts w:ascii="Arial" w:cs="Arial" w:eastAsia="Arial" w:hAnsi="Arial"/>
                <w:sz w:val="18"/>
                <w:szCs w:val="18"/>
                <w:color w:val="auto"/>
                <w:w w:val="90"/>
              </w:rPr>
              <w:t>10.39#</w:t>
            </w:r>
          </w:p>
        </w:tc>
        <w:tc>
          <w:tcPr>
            <w:tcW w:w="8360" w:type="dxa"/>
            <w:vAlign w:val="bottom"/>
            <w:gridSpan w:val="31"/>
          </w:tcPr>
          <w:p>
            <w:pPr>
              <w:spacing w:after="0"/>
              <w:rPr>
                <w:rFonts w:ascii="Arial" w:cs="Arial" w:eastAsia="Arial" w:hAnsi="Arial"/>
                <w:sz w:val="18"/>
                <w:szCs w:val="18"/>
                <w:color w:val="0000FF"/>
              </w:rPr>
            </w:pPr>
            <w:hyperlink r:id="rId119">
              <w:r>
                <w:rPr>
                  <w:rFonts w:ascii="Arial" w:cs="Arial" w:eastAsia="Arial" w:hAnsi="Arial"/>
                  <w:sz w:val="18"/>
                  <w:szCs w:val="18"/>
                  <w:color w:val="0000FF"/>
                </w:rPr>
                <w:t>Amendment Number 2 to the Amended and Restated 2007 Directors’ Incentive Compensation Plan,</w:t>
              </w:r>
            </w:hyperlink>
          </w:p>
        </w:tc>
      </w:tr>
      <w:tr>
        <w:trPr>
          <w:trHeight w:val="155"/>
        </w:trPr>
        <w:tc>
          <w:tcPr>
            <w:tcW w:w="1160" w:type="dxa"/>
            <w:vAlign w:val="bottom"/>
          </w:tcPr>
          <w:p>
            <w:pPr>
              <w:spacing w:after="0"/>
              <w:rPr>
                <w:sz w:val="13"/>
                <w:szCs w:val="13"/>
                <w:color w:val="auto"/>
              </w:rPr>
            </w:pPr>
          </w:p>
        </w:tc>
        <w:tc>
          <w:tcPr>
            <w:tcW w:w="8260" w:type="dxa"/>
            <w:vAlign w:val="bottom"/>
            <w:tcBorders>
              <w:top w:val="single" w:sz="8" w:color="0000FF"/>
            </w:tcBorders>
            <w:gridSpan w:val="26"/>
          </w:tcPr>
          <w:p>
            <w:pPr>
              <w:spacing w:after="0" w:line="156" w:lineRule="exact"/>
              <w:rPr>
                <w:rFonts w:ascii="Arial" w:cs="Arial" w:eastAsia="Arial" w:hAnsi="Arial"/>
                <w:sz w:val="18"/>
                <w:szCs w:val="18"/>
                <w:color w:val="0000FF"/>
                <w:w w:val="96"/>
              </w:rPr>
            </w:pPr>
            <w:hyperlink r:id="rId119">
              <w:r>
                <w:rPr>
                  <w:rFonts w:ascii="Arial" w:cs="Arial" w:eastAsia="Arial" w:hAnsi="Arial"/>
                  <w:sz w:val="18"/>
                  <w:szCs w:val="18"/>
                  <w:color w:val="0000FF"/>
                  <w:w w:val="96"/>
                </w:rPr>
                <w:t>incorporated herein by reference to Exhibit 10.2 of the Registrant’s Quarterly Report on Form 10-Q (File No.</w:t>
              </w:r>
            </w:hyperlink>
          </w:p>
        </w:tc>
        <w:tc>
          <w:tcPr>
            <w:tcW w:w="100" w:type="dxa"/>
            <w:vAlign w:val="bottom"/>
            <w:gridSpan w:val="5"/>
          </w:tcPr>
          <w:p>
            <w:pPr>
              <w:spacing w:after="0"/>
              <w:rPr>
                <w:sz w:val="13"/>
                <w:szCs w:val="13"/>
                <w:color w:val="auto"/>
              </w:rPr>
            </w:pPr>
          </w:p>
        </w:tc>
      </w:tr>
      <w:tr>
        <w:trPr>
          <w:trHeight w:val="169"/>
        </w:trPr>
        <w:tc>
          <w:tcPr>
            <w:tcW w:w="1160" w:type="dxa"/>
            <w:vAlign w:val="bottom"/>
          </w:tcPr>
          <w:p>
            <w:pPr>
              <w:spacing w:after="0"/>
              <w:rPr>
                <w:sz w:val="14"/>
                <w:szCs w:val="14"/>
                <w:color w:val="auto"/>
              </w:rPr>
            </w:pPr>
          </w:p>
        </w:tc>
        <w:tc>
          <w:tcPr>
            <w:tcW w:w="388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0"/>
              </w:rPr>
            </w:pPr>
            <w:hyperlink r:id="rId119">
              <w:r>
                <w:rPr>
                  <w:rFonts w:ascii="Arial" w:cs="Arial" w:eastAsia="Arial" w:hAnsi="Arial"/>
                  <w:sz w:val="18"/>
                  <w:szCs w:val="18"/>
                  <w:color w:val="0000FF"/>
                  <w:w w:val="90"/>
                </w:rPr>
                <w:t>001-33637) as filed with the SEC on August 14, 2020</w:t>
              </w:r>
            </w:hyperlink>
          </w:p>
        </w:tc>
        <w:tc>
          <w:tcPr>
            <w:tcW w:w="4200" w:type="dxa"/>
            <w:vAlign w:val="bottom"/>
            <w:tcBorders>
              <w:top w:val="single" w:sz="8" w:color="0000FF"/>
            </w:tcBorders>
            <w:gridSpan w:val="1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263"/>
        </w:trPr>
        <w:tc>
          <w:tcPr>
            <w:tcW w:w="1160" w:type="dxa"/>
            <w:vAlign w:val="bottom"/>
          </w:tcPr>
          <w:p>
            <w:pPr>
              <w:jc w:val="center"/>
              <w:ind w:right="590"/>
              <w:spacing w:after="0"/>
              <w:rPr>
                <w:sz w:val="20"/>
                <w:szCs w:val="20"/>
                <w:color w:val="auto"/>
              </w:rPr>
            </w:pPr>
            <w:r>
              <w:rPr>
                <w:rFonts w:ascii="Arial" w:cs="Arial" w:eastAsia="Arial" w:hAnsi="Arial"/>
                <w:sz w:val="18"/>
                <w:szCs w:val="18"/>
                <w:color w:val="auto"/>
                <w:w w:val="88"/>
              </w:rPr>
              <w:t>10.41</w:t>
            </w:r>
          </w:p>
        </w:tc>
        <w:tc>
          <w:tcPr>
            <w:tcW w:w="8360" w:type="dxa"/>
            <w:vAlign w:val="bottom"/>
            <w:gridSpan w:val="31"/>
          </w:tcPr>
          <w:p>
            <w:pPr>
              <w:spacing w:after="0"/>
              <w:rPr>
                <w:rFonts w:ascii="Arial" w:cs="Arial" w:eastAsia="Arial" w:hAnsi="Arial"/>
                <w:sz w:val="18"/>
                <w:szCs w:val="18"/>
                <w:color w:val="0000FF"/>
                <w:w w:val="99"/>
              </w:rPr>
            </w:pPr>
            <w:hyperlink r:id="rId120">
              <w:r>
                <w:rPr>
                  <w:rFonts w:ascii="Arial" w:cs="Arial" w:eastAsia="Arial" w:hAnsi="Arial"/>
                  <w:sz w:val="18"/>
                  <w:szCs w:val="18"/>
                  <w:color w:val="0000FF"/>
                  <w:w w:val="99"/>
                </w:rPr>
                <w:t>Third Amendment to Revolving Credit Note and Fourth Amendment to Revolving Credit Loan Agreement,</w:t>
              </w:r>
            </w:hyperlink>
          </w:p>
        </w:tc>
      </w:tr>
      <w:tr>
        <w:trPr>
          <w:trHeight w:val="155"/>
        </w:trPr>
        <w:tc>
          <w:tcPr>
            <w:tcW w:w="1160" w:type="dxa"/>
            <w:vAlign w:val="bottom"/>
          </w:tcPr>
          <w:p>
            <w:pPr>
              <w:spacing w:after="0"/>
              <w:rPr>
                <w:sz w:val="13"/>
                <w:szCs w:val="13"/>
                <w:color w:val="auto"/>
              </w:rPr>
            </w:pPr>
          </w:p>
        </w:tc>
        <w:tc>
          <w:tcPr>
            <w:tcW w:w="814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dated as of October 7, 2020, by and between Cumberland Pharmaceuticals Inc. and Pinnacle Bank,</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9"/>
        </w:trPr>
        <w:tc>
          <w:tcPr>
            <w:tcW w:w="1160" w:type="dxa"/>
            <w:vAlign w:val="bottom"/>
          </w:tcPr>
          <w:p>
            <w:pPr>
              <w:spacing w:after="0"/>
              <w:rPr>
                <w:sz w:val="14"/>
                <w:szCs w:val="14"/>
                <w:color w:val="auto"/>
              </w:rPr>
            </w:pPr>
          </w:p>
        </w:tc>
        <w:tc>
          <w:tcPr>
            <w:tcW w:w="8160" w:type="dxa"/>
            <w:vAlign w:val="bottom"/>
            <w:gridSpan w:val="21"/>
          </w:tcPr>
          <w:p>
            <w:pPr>
              <w:spacing w:after="0" w:line="169" w:lineRule="exact"/>
              <w:rPr>
                <w:rFonts w:ascii="Arial" w:cs="Arial" w:eastAsia="Arial" w:hAnsi="Arial"/>
                <w:sz w:val="18"/>
                <w:szCs w:val="18"/>
                <w:color w:val="0000FF"/>
                <w:w w:val="94"/>
              </w:rPr>
            </w:pPr>
            <w:hyperlink r:id="rId120">
              <w:r>
                <w:rPr>
                  <w:rFonts w:ascii="Arial" w:cs="Arial" w:eastAsia="Arial" w:hAnsi="Arial"/>
                  <w:sz w:val="18"/>
                  <w:szCs w:val="18"/>
                  <w:color w:val="0000FF"/>
                  <w:w w:val="94"/>
                </w:rPr>
                <w:t>incorporated herein by reference to Exhibit 10.1 of the Registrant’s Quarterly Report on Form 10-Q (File No.</w:t>
              </w:r>
            </w:hyperlink>
          </w:p>
        </w:tc>
        <w:tc>
          <w:tcPr>
            <w:tcW w:w="80" w:type="dxa"/>
            <w:vAlign w:val="bottom"/>
            <w:gridSpan w:val="4"/>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155"/>
        </w:trPr>
        <w:tc>
          <w:tcPr>
            <w:tcW w:w="116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120">
              <w:r>
                <w:rPr>
                  <w:rFonts w:ascii="Arial" w:cs="Arial" w:eastAsia="Arial" w:hAnsi="Arial"/>
                  <w:sz w:val="18"/>
                  <w:szCs w:val="18"/>
                  <w:color w:val="0000FF"/>
                  <w:w w:val="90"/>
                </w:rPr>
                <w:t>001-33637) as filed with the SEC on November 13, 2020</w:t>
              </w:r>
            </w:hyperlink>
          </w:p>
        </w:tc>
        <w:tc>
          <w:tcPr>
            <w:tcW w:w="3960" w:type="dxa"/>
            <w:vAlign w:val="bottom"/>
            <w:tcBorders>
              <w:top w:val="single" w:sz="8" w:color="0000FF"/>
            </w:tcBorders>
            <w:gridSpan w:val="11"/>
          </w:tcPr>
          <w:p>
            <w:pPr>
              <w:spacing w:after="0"/>
              <w:rPr>
                <w:sz w:val="13"/>
                <w:szCs w:val="13"/>
                <w:color w:val="auto"/>
              </w:rPr>
            </w:pPr>
          </w:p>
        </w:tc>
        <w:tc>
          <w:tcPr>
            <w:tcW w:w="160" w:type="dxa"/>
            <w:vAlign w:val="bottom"/>
            <w:gridSpan w:val="8"/>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304"/>
        </w:trPr>
        <w:tc>
          <w:tcPr>
            <w:tcW w:w="1160" w:type="dxa"/>
            <w:vAlign w:val="bottom"/>
          </w:tcPr>
          <w:p>
            <w:pPr>
              <w:jc w:val="center"/>
              <w:ind w:right="590"/>
              <w:spacing w:after="0"/>
              <w:rPr>
                <w:sz w:val="20"/>
                <w:szCs w:val="20"/>
                <w:color w:val="auto"/>
              </w:rPr>
            </w:pPr>
            <w:r>
              <w:rPr>
                <w:rFonts w:ascii="Arial" w:cs="Arial" w:eastAsia="Arial" w:hAnsi="Arial"/>
                <w:sz w:val="18"/>
                <w:szCs w:val="18"/>
                <w:color w:val="auto"/>
                <w:w w:val="88"/>
              </w:rPr>
              <w:t>10.42</w:t>
            </w:r>
          </w:p>
        </w:tc>
        <w:tc>
          <w:tcPr>
            <w:tcW w:w="8360" w:type="dxa"/>
            <w:vAlign w:val="bottom"/>
            <w:gridSpan w:val="31"/>
          </w:tcPr>
          <w:p>
            <w:pPr>
              <w:spacing w:after="0"/>
              <w:rPr>
                <w:rFonts w:ascii="Arial" w:cs="Arial" w:eastAsia="Arial" w:hAnsi="Arial"/>
                <w:sz w:val="18"/>
                <w:szCs w:val="18"/>
                <w:color w:val="0000FF"/>
              </w:rPr>
            </w:pPr>
            <w:hyperlink r:id="rId121">
              <w:r>
                <w:rPr>
                  <w:rFonts w:ascii="Arial" w:cs="Arial" w:eastAsia="Arial" w:hAnsi="Arial"/>
                  <w:sz w:val="18"/>
                  <w:szCs w:val="18"/>
                  <w:color w:val="0000FF"/>
                </w:rPr>
                <w:t>Fourth Amendment to Revolving Credit Note and Fifth Amendment to Revolving Credit Loan Agreement,</w:t>
              </w:r>
            </w:hyperlink>
          </w:p>
        </w:tc>
      </w:tr>
      <w:tr>
        <w:trPr>
          <w:trHeight w:val="155"/>
        </w:trPr>
        <w:tc>
          <w:tcPr>
            <w:tcW w:w="1160" w:type="dxa"/>
            <w:vAlign w:val="bottom"/>
          </w:tcPr>
          <w:p>
            <w:pPr>
              <w:spacing w:after="0"/>
              <w:rPr>
                <w:sz w:val="13"/>
                <w:szCs w:val="13"/>
                <w:color w:val="auto"/>
              </w:rPr>
            </w:pPr>
          </w:p>
        </w:tc>
        <w:tc>
          <w:tcPr>
            <w:tcW w:w="82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dated as of October 28, 2021, by and between Cumberland Pharmaceuticals Inc. and Pinnacle Bank,</w:t>
              </w:r>
            </w:hyperlink>
          </w:p>
        </w:tc>
        <w:tc>
          <w:tcPr>
            <w:tcW w:w="120" w:type="dxa"/>
            <w:vAlign w:val="bottom"/>
            <w:gridSpan w:val="6"/>
          </w:tcPr>
          <w:p>
            <w:pPr>
              <w:spacing w:after="0"/>
              <w:rPr>
                <w:sz w:val="13"/>
                <w:szCs w:val="13"/>
                <w:color w:val="auto"/>
              </w:rPr>
            </w:pPr>
          </w:p>
        </w:tc>
      </w:tr>
      <w:tr>
        <w:trPr>
          <w:trHeight w:val="169"/>
        </w:trPr>
        <w:tc>
          <w:tcPr>
            <w:tcW w:w="1160" w:type="dxa"/>
            <w:vAlign w:val="bottom"/>
          </w:tcPr>
          <w:p>
            <w:pPr>
              <w:spacing w:after="0"/>
              <w:rPr>
                <w:sz w:val="14"/>
                <w:szCs w:val="14"/>
                <w:color w:val="auto"/>
              </w:rPr>
            </w:pPr>
          </w:p>
        </w:tc>
        <w:tc>
          <w:tcPr>
            <w:tcW w:w="8000" w:type="dxa"/>
            <w:vAlign w:val="bottom"/>
            <w:tcBorders>
              <w:top w:val="single" w:sz="8" w:color="0000FF"/>
            </w:tcBorders>
            <w:gridSpan w:val="13"/>
          </w:tcPr>
          <w:p>
            <w:pPr>
              <w:spacing w:after="0" w:line="169" w:lineRule="exact"/>
              <w:rPr>
                <w:rFonts w:ascii="Arial" w:cs="Arial" w:eastAsia="Arial" w:hAnsi="Arial"/>
                <w:sz w:val="18"/>
                <w:szCs w:val="18"/>
                <w:color w:val="0000FF"/>
                <w:w w:val="93"/>
              </w:rPr>
            </w:pPr>
            <w:hyperlink r:id="rId121">
              <w:r>
                <w:rPr>
                  <w:rFonts w:ascii="Arial" w:cs="Arial" w:eastAsia="Arial" w:hAnsi="Arial"/>
                  <w:sz w:val="18"/>
                  <w:szCs w:val="18"/>
                  <w:color w:val="0000FF"/>
                  <w:w w:val="93"/>
                </w:rPr>
                <w:t>incorporated herein by reference to Exhibit 10.1 of the Registrant’s Quarterly Report on Form 10-Q (File No.</w:t>
              </w:r>
            </w:hyperlink>
          </w:p>
        </w:tc>
        <w:tc>
          <w:tcPr>
            <w:tcW w:w="360" w:type="dxa"/>
            <w:vAlign w:val="bottom"/>
            <w:gridSpan w:val="18"/>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121">
              <w:r>
                <w:rPr>
                  <w:rFonts w:ascii="Arial" w:cs="Arial" w:eastAsia="Arial" w:hAnsi="Arial"/>
                  <w:sz w:val="18"/>
                  <w:szCs w:val="18"/>
                  <w:color w:val="0000FF"/>
                  <w:w w:val="90"/>
                </w:rPr>
                <w:t>001-33637) as filed with the SEC on November 12, 2021</w:t>
              </w:r>
            </w:hyperlink>
          </w:p>
        </w:tc>
        <w:tc>
          <w:tcPr>
            <w:tcW w:w="3960" w:type="dxa"/>
            <w:vAlign w:val="bottom"/>
            <w:tcBorders>
              <w:top w:val="single" w:sz="8" w:color="0000FF"/>
            </w:tcBorders>
            <w:gridSpan w:val="11"/>
          </w:tcPr>
          <w:p>
            <w:pPr>
              <w:spacing w:after="0"/>
              <w:rPr>
                <w:sz w:val="13"/>
                <w:szCs w:val="13"/>
                <w:color w:val="auto"/>
              </w:rPr>
            </w:pPr>
          </w:p>
        </w:tc>
        <w:tc>
          <w:tcPr>
            <w:tcW w:w="280" w:type="dxa"/>
            <w:vAlign w:val="bottom"/>
            <w:gridSpan w:val="14"/>
          </w:tcPr>
          <w:p>
            <w:pPr>
              <w:spacing w:after="0"/>
              <w:rPr>
                <w:sz w:val="13"/>
                <w:szCs w:val="13"/>
                <w:color w:val="auto"/>
              </w:rPr>
            </w:pPr>
          </w:p>
        </w:tc>
      </w:tr>
      <w:tr>
        <w:trPr>
          <w:trHeight w:val="304"/>
        </w:trPr>
        <w:tc>
          <w:tcPr>
            <w:tcW w:w="1160" w:type="dxa"/>
            <w:vAlign w:val="bottom"/>
          </w:tcPr>
          <w:p>
            <w:pPr>
              <w:jc w:val="center"/>
              <w:ind w:right="590"/>
              <w:spacing w:after="0"/>
              <w:rPr>
                <w:sz w:val="20"/>
                <w:szCs w:val="20"/>
                <w:color w:val="auto"/>
              </w:rPr>
            </w:pPr>
            <w:r>
              <w:rPr>
                <w:rFonts w:ascii="Arial" w:cs="Arial" w:eastAsia="Arial" w:hAnsi="Arial"/>
                <w:sz w:val="18"/>
                <w:szCs w:val="18"/>
                <w:color w:val="auto"/>
                <w:w w:val="88"/>
              </w:rPr>
              <w:t>10.43</w:t>
            </w:r>
          </w:p>
        </w:tc>
        <w:tc>
          <w:tcPr>
            <w:tcW w:w="8360" w:type="dxa"/>
            <w:vAlign w:val="bottom"/>
            <w:gridSpan w:val="31"/>
          </w:tcPr>
          <w:p>
            <w:pPr>
              <w:spacing w:after="0"/>
              <w:rPr>
                <w:rFonts w:ascii="Arial" w:cs="Arial" w:eastAsia="Arial" w:hAnsi="Arial"/>
                <w:sz w:val="18"/>
                <w:szCs w:val="18"/>
                <w:color w:val="0000FF"/>
                <w:w w:val="98"/>
              </w:rPr>
            </w:pPr>
            <w:hyperlink r:id="rId122">
              <w:r>
                <w:rPr>
                  <w:rFonts w:ascii="Arial" w:cs="Arial" w:eastAsia="Arial" w:hAnsi="Arial"/>
                  <w:sz w:val="18"/>
                  <w:szCs w:val="18"/>
                  <w:color w:val="0000FF"/>
                  <w:w w:val="98"/>
                </w:rPr>
                <w:t>Fifth Amendment to the Revolving Credit Note and Sixth Amendment to Revolving Credit Loan Agreement,</w:t>
              </w:r>
            </w:hyperlink>
          </w:p>
        </w:tc>
      </w:tr>
      <w:tr>
        <w:trPr>
          <w:trHeight w:val="155"/>
        </w:trPr>
        <w:tc>
          <w:tcPr>
            <w:tcW w:w="1160" w:type="dxa"/>
            <w:vAlign w:val="bottom"/>
          </w:tcPr>
          <w:p>
            <w:pPr>
              <w:spacing w:after="0"/>
              <w:rPr>
                <w:sz w:val="13"/>
                <w:szCs w:val="13"/>
                <w:color w:val="auto"/>
              </w:rPr>
            </w:pPr>
          </w:p>
        </w:tc>
        <w:tc>
          <w:tcPr>
            <w:tcW w:w="832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rPr>
            </w:pPr>
            <w:hyperlink r:id="rId122">
              <w:r>
                <w:rPr>
                  <w:rFonts w:ascii="Arial" w:cs="Arial" w:eastAsia="Arial" w:hAnsi="Arial"/>
                  <w:sz w:val="18"/>
                  <w:szCs w:val="18"/>
                  <w:color w:val="0000FF"/>
                </w:rPr>
                <w:t>dated as of December 31, 2021, by and between Cumberland Pharmaceuticals Inc. and Pinnacle Bank,</w:t>
              </w:r>
            </w:hyperlink>
          </w:p>
        </w:tc>
        <w:tc>
          <w:tcPr>
            <w:tcW w:w="40" w:type="dxa"/>
            <w:vAlign w:val="bottom"/>
            <w:gridSpan w:val="2"/>
          </w:tcPr>
          <w:p>
            <w:pPr>
              <w:spacing w:after="0"/>
              <w:rPr>
                <w:sz w:val="13"/>
                <w:szCs w:val="13"/>
                <w:color w:val="auto"/>
              </w:rPr>
            </w:pPr>
          </w:p>
        </w:tc>
      </w:tr>
    </w:tbl>
    <w:p>
      <w:pPr>
        <w:ind w:left="1160" w:right="479"/>
        <w:spacing w:after="0" w:line="226" w:lineRule="auto"/>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incorporated herein by reference to the corresponding exhibit of the Registrant’s Annual Report on Form 10-</w:t>
        </w:r>
      </w:hyperlink>
      <w:hyperlink r:id="rId122">
        <w:r>
          <w:rPr>
            <w:rFonts w:ascii="Arial" w:cs="Arial" w:eastAsia="Arial" w:hAnsi="Arial"/>
            <w:sz w:val="18"/>
            <w:szCs w:val="18"/>
            <w:u w:val="single" w:color="auto"/>
            <w:color w:val="0000FF"/>
          </w:rPr>
          <w:t>K (File No. 001-33637) as filed with the SEC on March 11, 2022</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99"/>
          </w:cols>
          <w:pgMar w:left="860" w:top="1440" w:right="1440" w:bottom="1440" w:gutter="0" w:footer="0" w:header="0"/>
        </w:sectPr>
      </w:pPr>
    </w:p>
    <w:bookmarkStart w:id="79" w:name="page80"/>
    <w:bookmarkEnd w:id="79"/>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20" w:type="dxa"/>
            <w:vAlign w:val="bottom"/>
          </w:tcPr>
          <w:p>
            <w:pPr>
              <w:jc w:val="right"/>
              <w:ind w:right="630"/>
              <w:spacing w:after="0"/>
              <w:rPr>
                <w:sz w:val="20"/>
                <w:szCs w:val="20"/>
                <w:color w:val="auto"/>
              </w:rPr>
            </w:pPr>
            <w:r>
              <w:rPr>
                <w:rFonts w:ascii="Arial" w:cs="Arial" w:eastAsia="Arial" w:hAnsi="Arial"/>
                <w:sz w:val="18"/>
                <w:szCs w:val="18"/>
                <w:color w:val="auto"/>
                <w:w w:val="84"/>
              </w:rPr>
              <w:t>10.44</w:t>
            </w:r>
          </w:p>
        </w:tc>
        <w:tc>
          <w:tcPr>
            <w:tcW w:w="7980" w:type="dxa"/>
            <w:vAlign w:val="bottom"/>
            <w:gridSpan w:val="10"/>
          </w:tcPr>
          <w:p>
            <w:pPr>
              <w:spacing w:after="0"/>
              <w:rPr>
                <w:rFonts w:ascii="Arial" w:cs="Arial" w:eastAsia="Arial" w:hAnsi="Arial"/>
                <w:sz w:val="18"/>
                <w:szCs w:val="18"/>
                <w:color w:val="0000FF"/>
                <w:w w:val="93"/>
              </w:rPr>
            </w:pPr>
            <w:hyperlink r:id="rId124">
              <w:r>
                <w:rPr>
                  <w:rFonts w:ascii="Arial" w:cs="Arial" w:eastAsia="Arial" w:hAnsi="Arial"/>
                  <w:sz w:val="18"/>
                  <w:szCs w:val="18"/>
                  <w:color w:val="0000FF"/>
                  <w:w w:val="93"/>
                </w:rPr>
                <w:t>Lease Agreement, dated November 15, 2021, by and between Cumberland Pharmaceuticals Inc. and 1600</w:t>
              </w:r>
            </w:hyperlink>
          </w:p>
        </w:tc>
      </w:tr>
      <w:tr>
        <w:trPr>
          <w:trHeight w:val="156"/>
        </w:trPr>
        <w:tc>
          <w:tcPr>
            <w:tcW w:w="1120" w:type="dxa"/>
            <w:vAlign w:val="bottom"/>
          </w:tcPr>
          <w:p>
            <w:pPr>
              <w:spacing w:after="0"/>
              <w:rPr>
                <w:sz w:val="13"/>
                <w:szCs w:val="13"/>
                <w:color w:val="auto"/>
              </w:rPr>
            </w:pPr>
          </w:p>
        </w:tc>
        <w:tc>
          <w:tcPr>
            <w:tcW w:w="7960" w:type="dxa"/>
            <w:vAlign w:val="bottom"/>
            <w:tcBorders>
              <w:top w:val="single" w:sz="8" w:color="0000FF"/>
            </w:tcBorders>
            <w:gridSpan w:val="9"/>
          </w:tcPr>
          <w:p>
            <w:pPr>
              <w:spacing w:after="0" w:line="156" w:lineRule="exact"/>
              <w:rPr>
                <w:rFonts w:ascii="Arial" w:cs="Arial" w:eastAsia="Arial" w:hAnsi="Arial"/>
                <w:sz w:val="18"/>
                <w:szCs w:val="18"/>
                <w:color w:val="0000FF"/>
                <w:w w:val="97"/>
              </w:rPr>
            </w:pPr>
            <w:hyperlink r:id="rId124">
              <w:r>
                <w:rPr>
                  <w:rFonts w:ascii="Arial" w:cs="Arial" w:eastAsia="Arial" w:hAnsi="Arial"/>
                  <w:sz w:val="18"/>
                  <w:szCs w:val="18"/>
                  <w:color w:val="0000FF"/>
                  <w:w w:val="97"/>
                </w:rPr>
                <w:t>West End Avenue Partners, LLC., incorporated herein by reference to the corresponding exhibit of the</w:t>
              </w:r>
            </w:hyperlink>
          </w:p>
        </w:tc>
        <w:tc>
          <w:tcPr>
            <w:tcW w:w="20" w:type="dxa"/>
            <w:vAlign w:val="bottom"/>
          </w:tcPr>
          <w:p>
            <w:pPr>
              <w:spacing w:after="0"/>
              <w:rPr>
                <w:sz w:val="13"/>
                <w:szCs w:val="13"/>
                <w:color w:val="auto"/>
              </w:rPr>
            </w:pPr>
          </w:p>
        </w:tc>
      </w:tr>
      <w:tr>
        <w:trPr>
          <w:trHeight w:val="169"/>
        </w:trPr>
        <w:tc>
          <w:tcPr>
            <w:tcW w:w="1120" w:type="dxa"/>
            <w:vAlign w:val="bottom"/>
          </w:tcPr>
          <w:p>
            <w:pPr>
              <w:spacing w:after="0"/>
              <w:rPr>
                <w:sz w:val="14"/>
                <w:szCs w:val="14"/>
                <w:color w:val="auto"/>
              </w:rPr>
            </w:pPr>
          </w:p>
        </w:tc>
        <w:tc>
          <w:tcPr>
            <w:tcW w:w="7940" w:type="dxa"/>
            <w:vAlign w:val="bottom"/>
            <w:tcBorders>
              <w:top w:val="single" w:sz="8" w:color="0000FF"/>
            </w:tcBorders>
            <w:gridSpan w:val="8"/>
          </w:tcPr>
          <w:p>
            <w:pPr>
              <w:spacing w:after="0" w:line="169" w:lineRule="exact"/>
              <w:rPr>
                <w:rFonts w:ascii="Arial" w:cs="Arial" w:eastAsia="Arial" w:hAnsi="Arial"/>
                <w:sz w:val="18"/>
                <w:szCs w:val="18"/>
                <w:color w:val="0000FF"/>
                <w:w w:val="95"/>
              </w:rPr>
            </w:pPr>
            <w:hyperlink r:id="rId124">
              <w:r>
                <w:rPr>
                  <w:rFonts w:ascii="Arial" w:cs="Arial" w:eastAsia="Arial" w:hAnsi="Arial"/>
                  <w:sz w:val="18"/>
                  <w:szCs w:val="18"/>
                  <w:color w:val="0000FF"/>
                  <w:w w:val="95"/>
                </w:rPr>
                <w:t>Registrant’s Annual Report on Form 10-K (File No. 001-33637) as filed with the SEC on March 11, 2022</w:t>
              </w:r>
            </w:hyperlink>
          </w:p>
        </w:tc>
        <w:tc>
          <w:tcPr>
            <w:tcW w:w="40" w:type="dxa"/>
            <w:vAlign w:val="bottom"/>
            <w:gridSpan w:val="2"/>
          </w:tcPr>
          <w:p>
            <w:pPr>
              <w:spacing w:after="0"/>
              <w:rPr>
                <w:sz w:val="14"/>
                <w:szCs w:val="14"/>
                <w:color w:val="auto"/>
              </w:rPr>
            </w:pPr>
          </w:p>
        </w:tc>
      </w:tr>
      <w:tr>
        <w:trPr>
          <w:trHeight w:val="304"/>
        </w:trPr>
        <w:tc>
          <w:tcPr>
            <w:tcW w:w="1120" w:type="dxa"/>
            <w:vAlign w:val="bottom"/>
          </w:tcPr>
          <w:p>
            <w:pPr>
              <w:jc w:val="right"/>
              <w:ind w:right="630"/>
              <w:spacing w:after="0"/>
              <w:rPr>
                <w:sz w:val="20"/>
                <w:szCs w:val="20"/>
                <w:color w:val="auto"/>
              </w:rPr>
            </w:pPr>
            <w:r>
              <w:rPr>
                <w:rFonts w:ascii="Arial" w:cs="Arial" w:eastAsia="Arial" w:hAnsi="Arial"/>
                <w:sz w:val="18"/>
                <w:szCs w:val="18"/>
                <w:color w:val="auto"/>
                <w:w w:val="84"/>
              </w:rPr>
              <w:t>10.45</w:t>
            </w:r>
          </w:p>
        </w:tc>
        <w:tc>
          <w:tcPr>
            <w:tcW w:w="7600" w:type="dxa"/>
            <w:vAlign w:val="bottom"/>
            <w:tcBorders>
              <w:top w:val="single" w:sz="8" w:color="0000FF"/>
            </w:tcBorders>
            <w:gridSpan w:val="3"/>
          </w:tcPr>
          <w:p>
            <w:pPr>
              <w:spacing w:after="0"/>
              <w:rPr>
                <w:rFonts w:ascii="Arial" w:cs="Arial" w:eastAsia="Arial" w:hAnsi="Arial"/>
                <w:sz w:val="18"/>
                <w:szCs w:val="18"/>
                <w:color w:val="0000FF"/>
                <w:w w:val="91"/>
              </w:rPr>
            </w:pPr>
            <w:hyperlink r:id="rId125">
              <w:r>
                <w:rPr>
                  <w:rFonts w:ascii="Arial" w:cs="Arial" w:eastAsia="Arial" w:hAnsi="Arial"/>
                  <w:sz w:val="18"/>
                  <w:szCs w:val="18"/>
                  <w:color w:val="0000FF"/>
                  <w:w w:val="91"/>
                </w:rPr>
                <w:t>Seventh Amendment to Revolving Credit Loan Agreement, dated as of March 31, 2022, by and between</w:t>
              </w:r>
            </w:hyperlink>
          </w:p>
        </w:tc>
        <w:tc>
          <w:tcPr>
            <w:tcW w:w="380" w:type="dxa"/>
            <w:vAlign w:val="bottom"/>
            <w:gridSpan w:val="7"/>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7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55"/>
        </w:trPr>
        <w:tc>
          <w:tcPr>
            <w:tcW w:w="1120" w:type="dxa"/>
            <w:vAlign w:val="bottom"/>
          </w:tcPr>
          <w:p>
            <w:pPr>
              <w:spacing w:after="0"/>
              <w:rPr>
                <w:sz w:val="13"/>
                <w:szCs w:val="13"/>
                <w:color w:val="auto"/>
              </w:rPr>
            </w:pPr>
          </w:p>
        </w:tc>
        <w:tc>
          <w:tcPr>
            <w:tcW w:w="7980" w:type="dxa"/>
            <w:vAlign w:val="bottom"/>
            <w:gridSpan w:val="10"/>
          </w:tcPr>
          <w:p>
            <w:pPr>
              <w:spacing w:after="0" w:line="156" w:lineRule="exact"/>
              <w:rPr>
                <w:rFonts w:ascii="Arial" w:cs="Arial" w:eastAsia="Arial" w:hAnsi="Arial"/>
                <w:sz w:val="18"/>
                <w:szCs w:val="18"/>
                <w:color w:val="0000FF"/>
                <w:w w:val="92"/>
              </w:rPr>
            </w:pPr>
            <w:hyperlink r:id="rId125">
              <w:r>
                <w:rPr>
                  <w:rFonts w:ascii="Arial" w:cs="Arial" w:eastAsia="Arial" w:hAnsi="Arial"/>
                  <w:sz w:val="18"/>
                  <w:szCs w:val="18"/>
                  <w:color w:val="0000FF"/>
                  <w:w w:val="92"/>
                </w:rPr>
                <w:t>Cumberland Pharmaceuticals Inc. and Pinnacle Bank, incorporated herein by reference to Exhibit 10.5 of the</w:t>
              </w:r>
            </w:hyperlink>
          </w:p>
        </w:tc>
      </w:tr>
      <w:tr>
        <w:trPr>
          <w:trHeight w:val="169"/>
        </w:trPr>
        <w:tc>
          <w:tcPr>
            <w:tcW w:w="1120" w:type="dxa"/>
            <w:vAlign w:val="bottom"/>
          </w:tcPr>
          <w:p>
            <w:pPr>
              <w:spacing w:after="0"/>
              <w:rPr>
                <w:sz w:val="14"/>
                <w:szCs w:val="14"/>
                <w:color w:val="auto"/>
              </w:rPr>
            </w:pPr>
          </w:p>
        </w:tc>
        <w:tc>
          <w:tcPr>
            <w:tcW w:w="764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Registrant’s Quarterly Report on Form 10-Q (File No. 001-33637) as filed with the SEC on May 13, 2022</w:t>
              </w:r>
            </w:hyperlink>
          </w:p>
        </w:tc>
        <w:tc>
          <w:tcPr>
            <w:tcW w:w="240" w:type="dxa"/>
            <w:vAlign w:val="bottom"/>
            <w:tcBorders>
              <w:top w:val="single" w:sz="8" w:color="0000FF"/>
            </w:tcBorders>
            <w:gridSpan w:val="3"/>
          </w:tcPr>
          <w:p>
            <w:pPr>
              <w:spacing w:after="0"/>
              <w:rPr>
                <w:sz w:val="14"/>
                <w:szCs w:val="14"/>
                <w:color w:val="auto"/>
              </w:rPr>
            </w:pPr>
          </w:p>
        </w:tc>
        <w:tc>
          <w:tcPr>
            <w:tcW w:w="100" w:type="dxa"/>
            <w:vAlign w:val="bottom"/>
            <w:gridSpan w:val="3"/>
          </w:tcPr>
          <w:p>
            <w:pPr>
              <w:spacing w:after="0"/>
              <w:rPr>
                <w:sz w:val="14"/>
                <w:szCs w:val="14"/>
                <w:color w:val="auto"/>
              </w:rPr>
            </w:pPr>
          </w:p>
        </w:tc>
      </w:tr>
      <w:tr>
        <w:trPr>
          <w:trHeight w:val="304"/>
        </w:trPr>
        <w:tc>
          <w:tcPr>
            <w:tcW w:w="1120" w:type="dxa"/>
            <w:vAlign w:val="bottom"/>
          </w:tcPr>
          <w:p>
            <w:pPr>
              <w:jc w:val="right"/>
              <w:ind w:right="630"/>
              <w:spacing w:after="0"/>
              <w:rPr>
                <w:sz w:val="20"/>
                <w:szCs w:val="20"/>
                <w:color w:val="auto"/>
              </w:rPr>
            </w:pPr>
            <w:r>
              <w:rPr>
                <w:rFonts w:ascii="Arial" w:cs="Arial" w:eastAsia="Arial" w:hAnsi="Arial"/>
                <w:sz w:val="18"/>
                <w:szCs w:val="18"/>
                <w:color w:val="auto"/>
                <w:w w:val="84"/>
              </w:rPr>
              <w:t>10.46</w:t>
            </w:r>
          </w:p>
        </w:tc>
        <w:tc>
          <w:tcPr>
            <w:tcW w:w="7980" w:type="dxa"/>
            <w:vAlign w:val="bottom"/>
            <w:gridSpan w:val="10"/>
          </w:tcPr>
          <w:p>
            <w:pPr>
              <w:spacing w:after="0"/>
              <w:rPr>
                <w:rFonts w:ascii="Arial" w:cs="Arial" w:eastAsia="Arial" w:hAnsi="Arial"/>
                <w:sz w:val="18"/>
                <w:szCs w:val="18"/>
                <w:color w:val="0000FF"/>
                <w:w w:val="99"/>
              </w:rPr>
            </w:pPr>
            <w:hyperlink r:id="rId126">
              <w:r>
                <w:rPr>
                  <w:rFonts w:ascii="Arial" w:cs="Arial" w:eastAsia="Arial" w:hAnsi="Arial"/>
                  <w:sz w:val="18"/>
                  <w:szCs w:val="18"/>
                  <w:color w:val="0000FF"/>
                  <w:w w:val="99"/>
                </w:rPr>
                <w:t>Eighth Amendment to Revolving Credit Loan Agreement, dated as of June 30, 2022, by and between</w:t>
              </w:r>
            </w:hyperlink>
          </w:p>
        </w:tc>
      </w:tr>
      <w:tr>
        <w:trPr>
          <w:trHeight w:val="20"/>
        </w:trPr>
        <w:tc>
          <w:tcPr>
            <w:tcW w:w="1120" w:type="dxa"/>
            <w:vAlign w:val="bottom"/>
          </w:tcPr>
          <w:p>
            <w:pPr>
              <w:spacing w:after="0" w:line="20" w:lineRule="exact"/>
              <w:rPr>
                <w:sz w:val="1"/>
                <w:szCs w:val="1"/>
                <w:color w:val="auto"/>
              </w:rPr>
            </w:pPr>
          </w:p>
        </w:tc>
        <w:tc>
          <w:tcPr>
            <w:tcW w:w="7280" w:type="dxa"/>
            <w:vAlign w:val="bottom"/>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56"/>
        </w:trPr>
        <w:tc>
          <w:tcPr>
            <w:tcW w:w="1120" w:type="dxa"/>
            <w:vAlign w:val="bottom"/>
          </w:tcPr>
          <w:p>
            <w:pPr>
              <w:spacing w:after="0"/>
              <w:rPr>
                <w:sz w:val="13"/>
                <w:szCs w:val="13"/>
                <w:color w:val="auto"/>
              </w:rPr>
            </w:pPr>
          </w:p>
        </w:tc>
        <w:tc>
          <w:tcPr>
            <w:tcW w:w="7980" w:type="dxa"/>
            <w:vAlign w:val="bottom"/>
            <w:gridSpan w:val="10"/>
          </w:tcPr>
          <w:p>
            <w:pPr>
              <w:spacing w:after="0" w:line="156" w:lineRule="exact"/>
              <w:rPr>
                <w:rFonts w:ascii="Arial" w:cs="Arial" w:eastAsia="Arial" w:hAnsi="Arial"/>
                <w:sz w:val="18"/>
                <w:szCs w:val="18"/>
                <w:color w:val="0000FF"/>
                <w:w w:val="91"/>
              </w:rPr>
            </w:pPr>
            <w:hyperlink r:id="rId126">
              <w:r>
                <w:rPr>
                  <w:rFonts w:ascii="Arial" w:cs="Arial" w:eastAsia="Arial" w:hAnsi="Arial"/>
                  <w:sz w:val="18"/>
                  <w:szCs w:val="18"/>
                  <w:color w:val="0000FF"/>
                  <w:w w:val="91"/>
                </w:rPr>
                <w:t>Cumberland Pharmaceuticals Inc. and Pinnacle Bank., incorporated herein by reference to Exhibit 10.1 of the</w:t>
              </w:r>
            </w:hyperlink>
          </w:p>
        </w:tc>
      </w:tr>
      <w:tr>
        <w:trPr>
          <w:trHeight w:val="169"/>
        </w:trPr>
        <w:tc>
          <w:tcPr>
            <w:tcW w:w="1120" w:type="dxa"/>
            <w:vAlign w:val="bottom"/>
          </w:tcPr>
          <w:p>
            <w:pPr>
              <w:spacing w:after="0"/>
              <w:rPr>
                <w:sz w:val="14"/>
                <w:szCs w:val="14"/>
                <w:color w:val="auto"/>
              </w:rPr>
            </w:pPr>
          </w:p>
        </w:tc>
        <w:tc>
          <w:tcPr>
            <w:tcW w:w="7880" w:type="dxa"/>
            <w:vAlign w:val="bottom"/>
            <w:tcBorders>
              <w:top w:val="single" w:sz="8" w:color="0000FF"/>
            </w:tcBorders>
            <w:gridSpan w:val="7"/>
          </w:tcPr>
          <w:p>
            <w:pPr>
              <w:spacing w:after="0" w:line="169" w:lineRule="exact"/>
              <w:rPr>
                <w:rFonts w:ascii="Arial" w:cs="Arial" w:eastAsia="Arial" w:hAnsi="Arial"/>
                <w:sz w:val="18"/>
                <w:szCs w:val="18"/>
                <w:color w:val="0000FF"/>
                <w:w w:val="91"/>
              </w:rPr>
            </w:pPr>
            <w:hyperlink r:id="rId126">
              <w:r>
                <w:rPr>
                  <w:rFonts w:ascii="Arial" w:cs="Arial" w:eastAsia="Arial" w:hAnsi="Arial"/>
                  <w:sz w:val="18"/>
                  <w:szCs w:val="18"/>
                  <w:color w:val="0000FF"/>
                  <w:w w:val="91"/>
                </w:rPr>
                <w:t>Registrant’s Quarterly Report on Form 10-Q (File No. 001-33637) as filed with the SEC on August 12, 2022</w:t>
              </w:r>
            </w:hyperlink>
          </w:p>
        </w:tc>
        <w:tc>
          <w:tcPr>
            <w:tcW w:w="100" w:type="dxa"/>
            <w:vAlign w:val="bottom"/>
            <w:gridSpan w:val="3"/>
          </w:tcPr>
          <w:p>
            <w:pPr>
              <w:spacing w:after="0"/>
              <w:rPr>
                <w:sz w:val="14"/>
                <w:szCs w:val="14"/>
                <w:color w:val="auto"/>
              </w:rPr>
            </w:pPr>
          </w:p>
        </w:tc>
      </w:tr>
      <w:tr>
        <w:trPr>
          <w:trHeight w:val="304"/>
        </w:trPr>
        <w:tc>
          <w:tcPr>
            <w:tcW w:w="1120" w:type="dxa"/>
            <w:vAlign w:val="bottom"/>
          </w:tcPr>
          <w:p>
            <w:pPr>
              <w:jc w:val="right"/>
              <w:ind w:right="630"/>
              <w:spacing w:after="0"/>
              <w:rPr>
                <w:sz w:val="20"/>
                <w:szCs w:val="20"/>
                <w:color w:val="auto"/>
              </w:rPr>
            </w:pPr>
            <w:r>
              <w:rPr>
                <w:rFonts w:ascii="Arial" w:cs="Arial" w:eastAsia="Arial" w:hAnsi="Arial"/>
                <w:sz w:val="18"/>
                <w:szCs w:val="18"/>
                <w:color w:val="auto"/>
                <w:w w:val="84"/>
              </w:rPr>
              <w:t>10.47</w:t>
            </w:r>
          </w:p>
        </w:tc>
        <w:tc>
          <w:tcPr>
            <w:tcW w:w="7820" w:type="dxa"/>
            <w:vAlign w:val="bottom"/>
            <w:tcBorders>
              <w:top w:val="single" w:sz="8" w:color="0000FF"/>
            </w:tcBorders>
            <w:gridSpan w:val="6"/>
          </w:tcPr>
          <w:p>
            <w:pPr>
              <w:spacing w:after="0"/>
              <w:rPr>
                <w:rFonts w:ascii="Arial" w:cs="Arial" w:eastAsia="Arial" w:hAnsi="Arial"/>
                <w:sz w:val="18"/>
                <w:szCs w:val="18"/>
                <w:color w:val="0000FF"/>
                <w:w w:val="92"/>
              </w:rPr>
            </w:pPr>
            <w:hyperlink r:id="rId127">
              <w:r>
                <w:rPr>
                  <w:rFonts w:ascii="Arial" w:cs="Arial" w:eastAsia="Arial" w:hAnsi="Arial"/>
                  <w:sz w:val="18"/>
                  <w:szCs w:val="18"/>
                  <w:color w:val="0000FF"/>
                  <w:w w:val="92"/>
                </w:rPr>
                <w:t>Ninth Amendment to Revolving Credit Loan Agreement, dated as of September 29, 2022, by and between</w:t>
              </w:r>
            </w:hyperlink>
          </w:p>
        </w:tc>
        <w:tc>
          <w:tcPr>
            <w:tcW w:w="160" w:type="dxa"/>
            <w:vAlign w:val="bottom"/>
            <w:gridSpan w:val="4"/>
          </w:tcPr>
          <w:p>
            <w:pPr>
              <w:spacing w:after="0"/>
              <w:rPr>
                <w:sz w:val="24"/>
                <w:szCs w:val="24"/>
                <w:color w:val="auto"/>
              </w:rPr>
            </w:pPr>
          </w:p>
        </w:tc>
      </w:tr>
      <w:tr>
        <w:trPr>
          <w:trHeight w:val="156"/>
        </w:trPr>
        <w:tc>
          <w:tcPr>
            <w:tcW w:w="1120" w:type="dxa"/>
            <w:vAlign w:val="bottom"/>
          </w:tcPr>
          <w:p>
            <w:pPr>
              <w:spacing w:after="0"/>
              <w:rPr>
                <w:sz w:val="13"/>
                <w:szCs w:val="13"/>
                <w:color w:val="auto"/>
              </w:rPr>
            </w:pPr>
          </w:p>
        </w:tc>
        <w:tc>
          <w:tcPr>
            <w:tcW w:w="7660" w:type="dxa"/>
            <w:vAlign w:val="bottom"/>
            <w:tcBorders>
              <w:top w:val="single" w:sz="8" w:color="0000FF"/>
            </w:tcBorders>
            <w:gridSpan w:val="5"/>
          </w:tcPr>
          <w:p>
            <w:pPr>
              <w:spacing w:after="0" w:line="156" w:lineRule="exact"/>
              <w:rPr>
                <w:rFonts w:ascii="Arial" w:cs="Arial" w:eastAsia="Arial" w:hAnsi="Arial"/>
                <w:sz w:val="18"/>
                <w:szCs w:val="18"/>
                <w:color w:val="0000FF"/>
                <w:w w:val="91"/>
              </w:rPr>
            </w:pPr>
            <w:hyperlink r:id="rId127">
              <w:r>
                <w:rPr>
                  <w:rFonts w:ascii="Arial" w:cs="Arial" w:eastAsia="Arial" w:hAnsi="Arial"/>
                  <w:sz w:val="18"/>
                  <w:szCs w:val="18"/>
                  <w:color w:val="0000FF"/>
                  <w:w w:val="91"/>
                </w:rPr>
                <w:t>Cumberland Pharmaceuticals Inc. and Pinnacle Bank., incorporated herein by reference to Exhibit 10.1 of</w:t>
              </w:r>
            </w:hyperlink>
          </w:p>
        </w:tc>
        <w:tc>
          <w:tcPr>
            <w:tcW w:w="320" w:type="dxa"/>
            <w:vAlign w:val="bottom"/>
            <w:gridSpan w:val="5"/>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the</w:t>
              </w:r>
            </w:hyperlink>
          </w:p>
        </w:tc>
      </w:tr>
      <w:tr>
        <w:trPr>
          <w:trHeight w:val="20"/>
        </w:trPr>
        <w:tc>
          <w:tcPr>
            <w:tcW w:w="1120" w:type="dxa"/>
            <w:vAlign w:val="bottom"/>
          </w:tcPr>
          <w:p>
            <w:pPr>
              <w:spacing w:after="0" w:line="20" w:lineRule="exact"/>
              <w:rPr>
                <w:sz w:val="1"/>
                <w:szCs w:val="1"/>
                <w:color w:val="auto"/>
              </w:rPr>
            </w:pPr>
          </w:p>
        </w:tc>
        <w:tc>
          <w:tcPr>
            <w:tcW w:w="7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1140" w:right="1760"/>
        <w:spacing w:after="0" w:line="226" w:lineRule="auto"/>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Registrant’s Quarterly Report on Form 10-Q (File No. 001-33637) as filed with the SEC on November 14,</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2022</w:t>
        </w:r>
      </w:hyperlink>
    </w:p>
    <w:p>
      <w:pPr>
        <w:spacing w:after="0" w:line="217" w:lineRule="exact"/>
        <w:rPr>
          <w:sz w:val="20"/>
          <w:szCs w:val="20"/>
          <w:color w:val="auto"/>
        </w:rPr>
      </w:pPr>
    </w:p>
    <w:p>
      <w:pPr>
        <w:ind w:left="1400" w:hanging="1144"/>
        <w:spacing w:after="0" w:line="235" w:lineRule="auto"/>
        <w:tabs>
          <w:tab w:leader="none" w:pos="1400" w:val="left"/>
        </w:tabs>
        <w:numPr>
          <w:ilvl w:val="0"/>
          <w:numId w:val="36"/>
        </w:numPr>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Subsidiaries of Cumberland Pharmaceuticals Inc., incorporated herein by reference to the corresponding exhibit to the</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Registrant’s Registration Statement on Form S-1 (File No. 333-142535) as filed with the SEC on May 1, 2007</w:t>
        </w:r>
      </w:hyperlink>
    </w:p>
    <w:p>
      <w:pPr>
        <w:spacing w:after="0" w:line="64"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jc w:val="center"/>
              <w:ind w:right="630"/>
              <w:spacing w:after="0"/>
              <w:rPr>
                <w:sz w:val="20"/>
                <w:szCs w:val="20"/>
                <w:color w:val="auto"/>
              </w:rPr>
            </w:pPr>
            <w:r>
              <w:rPr>
                <w:rFonts w:ascii="Arial" w:cs="Arial" w:eastAsia="Arial" w:hAnsi="Arial"/>
                <w:sz w:val="18"/>
                <w:szCs w:val="18"/>
                <w:color w:val="auto"/>
                <w:w w:val="91"/>
              </w:rPr>
              <w:t>23.1</w:t>
            </w:r>
          </w:p>
        </w:tc>
        <w:tc>
          <w:tcPr>
            <w:tcW w:w="9200" w:type="dxa"/>
            <w:vAlign w:val="bottom"/>
            <w:gridSpan w:val="7"/>
          </w:tcPr>
          <w:p>
            <w:pPr>
              <w:spacing w:after="0"/>
              <w:rPr>
                <w:sz w:val="20"/>
                <w:szCs w:val="20"/>
                <w:color w:val="auto"/>
              </w:rPr>
            </w:pPr>
            <w:r>
              <w:rPr>
                <w:rFonts w:ascii="Arial" w:cs="Arial" w:eastAsia="Arial" w:hAnsi="Arial"/>
                <w:sz w:val="18"/>
                <w:szCs w:val="18"/>
                <w:color w:val="0000FF"/>
              </w:rPr>
              <w:t>Consent of FORVIS, LLP</w:t>
            </w:r>
          </w:p>
        </w:tc>
      </w:tr>
      <w:tr>
        <w:trPr>
          <w:trHeight w:val="20"/>
        </w:trPr>
        <w:tc>
          <w:tcPr>
            <w:tcW w:w="140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400" w:type="dxa"/>
            <w:vAlign w:val="bottom"/>
          </w:tcPr>
          <w:p>
            <w:pPr>
              <w:jc w:val="center"/>
              <w:ind w:right="630"/>
              <w:spacing w:after="0"/>
              <w:rPr>
                <w:sz w:val="20"/>
                <w:szCs w:val="20"/>
                <w:color w:val="auto"/>
              </w:rPr>
            </w:pPr>
            <w:r>
              <w:rPr>
                <w:rFonts w:ascii="Arial" w:cs="Arial" w:eastAsia="Arial" w:hAnsi="Arial"/>
                <w:sz w:val="18"/>
                <w:szCs w:val="18"/>
                <w:color w:val="auto"/>
                <w:w w:val="91"/>
              </w:rPr>
              <w:t>31.1</w:t>
            </w:r>
          </w:p>
        </w:tc>
        <w:tc>
          <w:tcPr>
            <w:tcW w:w="9200" w:type="dxa"/>
            <w:vAlign w:val="bottom"/>
            <w:gridSpan w:val="7"/>
          </w:tcPr>
          <w:p>
            <w:pPr>
              <w:spacing w:after="0"/>
              <w:rPr>
                <w:sz w:val="20"/>
                <w:szCs w:val="20"/>
                <w:color w:val="auto"/>
              </w:rPr>
            </w:pPr>
            <w:r>
              <w:rPr>
                <w:rFonts w:ascii="Arial" w:cs="Arial" w:eastAsia="Arial" w:hAnsi="Arial"/>
                <w:sz w:val="18"/>
                <w:szCs w:val="18"/>
                <w:color w:val="0000FF"/>
                <w:w w:val="99"/>
              </w:rPr>
              <w:t>Certification of Chief Executive Officer Pursuant to Rule 13-14(a) of the Securities Exchange Act of 1934 as Adopted</w:t>
            </w:r>
          </w:p>
        </w:tc>
      </w:tr>
      <w:tr>
        <w:trPr>
          <w:trHeight w:val="155"/>
        </w:trPr>
        <w:tc>
          <w:tcPr>
            <w:tcW w:w="140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90"/>
              </w:rPr>
              <w:t>Pursuant to Section 302 of the Sarbanes-Oxley Act of 2002.</w:t>
            </w:r>
          </w:p>
        </w:tc>
        <w:tc>
          <w:tcPr>
            <w:tcW w:w="48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1"/>
        </w:trPr>
        <w:tc>
          <w:tcPr>
            <w:tcW w:w="1400" w:type="dxa"/>
            <w:vAlign w:val="bottom"/>
          </w:tcPr>
          <w:p>
            <w:pPr>
              <w:jc w:val="center"/>
              <w:ind w:right="630"/>
              <w:spacing w:after="0"/>
              <w:rPr>
                <w:sz w:val="20"/>
                <w:szCs w:val="20"/>
                <w:color w:val="auto"/>
              </w:rPr>
            </w:pPr>
            <w:r>
              <w:rPr>
                <w:rFonts w:ascii="Arial" w:cs="Arial" w:eastAsia="Arial" w:hAnsi="Arial"/>
                <w:sz w:val="18"/>
                <w:szCs w:val="18"/>
                <w:color w:val="auto"/>
                <w:w w:val="91"/>
              </w:rPr>
              <w:t>31.2</w:t>
            </w:r>
          </w:p>
        </w:tc>
        <w:tc>
          <w:tcPr>
            <w:tcW w:w="9200" w:type="dxa"/>
            <w:vAlign w:val="bottom"/>
            <w:gridSpan w:val="7"/>
          </w:tcPr>
          <w:p>
            <w:pPr>
              <w:spacing w:after="0"/>
              <w:rPr>
                <w:sz w:val="20"/>
                <w:szCs w:val="20"/>
                <w:color w:val="auto"/>
              </w:rPr>
            </w:pPr>
            <w:r>
              <w:rPr>
                <w:rFonts w:ascii="Arial" w:cs="Arial" w:eastAsia="Arial" w:hAnsi="Arial"/>
                <w:sz w:val="18"/>
                <w:szCs w:val="18"/>
                <w:color w:val="0000FF"/>
                <w:w w:val="92"/>
              </w:rPr>
              <w:t>Certification of Chief Financial Officer Pursuant to Rule 13-14(a) of the Securities Exchange Act of 1934 as Adopted Pursuant</w:t>
            </w:r>
          </w:p>
        </w:tc>
      </w:tr>
      <w:tr>
        <w:trPr>
          <w:trHeight w:val="156"/>
        </w:trPr>
        <w:tc>
          <w:tcPr>
            <w:tcW w:w="140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0"/>
              </w:rPr>
              <w:t>to Section 302 of the Sarbanes-Oxley Act of 2002.</w:t>
            </w:r>
          </w:p>
        </w:tc>
        <w:tc>
          <w:tcPr>
            <w:tcW w:w="55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91"/>
        </w:trPr>
        <w:tc>
          <w:tcPr>
            <w:tcW w:w="1400" w:type="dxa"/>
            <w:vAlign w:val="bottom"/>
          </w:tcPr>
          <w:p>
            <w:pPr>
              <w:jc w:val="center"/>
              <w:ind w:right="610"/>
              <w:spacing w:after="0"/>
              <w:rPr>
                <w:sz w:val="20"/>
                <w:szCs w:val="20"/>
                <w:color w:val="auto"/>
              </w:rPr>
            </w:pPr>
            <w:r>
              <w:rPr>
                <w:rFonts w:ascii="Arial" w:cs="Arial" w:eastAsia="Arial" w:hAnsi="Arial"/>
                <w:sz w:val="18"/>
                <w:szCs w:val="18"/>
                <w:color w:val="auto"/>
              </w:rPr>
              <w:t>32.1**</w:t>
            </w:r>
          </w:p>
        </w:tc>
        <w:tc>
          <w:tcPr>
            <w:tcW w:w="9200" w:type="dxa"/>
            <w:vAlign w:val="bottom"/>
            <w:gridSpan w:val="7"/>
          </w:tcPr>
          <w:p>
            <w:pPr>
              <w:spacing w:after="0"/>
              <w:rPr>
                <w:sz w:val="20"/>
                <w:szCs w:val="20"/>
                <w:color w:val="auto"/>
              </w:rPr>
            </w:pPr>
            <w:r>
              <w:rPr>
                <w:rFonts w:ascii="Arial" w:cs="Arial" w:eastAsia="Arial" w:hAnsi="Arial"/>
                <w:sz w:val="18"/>
                <w:szCs w:val="18"/>
                <w:color w:val="0000FF"/>
                <w:w w:val="92"/>
              </w:rPr>
              <w:t>Certification of Chief Executive Officer and Chief Financial Officer Pursuant to 18 U.S.C. Section 1350, as Adopted Pursuant</w:t>
            </w:r>
          </w:p>
        </w:tc>
      </w:tr>
      <w:tr>
        <w:trPr>
          <w:trHeight w:val="155"/>
        </w:trPr>
        <w:tc>
          <w:tcPr>
            <w:tcW w:w="140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0"/>
              </w:rPr>
              <w:t>to Section 906 of the Sarbanes-Oxley Act of 2002.</w:t>
            </w:r>
          </w:p>
        </w:tc>
        <w:tc>
          <w:tcPr>
            <w:tcW w:w="552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400" w:type="dxa"/>
            <w:vAlign w:val="bottom"/>
          </w:tcPr>
          <w:p>
            <w:pPr>
              <w:jc w:val="center"/>
              <w:ind w:right="630"/>
              <w:spacing w:after="0"/>
              <w:rPr>
                <w:sz w:val="20"/>
                <w:szCs w:val="20"/>
                <w:color w:val="auto"/>
              </w:rPr>
            </w:pPr>
            <w:r>
              <w:rPr>
                <w:rFonts w:ascii="Arial" w:cs="Arial" w:eastAsia="Arial" w:hAnsi="Arial"/>
                <w:sz w:val="18"/>
                <w:szCs w:val="18"/>
                <w:color w:val="auto"/>
                <w:w w:val="92"/>
              </w:rPr>
              <w:t>101.INS</w:t>
            </w:r>
          </w:p>
        </w:tc>
        <w:tc>
          <w:tcPr>
            <w:tcW w:w="9200" w:type="dxa"/>
            <w:vAlign w:val="bottom"/>
            <w:gridSpan w:val="7"/>
          </w:tcPr>
          <w:p>
            <w:pPr>
              <w:spacing w:after="0"/>
              <w:rPr>
                <w:sz w:val="20"/>
                <w:szCs w:val="20"/>
                <w:color w:val="auto"/>
              </w:rPr>
            </w:pPr>
            <w:r>
              <w:rPr>
                <w:rFonts w:ascii="Arial" w:cs="Arial" w:eastAsia="Arial" w:hAnsi="Arial"/>
                <w:sz w:val="18"/>
                <w:szCs w:val="18"/>
                <w:color w:val="auto"/>
                <w:w w:val="97"/>
              </w:rPr>
              <w:t>INLINE XBRL INSTANCE DOCUMENT - THE INSTANCE DOCUMENT DOES NOT APPEAR IN THE INTERACTIVE</w:t>
            </w:r>
          </w:p>
        </w:tc>
      </w:tr>
      <w:tr>
        <w:trPr>
          <w:trHeight w:val="230"/>
        </w:trPr>
        <w:tc>
          <w:tcPr>
            <w:tcW w:w="1400" w:type="dxa"/>
            <w:vAlign w:val="bottom"/>
          </w:tcPr>
          <w:p>
            <w:pPr>
              <w:spacing w:after="0"/>
              <w:rPr>
                <w:sz w:val="20"/>
                <w:szCs w:val="20"/>
                <w:color w:val="auto"/>
              </w:rPr>
            </w:pPr>
          </w:p>
        </w:tc>
        <w:tc>
          <w:tcPr>
            <w:tcW w:w="9200" w:type="dxa"/>
            <w:vAlign w:val="bottom"/>
            <w:gridSpan w:val="7"/>
          </w:tcPr>
          <w:p>
            <w:pPr>
              <w:spacing w:after="0"/>
              <w:rPr>
                <w:sz w:val="20"/>
                <w:szCs w:val="20"/>
                <w:color w:val="auto"/>
              </w:rPr>
            </w:pPr>
            <w:r>
              <w:rPr>
                <w:rFonts w:ascii="Arial" w:cs="Arial" w:eastAsia="Arial" w:hAnsi="Arial"/>
                <w:sz w:val="18"/>
                <w:szCs w:val="18"/>
                <w:color w:val="auto"/>
              </w:rPr>
              <w:t>DATA FILE BECAUSE ITS XBRL TAGS ARE EMBEDDED WITHIN THE INLINE XBRL DOCUMENT.</w:t>
            </w:r>
          </w:p>
        </w:tc>
      </w:tr>
      <w:tr>
        <w:trPr>
          <w:trHeight w:val="241"/>
        </w:trPr>
        <w:tc>
          <w:tcPr>
            <w:tcW w:w="1400" w:type="dxa"/>
            <w:vAlign w:val="bottom"/>
          </w:tcPr>
          <w:p>
            <w:pPr>
              <w:jc w:val="center"/>
              <w:ind w:right="610"/>
              <w:spacing w:after="0"/>
              <w:rPr>
                <w:sz w:val="20"/>
                <w:szCs w:val="20"/>
                <w:color w:val="auto"/>
              </w:rPr>
            </w:pPr>
            <w:r>
              <w:rPr>
                <w:rFonts w:ascii="Arial" w:cs="Arial" w:eastAsia="Arial" w:hAnsi="Arial"/>
                <w:sz w:val="18"/>
                <w:szCs w:val="18"/>
                <w:color w:val="auto"/>
                <w:w w:val="90"/>
              </w:rPr>
              <w:t>101.SCH</w:t>
            </w:r>
          </w:p>
        </w:tc>
        <w:tc>
          <w:tcPr>
            <w:tcW w:w="92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1400" w:type="dxa"/>
            <w:vAlign w:val="bottom"/>
          </w:tcPr>
          <w:p>
            <w:pPr>
              <w:jc w:val="center"/>
              <w:ind w:right="630"/>
              <w:spacing w:after="0"/>
              <w:rPr>
                <w:sz w:val="20"/>
                <w:szCs w:val="20"/>
                <w:color w:val="auto"/>
              </w:rPr>
            </w:pPr>
            <w:r>
              <w:rPr>
                <w:rFonts w:ascii="Arial" w:cs="Arial" w:eastAsia="Arial" w:hAnsi="Arial"/>
                <w:sz w:val="18"/>
                <w:szCs w:val="18"/>
                <w:color w:val="auto"/>
                <w:w w:val="97"/>
              </w:rPr>
              <w:t>101.CAL</w:t>
            </w:r>
          </w:p>
        </w:tc>
        <w:tc>
          <w:tcPr>
            <w:tcW w:w="92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1400" w:type="dxa"/>
            <w:vAlign w:val="bottom"/>
          </w:tcPr>
          <w:p>
            <w:pPr>
              <w:jc w:val="center"/>
              <w:ind w:right="610"/>
              <w:spacing w:after="0"/>
              <w:rPr>
                <w:sz w:val="20"/>
                <w:szCs w:val="20"/>
                <w:color w:val="auto"/>
              </w:rPr>
            </w:pPr>
            <w:r>
              <w:rPr>
                <w:rFonts w:ascii="Arial" w:cs="Arial" w:eastAsia="Arial" w:hAnsi="Arial"/>
                <w:sz w:val="18"/>
                <w:szCs w:val="18"/>
                <w:color w:val="auto"/>
                <w:w w:val="92"/>
              </w:rPr>
              <w:t>101.DEF</w:t>
            </w:r>
          </w:p>
        </w:tc>
        <w:tc>
          <w:tcPr>
            <w:tcW w:w="92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1400" w:type="dxa"/>
            <w:vAlign w:val="bottom"/>
          </w:tcPr>
          <w:p>
            <w:pPr>
              <w:jc w:val="center"/>
              <w:ind w:right="630"/>
              <w:spacing w:after="0"/>
              <w:rPr>
                <w:sz w:val="20"/>
                <w:szCs w:val="20"/>
                <w:color w:val="auto"/>
              </w:rPr>
            </w:pPr>
            <w:r>
              <w:rPr>
                <w:rFonts w:ascii="Arial" w:cs="Arial" w:eastAsia="Arial" w:hAnsi="Arial"/>
                <w:sz w:val="18"/>
                <w:szCs w:val="18"/>
                <w:color w:val="auto"/>
                <w:w w:val="98"/>
              </w:rPr>
              <w:t>101.LAB</w:t>
            </w:r>
          </w:p>
        </w:tc>
        <w:tc>
          <w:tcPr>
            <w:tcW w:w="92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400" w:type="dxa"/>
            <w:vAlign w:val="bottom"/>
          </w:tcPr>
          <w:p>
            <w:pPr>
              <w:jc w:val="center"/>
              <w:ind w:right="630"/>
              <w:spacing w:after="0"/>
              <w:rPr>
                <w:sz w:val="20"/>
                <w:szCs w:val="20"/>
                <w:color w:val="auto"/>
              </w:rPr>
            </w:pPr>
            <w:r>
              <w:rPr>
                <w:rFonts w:ascii="Arial" w:cs="Arial" w:eastAsia="Arial" w:hAnsi="Arial"/>
                <w:sz w:val="18"/>
                <w:szCs w:val="18"/>
                <w:color w:val="auto"/>
                <w:w w:val="88"/>
              </w:rPr>
              <w:t>101.PRE</w:t>
            </w:r>
          </w:p>
        </w:tc>
        <w:tc>
          <w:tcPr>
            <w:tcW w:w="92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400" w:hanging="1189"/>
        <w:spacing w:after="0"/>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9" w:lineRule="exact"/>
        <w:rPr>
          <w:rFonts w:ascii="Arial" w:cs="Arial" w:eastAsia="Arial" w:hAnsi="Arial"/>
          <w:sz w:val="18"/>
          <w:szCs w:val="18"/>
          <w:color w:val="auto"/>
        </w:rPr>
      </w:pPr>
    </w:p>
    <w:p>
      <w:pPr>
        <w:ind w:left="4980"/>
        <w:spacing w:after="0"/>
        <w:rPr>
          <w:rFonts w:ascii="Arial" w:cs="Arial" w:eastAsia="Arial" w:hAnsi="Arial"/>
          <w:sz w:val="18"/>
          <w:szCs w:val="18"/>
          <w:color w:val="auto"/>
        </w:rPr>
      </w:pPr>
      <w:r>
        <w:rPr>
          <w:rFonts w:ascii="Arial" w:cs="Arial" w:eastAsia="Arial" w:hAnsi="Arial"/>
          <w:sz w:val="18"/>
          <w:szCs w:val="18"/>
          <w:color w:val="auto"/>
        </w:rPr>
        <w:t>78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-362585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880" w:top="1440" w:right="459" w:bottom="1440" w:gutter="0" w:footer="0" w:header="0"/>
        </w:sectPr>
      </w:pPr>
    </w:p>
    <w:bookmarkStart w:id="80" w:name="page81"/>
    <w:bookmarkEnd w:id="80"/>
    <w:p>
      <w:pPr>
        <w:spacing w:after="0" w:line="22" w:lineRule="exact"/>
        <w:rPr>
          <w:sz w:val="20"/>
          <w:szCs w:val="20"/>
          <w:color w:val="auto"/>
        </w:rPr>
      </w:pPr>
    </w:p>
    <w:p>
      <w:pPr>
        <w:ind w:left="1124" w:hanging="1079"/>
        <w:spacing w:after="0"/>
        <w:tabs>
          <w:tab w:leader="none" w:pos="11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90" w:lineRule="exact"/>
        <w:rPr>
          <w:sz w:val="20"/>
          <w:szCs w:val="20"/>
          <w:color w:val="auto"/>
        </w:rPr>
      </w:pPr>
    </w:p>
    <w:p>
      <w:pPr>
        <w:ind w:left="1124" w:hanging="1079"/>
        <w:spacing w:after="0" w:line="235" w:lineRule="auto"/>
        <w:tabs>
          <w:tab w:leader="none" w:pos="11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These portions have been omitted from the Registration Statement and submitted separately to the Securities and Exchange Commission.</w:t>
      </w:r>
    </w:p>
    <w:p>
      <w:pPr>
        <w:spacing w:after="0" w:line="81" w:lineRule="exact"/>
        <w:rPr>
          <w:sz w:val="20"/>
          <w:szCs w:val="20"/>
          <w:color w:val="auto"/>
        </w:rPr>
      </w:pPr>
    </w:p>
    <w:p>
      <w:pPr>
        <w:ind w:left="1124" w:hanging="1124"/>
        <w:spacing w:after="0" w:line="235" w:lineRule="auto"/>
        <w:tabs>
          <w:tab w:leader="none" w:pos="11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Confidential treatment has been requested for portions of this exhibit. These portions have been omitted from the Registration Statement and submitted separately to the Securities and Exchange Commission.</w:t>
      </w:r>
    </w:p>
    <w:p>
      <w:pPr>
        <w:spacing w:after="0" w:line="13" w:lineRule="exact"/>
        <w:rPr>
          <w:sz w:val="20"/>
          <w:szCs w:val="20"/>
          <w:color w:val="auto"/>
        </w:rPr>
      </w:pPr>
    </w:p>
    <w:p>
      <w:pPr>
        <w:jc w:val="both"/>
        <w:ind w:left="1124" w:hanging="1079"/>
        <w:spacing w:after="0" w:line="223" w:lineRule="auto"/>
        <w:tabs>
          <w:tab w:leader="none" w:pos="11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Schedules have been omitted pursuant to Item 601(b)(2) of Regulation S-K. A copy of any omitted schedule will be furnished supplementally to the U.S. Securities and Exchange Commission upon request, provided, however, that the parties may request confidential treatment pursuant to Rule 24b-2 of the Securities Exchange Act of 1934, as amended for any document so furnished.</w:t>
      </w:r>
    </w:p>
    <w:p>
      <w:pPr>
        <w:spacing w:after="0" w:line="1" w:lineRule="exact"/>
        <w:rPr>
          <w:sz w:val="20"/>
          <w:szCs w:val="20"/>
          <w:color w:val="auto"/>
        </w:rPr>
      </w:pPr>
    </w:p>
    <w:p>
      <w:pPr>
        <w:ind w:left="1124" w:hanging="1124"/>
        <w:spacing w:after="0"/>
        <w:tabs>
          <w:tab w:leader="none" w:pos="11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724"/>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4"/>
          </w:cols>
          <w:pgMar w:left="1136" w:top="1440" w:right="459" w:bottom="1440" w:gutter="0" w:footer="0" w:header="0"/>
        </w:sectPr>
      </w:pPr>
    </w:p>
    <w:bookmarkStart w:id="81" w:name="page82"/>
    <w:bookmarkEnd w:id="81"/>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16. Form 10-K Summary</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Registrants may voluntarily include a summary of information required by Form 10-K under this Item 16. The Company has elected not to include such summary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13, 2023.</w:t>
      </w:r>
    </w:p>
    <w:p>
      <w:pPr>
        <w:spacing w:after="0" w:line="1"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Cumberland Pharmaceuticals, Inc.</w:t>
      </w:r>
    </w:p>
    <w:p>
      <w:pPr>
        <w:spacing w:after="0" w:line="256" w:lineRule="exact"/>
        <w:rPr>
          <w:sz w:val="20"/>
          <w:szCs w:val="20"/>
          <w:color w:val="auto"/>
        </w:rPr>
      </w:pPr>
    </w:p>
    <w:p>
      <w:pPr>
        <w:ind w:left="6380"/>
        <w:spacing w:after="0"/>
        <w:rPr>
          <w:sz w:val="20"/>
          <w:szCs w:val="20"/>
          <w:color w:val="auto"/>
        </w:rPr>
      </w:pPr>
      <w:r>
        <w:rPr>
          <w:rFonts w:ascii="Arial" w:cs="Arial" w:eastAsia="Arial" w:hAnsi="Arial"/>
          <w:sz w:val="18"/>
          <w:szCs w:val="18"/>
          <w:i w:val="1"/>
          <w:iCs w:val="1"/>
          <w:color w:val="auto"/>
        </w:rPr>
        <w:t>/s/ 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30435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2">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A. J. Kazimi</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i w:val="1"/>
          <w:iCs w:val="1"/>
          <w:color w:val="auto"/>
        </w:rPr>
        <w:t>(Principal Executive Officer)</w:t>
      </w:r>
    </w:p>
    <w:p>
      <w:pPr>
        <w:spacing w:after="0" w:line="2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Borders>
              <w:bottom w:val="single" w:sz="8" w:color="auto"/>
            </w:tcBorders>
          </w:tcPr>
          <w:p>
            <w:pPr>
              <w:ind w:left="2040"/>
              <w:spacing w:after="0"/>
              <w:rPr>
                <w:sz w:val="20"/>
                <w:szCs w:val="20"/>
                <w:color w:val="auto"/>
              </w:rPr>
            </w:pPr>
            <w:r>
              <w:rPr>
                <w:rFonts w:ascii="Arial" w:cs="Arial" w:eastAsia="Arial" w:hAnsi="Arial"/>
                <w:sz w:val="16"/>
                <w:szCs w:val="16"/>
                <w:b w:val="1"/>
                <w:bCs w:val="1"/>
                <w:color w:val="auto"/>
              </w:rPr>
              <w:t>Signature</w:t>
            </w:r>
          </w:p>
        </w:tc>
        <w:tc>
          <w:tcPr>
            <w:tcW w:w="140" w:type="dxa"/>
            <w:vAlign w:val="bottom"/>
          </w:tcPr>
          <w:p>
            <w:pPr>
              <w:spacing w:after="0"/>
              <w:rPr>
                <w:sz w:val="18"/>
                <w:szCs w:val="18"/>
                <w:color w:val="auto"/>
              </w:rPr>
            </w:pPr>
          </w:p>
        </w:tc>
        <w:tc>
          <w:tcPr>
            <w:tcW w:w="3700" w:type="dxa"/>
            <w:vAlign w:val="bottom"/>
            <w:tcBorders>
              <w:bottom w:val="single" w:sz="8" w:color="auto"/>
            </w:tcBorders>
          </w:tcPr>
          <w:p>
            <w:pPr>
              <w:ind w:left="1700"/>
              <w:spacing w:after="0"/>
              <w:rPr>
                <w:sz w:val="20"/>
                <w:szCs w:val="20"/>
                <w:color w:val="auto"/>
              </w:rPr>
            </w:pPr>
            <w:r>
              <w:rPr>
                <w:rFonts w:ascii="Arial" w:cs="Arial" w:eastAsia="Arial" w:hAnsi="Arial"/>
                <w:sz w:val="16"/>
                <w:szCs w:val="16"/>
                <w:b w:val="1"/>
                <w:bCs w:val="1"/>
                <w:color w:val="auto"/>
              </w:rPr>
              <w:t>Title</w:t>
            </w:r>
          </w:p>
        </w:tc>
        <w:tc>
          <w:tcPr>
            <w:tcW w:w="140" w:type="dxa"/>
            <w:vAlign w:val="bottom"/>
          </w:tcPr>
          <w:p>
            <w:pPr>
              <w:spacing w:after="0"/>
              <w:rPr>
                <w:sz w:val="18"/>
                <w:szCs w:val="18"/>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r>
      <w:tr>
        <w:trPr>
          <w:trHeight w:val="374"/>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A. J. Kazimi</w:t>
            </w:r>
          </w:p>
        </w:tc>
        <w:tc>
          <w:tcPr>
            <w:tcW w:w="14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Chairman and CEO</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13, 2023</w:t>
            </w: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rPr>
              <w:t>A. J. Kazimi</w:t>
            </w:r>
          </w:p>
        </w:tc>
        <w:tc>
          <w:tcPr>
            <w:tcW w:w="140" w:type="dxa"/>
            <w:vAlign w:val="bottom"/>
          </w:tcPr>
          <w:p>
            <w:pPr>
              <w:spacing w:after="0"/>
              <w:rPr>
                <w:sz w:val="19"/>
                <w:szCs w:val="19"/>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Executive Officer and Director)</w:t>
            </w:r>
          </w:p>
        </w:tc>
        <w:tc>
          <w:tcPr>
            <w:tcW w:w="2380" w:type="dxa"/>
            <w:vAlign w:val="bottom"/>
          </w:tcPr>
          <w:p>
            <w:pPr>
              <w:spacing w:after="0"/>
              <w:rPr>
                <w:sz w:val="19"/>
                <w:szCs w:val="19"/>
                <w:color w:val="auto"/>
              </w:rPr>
            </w:pPr>
          </w:p>
        </w:tc>
      </w:tr>
      <w:tr>
        <w:trPr>
          <w:trHeight w:val="296"/>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John M. Hamm</w:t>
            </w:r>
          </w:p>
        </w:tc>
        <w:tc>
          <w:tcPr>
            <w:tcW w:w="14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Senior Director and CFO</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13, 2023</w:t>
            </w:r>
          </w:p>
        </w:tc>
      </w:tr>
      <w:tr>
        <w:trPr>
          <w:trHeight w:val="169"/>
        </w:trPr>
        <w:tc>
          <w:tcPr>
            <w:tcW w:w="4740" w:type="dxa"/>
            <w:vAlign w:val="bottom"/>
          </w:tcPr>
          <w:p>
            <w:pPr>
              <w:ind w:left="20"/>
              <w:spacing w:after="0" w:line="169" w:lineRule="exact"/>
              <w:rPr>
                <w:sz w:val="20"/>
                <w:szCs w:val="20"/>
                <w:color w:val="auto"/>
              </w:rPr>
            </w:pPr>
            <w:r>
              <w:rPr>
                <w:rFonts w:ascii="Arial" w:cs="Arial" w:eastAsia="Arial" w:hAnsi="Arial"/>
                <w:sz w:val="18"/>
                <w:szCs w:val="18"/>
                <w:color w:val="auto"/>
              </w:rPr>
              <w:t>John M. Hamm</w:t>
            </w:r>
          </w:p>
        </w:tc>
        <w:tc>
          <w:tcPr>
            <w:tcW w:w="140" w:type="dxa"/>
            <w:vAlign w:val="bottom"/>
          </w:tcPr>
          <w:p>
            <w:pPr>
              <w:spacing w:after="0"/>
              <w:rPr>
                <w:sz w:val="14"/>
                <w:szCs w:val="14"/>
                <w:color w:val="auto"/>
              </w:rPr>
            </w:pPr>
          </w:p>
        </w:tc>
        <w:tc>
          <w:tcPr>
            <w:tcW w:w="3840" w:type="dxa"/>
            <w:vAlign w:val="bottom"/>
            <w:gridSpan w:val="2"/>
          </w:tcPr>
          <w:p>
            <w:pPr>
              <w:ind w:left="20"/>
              <w:spacing w:after="0" w:line="169" w:lineRule="exact"/>
              <w:rPr>
                <w:sz w:val="20"/>
                <w:szCs w:val="20"/>
                <w:color w:val="auto"/>
              </w:rPr>
            </w:pPr>
            <w:r>
              <w:rPr>
                <w:rFonts w:ascii="Arial" w:cs="Arial" w:eastAsia="Arial" w:hAnsi="Arial"/>
                <w:sz w:val="18"/>
                <w:szCs w:val="18"/>
                <w:i w:val="1"/>
                <w:iCs w:val="1"/>
                <w:color w:val="auto"/>
              </w:rPr>
              <w:t>(Principal Financial and</w:t>
            </w:r>
          </w:p>
        </w:tc>
        <w:tc>
          <w:tcPr>
            <w:tcW w:w="2380" w:type="dxa"/>
            <w:vAlign w:val="bottom"/>
          </w:tcPr>
          <w:p>
            <w:pPr>
              <w:spacing w:after="0"/>
              <w:rPr>
                <w:sz w:val="14"/>
                <w:szCs w:val="14"/>
                <w:color w:val="auto"/>
              </w:rPr>
            </w:pPr>
          </w:p>
        </w:tc>
      </w:tr>
      <w:tr>
        <w:trPr>
          <w:trHeight w:val="230"/>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i w:val="1"/>
                <w:iCs w:val="1"/>
                <w:color w:val="auto"/>
              </w:rPr>
              <w:t>Accounting Officer</w:t>
            </w:r>
          </w:p>
        </w:tc>
        <w:tc>
          <w:tcPr>
            <w:tcW w:w="2380" w:type="dxa"/>
            <w:vAlign w:val="bottom"/>
          </w:tcPr>
          <w:p>
            <w:pPr>
              <w:spacing w:after="0"/>
              <w:rPr>
                <w:sz w:val="20"/>
                <w:szCs w:val="20"/>
                <w:color w:val="auto"/>
              </w:rPr>
            </w:pPr>
          </w:p>
        </w:tc>
      </w:tr>
      <w:tr>
        <w:trPr>
          <w:trHeight w:val="296"/>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Gordon R. Bernard</w:t>
            </w:r>
          </w:p>
        </w:tc>
        <w:tc>
          <w:tcPr>
            <w:tcW w:w="14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13, 2023</w:t>
            </w: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rPr>
              <w:t>Gordon R. Bernard</w:t>
            </w:r>
          </w:p>
        </w:tc>
        <w:tc>
          <w:tcPr>
            <w:tcW w:w="1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96"/>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James R. Jones</w:t>
            </w:r>
          </w:p>
        </w:tc>
        <w:tc>
          <w:tcPr>
            <w:tcW w:w="14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13, 2023</w:t>
            </w: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rPr>
              <w:t>James R. Jones</w:t>
            </w:r>
          </w:p>
        </w:tc>
        <w:tc>
          <w:tcPr>
            <w:tcW w:w="1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96"/>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Caroline R. Young</w:t>
            </w:r>
          </w:p>
        </w:tc>
        <w:tc>
          <w:tcPr>
            <w:tcW w:w="14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13, 2023</w:t>
            </w: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rPr>
              <w:t>Caroline R. Young</w:t>
            </w:r>
          </w:p>
        </w:tc>
        <w:tc>
          <w:tcPr>
            <w:tcW w:w="1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323"/>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Kenneth J. Krogulski</w:t>
            </w:r>
          </w:p>
        </w:tc>
        <w:tc>
          <w:tcPr>
            <w:tcW w:w="14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13, 2023</w:t>
            </w: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rPr>
              <w:t>Kenneth J. Krogulski</w:t>
            </w:r>
          </w:p>
        </w:tc>
        <w:tc>
          <w:tcPr>
            <w:tcW w:w="1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323"/>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Joseph C. Galante</w:t>
            </w:r>
          </w:p>
        </w:tc>
        <w:tc>
          <w:tcPr>
            <w:tcW w:w="14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13, 2023</w:t>
            </w: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rPr>
              <w:t>Joseph C. Galante</w:t>
            </w:r>
          </w:p>
        </w:tc>
        <w:tc>
          <w:tcPr>
            <w:tcW w:w="1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323"/>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Martin S. Brown, Jr.</w:t>
            </w:r>
          </w:p>
        </w:tc>
        <w:tc>
          <w:tcPr>
            <w:tcW w:w="14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13, 2023</w:t>
            </w: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rPr>
              <w:t>Martin S. Brown, Jr.</w:t>
            </w:r>
          </w:p>
        </w:tc>
        <w:tc>
          <w:tcPr>
            <w:tcW w:w="1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management of Cumberland Pharmaceuticals Inc. and its subsidiaries (the "Company") is responsible for establishing and maintaining adequate internal control over financial reporting. The Company's internal control system was designed to provide reasonable assurance to the Company’s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Company’s management assessed the effectiveness of the Company’s internal control over financial reporting as of December 31, 2022. In making this assessment, it used the criteria set forth by the Committee of Sponsoring Organizations of the Treadway Commission (COSO)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its assessment, management has concluded that, as of December 31, 2022, the Company’s internal control over financial reporting was effective based on those criteria.</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346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4">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J. Kazimi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13, 2023</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John M.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346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5">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M. Hamm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4" w:name="page85"/>
    <w:bookmarkEnd w:id="84"/>
    <w:p>
      <w:pPr>
        <w:spacing w:after="0" w:line="19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Board of Directors and Audit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Cumberland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Consolidated Financial Statements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Cumberland Pharmaceuticals Inc. (the "Company") as of December 31, 2022 and 2021, the related consolidated statements of operations, equity, and cash flows for each of the years in the two-year period ended December 31, 2022, and the related notes and schedule (collectively referred to as the “financial statements”). In our opinion, the consolidated financial statements referred to above present fairly, in all material respects, the financial position of the Company as of December 31, 2022 and 2021, and the results of its operations and its cash flows for each of the years in the two-year period ended December 31, 2022</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Customer Allowances for Chargebacks, Discounts and Damaged Goods, and Accruals for Rebates, Coupons, Product Returns, and Certain Fees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described in Note 2 to the consolidated financial statements, the allowances against accounts receivable and accrued liabilities for chargebacks, discounts, service fees and expired product returns are determined on a product-by-product basis and established by management as the Company’s best estimate at the time of sale based on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product’s historical experience adjusted to reflect known changes in the factors that impact such allowances. These allowances are established based on the contractual terms with direct and indirect customers and analyses of historical levels of chargebacks, discounts and returns of expired product.</w:t>
      </w:r>
    </w:p>
    <w:p>
      <w:pPr>
        <w:spacing w:after="0" w:line="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2022, allowances in accounts receivable for chargebacks, cash discounts, and damaged goods were $0.6 million and the estimated liability for rebates, coupons, product returns, and certain fees were $8.3 million. These provisions are recognized concurrently with the sales of products. Provisions for chargebacks involve estimates of usage by retailers and other indirect buyers with varying contract prices for multiple wholesalers. The provision for chargebacks varies in relation to changes in sales volume, product mix, pricing, and the level of inventory at the wholesalers. Provisions are calculated using historical chargeback experience, and/or expected chargeback levels for new products and anticipated pricing changes. Provisions for rebates are recognized based on contractual obligations in place at the time of sales with consideration given to relevant factors that may affect the payment, as well as historical experience for estimated market activity. Provisions for product returns are calculated based on the expiration dates of products sold, the window where customers are permitted to return products, and the history of returns for individual products in relation to the sales volume for each product.</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identified the customer allowances for chargebacks, discounts, and damaged goods and accruals for rebates, coupons, product returns, and certain fees as a critical audit matter. The principal consideration for our determination was the significant measurement uncertainty involved in developing the reserves. Management exercises judgment in computing the amount of sales subject to the allowances and tracks the amount of allowances taken over time. All of this in turn led to a high degree of auditor judgment, subjectivity, and effort in performing procedures and evaluating management’s significant assumptions, which includes the assumption that historical activity is a good predictor of future allowance activity and modifications made to calculations based on more recent history.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44" w:lineRule="exact"/>
        <w:rPr>
          <w:sz w:val="20"/>
          <w:szCs w:val="20"/>
          <w:color w:val="auto"/>
        </w:rPr>
      </w:pPr>
    </w:p>
    <w:p>
      <w:pPr>
        <w:ind w:left="6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Tested management’s process for calculating the allowances, including a look back analysis of prior year reserves compared to actual experience in the current year.</w:t>
      </w:r>
    </w:p>
    <w:p>
      <w:pPr>
        <w:spacing w:after="0" w:line="10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Tested the completeness and accuracy of underlying data used to estimate the accrual by agreeing sales data used in the calculations to reports that were reconciled to the consolidated financial statements, reconciling various allowance percentages to signed customer contracts, and tracing allowance amounts used by various customers during the year to supporting documentation.</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Evaluated the reasonableness of significant assumptions used by management in the computation of selected allowances, including comparison to historical results and considering recent changes in factors that could influence the future allowances to be claimed, such as changes in the shelf life of the products.</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Tested the clerical accuracy of individual customer allowances computed by management and agreeing the total of all estimated allowances to the respective accounts on the consolidated financial statements.</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Developed an independent expectation of the reserve balance for certain allowances and comparing that to the balance recorded on the December 31, 2022, consolidated balance sheet.</w:t>
      </w:r>
    </w:p>
    <w:p>
      <w:pPr>
        <w:spacing w:after="0" w:line="10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Compared actual activity for chargebacks, discounts, and damaged goods and rebates, coupons, product returns, and certain fees reported after December 31, 2022, to estimated reserves and accruals on the December 31, 2022, consolidated balance sheet.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Valuation of Contingent Consideration, Acquired Intangible Assets and Inventory Associated with Business Combinations</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described in Note 3 to the consolidated financial statements, the Company acquired the U.S. rights to the FDA approved oncology-supportive care medicine Sancuso from Kyowa Kirin, Inc., the U.S. affiliate of Japan-based Kyowa Kirin Co., Ltd. during the year ended December 31, 2022, resulting in the expansion of the Company’s product offerings. This acquisition resulted in additional goodwill of $0.03 million, additional intangible assets of $14.1 million, and contingent liabilities of $5.1 million being recognized on the Company’s consolidated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sheet. As part of this acquisition, management assessed that the acquisition qualified as a business combination and all identifiable assets and liabilities acquired were recorded at fair value as part of the purchase price allocation as of the asset date. The identification and valuation of such acquired assets and assumed liabilities requires management to exercise significant judgment and consider the use of outside vendors to estimate the fair value allocations.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identified the consummated acquisition and the valuation of acquired assets and assumed liabilities as a critical audit matter. Our principal consideration for this determination included high degree of audit effort, including utilizing individuals with specialized skills, in evaluating management's significant assumptions including its forecasts of future performance of the component, discount rates and other inputs into the model used in computing the fair value of the intangible asset, acquired inventory and contingent consideration liability.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58" w:lineRule="exact"/>
        <w:rPr>
          <w:sz w:val="20"/>
          <w:szCs w:val="20"/>
          <w:color w:val="auto"/>
        </w:rPr>
      </w:pPr>
    </w:p>
    <w:p>
      <w:pPr>
        <w:ind w:left="660" w:right="320" w:hanging="328"/>
        <w:spacing w:after="0" w:line="263"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obtained an understanding of management’s process for determining the fair value measurements of the contingent consideration, acquired intangible assets and inventory, including reviewing the executed Asset Purchase Agreement documents to gain an understanding of the underlying terms of the consummated acquisition.</w:t>
      </w:r>
    </w:p>
    <w:p>
      <w:pPr>
        <w:spacing w:after="0" w:line="102" w:lineRule="exact"/>
        <w:rPr>
          <w:rFonts w:ascii="Arial" w:cs="Arial" w:eastAsia="Arial" w:hAnsi="Arial"/>
          <w:sz w:val="18"/>
          <w:szCs w:val="18"/>
          <w:color w:val="auto"/>
        </w:rPr>
      </w:pPr>
    </w:p>
    <w:p>
      <w:pPr>
        <w:ind w:left="660" w:right="240" w:hanging="328"/>
        <w:spacing w:after="0" w:line="342" w:lineRule="auto"/>
        <w:tabs>
          <w:tab w:leader="none" w:pos="655" w:val="left"/>
        </w:tabs>
        <w:numPr>
          <w:ilvl w:val="0"/>
          <w:numId w:val="44"/>
        </w:numPr>
        <w:rPr>
          <w:rFonts w:ascii="Arial" w:cs="Arial" w:eastAsia="Arial" w:hAnsi="Arial"/>
          <w:sz w:val="16"/>
          <w:szCs w:val="16"/>
          <w:color w:val="auto"/>
        </w:rPr>
      </w:pPr>
      <w:r>
        <w:rPr>
          <w:rFonts w:ascii="Arial" w:cs="Arial" w:eastAsia="Arial" w:hAnsi="Arial"/>
          <w:sz w:val="16"/>
          <w:szCs w:val="16"/>
          <w:color w:val="auto"/>
        </w:rPr>
        <w:t>Evaluated forward-looking assumptions, such as forecasted revenue and earnings used by management by performing procedures that included, but not limited to, comparisons to industry and historical performance data, and sensitivity analysis to assess their reasonableness.</w:t>
      </w:r>
    </w:p>
    <w:p>
      <w:pPr>
        <w:spacing w:after="0" w:line="137" w:lineRule="exact"/>
        <w:rPr>
          <w:rFonts w:ascii="Arial" w:cs="Arial" w:eastAsia="Arial" w:hAnsi="Arial"/>
          <w:sz w:val="16"/>
          <w:szCs w:val="16"/>
          <w:color w:val="auto"/>
        </w:rPr>
      </w:pPr>
    </w:p>
    <w:p>
      <w:pPr>
        <w:ind w:left="660" w:right="520" w:hanging="328"/>
        <w:spacing w:after="0" w:line="26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Utilizing a valuation specialist, we evaluated the significant assumptions and methods utilized in developing the fair value of the contingent consideration, acquired intangible assets, and inventory including:</w:t>
      </w:r>
    </w:p>
    <w:p>
      <w:pPr>
        <w:spacing w:after="0" w:line="197" w:lineRule="exact"/>
        <w:rPr>
          <w:rFonts w:ascii="Arial" w:cs="Arial" w:eastAsia="Arial" w:hAnsi="Arial"/>
          <w:sz w:val="18"/>
          <w:szCs w:val="18"/>
          <w:color w:val="auto"/>
        </w:rPr>
      </w:pPr>
    </w:p>
    <w:p>
      <w:pPr>
        <w:ind w:left="1300" w:right="280" w:hanging="320"/>
        <w:spacing w:after="0" w:line="261" w:lineRule="auto"/>
        <w:tabs>
          <w:tab w:leader="none" w:pos="1296"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reasonableness of the Company’s third-party valuation models and methodologies, expected cash flow calculations, and reviewed significant assumptions.</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Developed an independent calculation of the discount rates used and compared our rates to those used by management.</w:t>
      </w:r>
    </w:p>
    <w:p>
      <w:pPr>
        <w:spacing w:after="0" w:line="238" w:lineRule="exact"/>
        <w:rPr>
          <w:rFonts w:ascii="Arial" w:cs="Arial" w:eastAsia="Arial" w:hAnsi="Arial"/>
          <w:sz w:val="18"/>
          <w:szCs w:val="18"/>
          <w:color w:val="auto"/>
        </w:rPr>
      </w:pPr>
    </w:p>
    <w:p>
      <w:pPr>
        <w:ind w:left="1300" w:right="440" w:hanging="320"/>
        <w:spacing w:after="0" w:line="261" w:lineRule="auto"/>
        <w:tabs>
          <w:tab w:leader="none" w:pos="1296" w:val="left"/>
        </w:tabs>
        <w:numPr>
          <w:ilvl w:val="1"/>
          <w:numId w:val="44"/>
        </w:numPr>
        <w:rPr>
          <w:rFonts w:ascii="Arial" w:cs="Arial" w:eastAsia="Arial" w:hAnsi="Arial"/>
          <w:sz w:val="18"/>
          <w:szCs w:val="18"/>
          <w:color w:val="auto"/>
        </w:rPr>
      </w:pPr>
      <w:r>
        <w:rPr>
          <w:rFonts w:ascii="Arial" w:cs="Arial" w:eastAsia="Arial" w:hAnsi="Arial"/>
          <w:sz w:val="18"/>
          <w:szCs w:val="18"/>
          <w:color w:val="auto"/>
        </w:rPr>
        <w:t>Prepared an independent calculation of the fair value of the contingent consideration and the intangible assets to test the accuracy of management’s valuation models.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and evaluating the adequacy of the disclosures made in the Company’s SEC filings.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FORVIS,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(Formerly, BKD,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Balance Sheets</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December 31, 2022 and 2021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0"/>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0"/>
              <w:spacing w:after="0"/>
              <w:rPr>
                <w:sz w:val="20"/>
                <w:szCs w:val="20"/>
                <w:color w:val="auto"/>
              </w:rPr>
            </w:pPr>
            <w:r>
              <w:rPr>
                <w:rFonts w:ascii="Arial" w:cs="Arial" w:eastAsia="Arial" w:hAnsi="Arial"/>
                <w:sz w:val="16"/>
                <w:szCs w:val="16"/>
                <w:b w:val="1"/>
                <w:bCs w:val="1"/>
                <w:color w:val="auto"/>
              </w:rPr>
              <w:t>2021</w:t>
            </w:r>
          </w:p>
        </w:tc>
      </w:tr>
      <w:tr>
        <w:trPr>
          <w:trHeight w:val="233"/>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19,757,970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27,040,816</w:t>
            </w:r>
          </w:p>
        </w:tc>
      </w:tr>
      <w:tr>
        <w:trPr>
          <w:trHeight w:val="230"/>
        </w:trPr>
        <w:tc>
          <w:tcPr>
            <w:tcW w:w="736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13,163,681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6,877,346</w:t>
            </w:r>
          </w:p>
        </w:tc>
      </w:tr>
      <w:tr>
        <w:trPr>
          <w:trHeight w:val="229"/>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net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9,863,581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8,429,882</w:t>
            </w:r>
          </w:p>
        </w:tc>
      </w:tr>
      <w:tr>
        <w:trPr>
          <w:trHeight w:val="229"/>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and other current assets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3,084,978</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3,339,969</w:t>
            </w:r>
          </w:p>
        </w:tc>
      </w:tr>
      <w:tr>
        <w:trPr>
          <w:trHeight w:val="223"/>
        </w:trPr>
        <w:tc>
          <w:tcPr>
            <w:tcW w:w="73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45,870,210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45,688,013</w:t>
            </w: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Non-current inventories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7,527,167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9,048,567</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284,039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442,635</w:t>
            </w: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Intangible assets, net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30,590,678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23,954,475</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914,000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882,000</w:t>
            </w: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5,218,403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1,024,200</w:t>
            </w: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2,520,661</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3,419,908</w:t>
            </w:r>
          </w:p>
        </w:tc>
      </w:tr>
      <w:tr>
        <w:trPr>
          <w:trHeight w:val="223"/>
        </w:trPr>
        <w:tc>
          <w:tcPr>
            <w:tcW w:w="736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92,925,158</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84,459,798</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75"/>
        </w:trPr>
        <w:tc>
          <w:tcPr>
            <w:tcW w:w="73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r>
      <w:tr>
        <w:trPr>
          <w:trHeight w:val="229"/>
        </w:trPr>
        <w:tc>
          <w:tcPr>
            <w:tcW w:w="736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3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10,819,011</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9,640,980</w:t>
            </w:r>
          </w:p>
        </w:tc>
      </w:tr>
      <w:tr>
        <w:trPr>
          <w:trHeight w:val="230"/>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current liabilities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172,910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969,677</w:t>
            </w:r>
          </w:p>
        </w:tc>
      </w:tr>
      <w:tr>
        <w:trPr>
          <w:trHeight w:val="229"/>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liabilities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17,587,911</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8,668,303</w:t>
            </w:r>
          </w:p>
        </w:tc>
      </w:tr>
      <w:tr>
        <w:trPr>
          <w:trHeight w:val="223"/>
        </w:trPr>
        <w:tc>
          <w:tcPr>
            <w:tcW w:w="73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28,579,832</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19,278,960</w:t>
            </w: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Revolving line of credit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16,200,000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15,000,000</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non-current liabilities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4,586,301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90,016</w:t>
            </w:r>
          </w:p>
        </w:tc>
      </w:tr>
      <w:tr>
        <w:trPr>
          <w:trHeight w:val="230"/>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7,585,019</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7,488,844</w:t>
            </w:r>
          </w:p>
        </w:tc>
      </w:tr>
      <w:tr>
        <w:trPr>
          <w:trHeight w:val="223"/>
        </w:trPr>
        <w:tc>
          <w:tcPr>
            <w:tcW w:w="73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56,951,152</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41,857,820</w:t>
            </w:r>
          </w:p>
        </w:tc>
      </w:tr>
      <w:tr>
        <w:trPr>
          <w:trHeight w:val="210"/>
        </w:trPr>
        <w:tc>
          <w:tcPr>
            <w:tcW w:w="73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360" w:type="dxa"/>
            <w:vAlign w:val="bottom"/>
          </w:tcPr>
          <w:p>
            <w:pPr>
              <w:ind w:left="220"/>
              <w:spacing w:after="0"/>
              <w:rPr>
                <w:sz w:val="20"/>
                <w:szCs w:val="20"/>
                <w:color w:val="auto"/>
              </w:rPr>
            </w:pPr>
            <w:r>
              <w:rPr>
                <w:rFonts w:ascii="Arial" w:cs="Arial" w:eastAsia="Arial" w:hAnsi="Arial"/>
                <w:sz w:val="18"/>
                <w:szCs w:val="18"/>
                <w:color w:val="auto"/>
              </w:rPr>
              <w:t>Shareholders’ equity:</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175"/>
        </w:trPr>
        <w:tc>
          <w:tcPr>
            <w:tcW w:w="736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w w:val="94"/>
              </w:rPr>
              <w:t>Common stock – no par value; 100,000,000 shares authorized; 14,366,316 and 14,742,754</w:t>
            </w: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43"/>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issued and outstanding as of December 31, 2022 and 2021, respectively</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47,474,973</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48,452,906</w:t>
            </w:r>
          </w:p>
        </w:tc>
      </w:tr>
      <w:tr>
        <w:trPr>
          <w:trHeight w:val="229"/>
        </w:trPr>
        <w:tc>
          <w:tcPr>
            <w:tcW w:w="73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Retained earnings (deficit)</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(11,208,841)</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(5,638,600)</w:t>
            </w:r>
          </w:p>
        </w:tc>
      </w:tr>
      <w:tr>
        <w:trPr>
          <w:trHeight w:val="223"/>
        </w:trPr>
        <w:tc>
          <w:tcPr>
            <w:tcW w:w="73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shareholders’ equity</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36,266,132</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42,814,306</w:t>
            </w:r>
          </w:p>
        </w:tc>
      </w:tr>
      <w:tr>
        <w:trPr>
          <w:trHeight w:val="229"/>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Noncontrolling interests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(292,126)</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(212,328)</w:t>
            </w:r>
          </w:p>
        </w:tc>
      </w:tr>
      <w:tr>
        <w:trPr>
          <w:trHeight w:val="223"/>
        </w:trPr>
        <w:tc>
          <w:tcPr>
            <w:tcW w:w="73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equity</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35,974,006</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42,601,978</w:t>
            </w:r>
          </w:p>
        </w:tc>
      </w:tr>
      <w:tr>
        <w:trPr>
          <w:trHeight w:val="223"/>
        </w:trPr>
        <w:tc>
          <w:tcPr>
            <w:tcW w:w="7360" w:type="dxa"/>
            <w:vAlign w:val="bottom"/>
          </w:tcPr>
          <w:p>
            <w:pPr>
              <w:ind w:left="880"/>
              <w:spacing w:after="0"/>
              <w:rPr>
                <w:sz w:val="20"/>
                <w:szCs w:val="20"/>
                <w:color w:val="auto"/>
              </w:rPr>
            </w:pPr>
            <w:r>
              <w:rPr>
                <w:rFonts w:ascii="Arial" w:cs="Arial" w:eastAsia="Arial" w:hAnsi="Arial"/>
                <w:sz w:val="18"/>
                <w:szCs w:val="18"/>
                <w:color w:val="auto"/>
              </w:rPr>
              <w:t>Total liabilities and equity</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92,925,158</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84,459,798</w:t>
            </w:r>
          </w:p>
        </w:tc>
      </w:tr>
      <w:tr>
        <w:trPr>
          <w:trHeight w:val="20"/>
        </w:trPr>
        <w:tc>
          <w:tcPr>
            <w:tcW w:w="7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440" w:right="399" w:bottom="1440" w:gutter="0" w:footer="0" w:header="0"/>
        </w:sectPr>
      </w:pPr>
    </w:p>
    <w:bookmarkStart w:id="88" w:name="page89"/>
    <w:bookmarkEnd w:id="88"/>
    <w:p>
      <w:pPr>
        <w:spacing w:after="0" w:line="369" w:lineRule="exact"/>
        <w:rPr>
          <w:sz w:val="20"/>
          <w:szCs w:val="20"/>
          <w:color w:val="auto"/>
        </w:rPr>
      </w:pPr>
    </w:p>
    <w:p>
      <w:pPr>
        <w:jc w:val="center"/>
        <w:spacing w:after="0" w:line="320" w:lineRule="auto"/>
        <w:rPr>
          <w:sz w:val="20"/>
          <w:szCs w:val="20"/>
          <w:color w:val="auto"/>
        </w:rPr>
      </w:pPr>
      <w:r>
        <w:rPr>
          <w:rFonts w:ascii="Arial" w:cs="Arial" w:eastAsia="Arial" w:hAnsi="Arial"/>
          <w:sz w:val="18"/>
          <w:szCs w:val="18"/>
          <w:b w:val="1"/>
          <w:bCs w:val="1"/>
          <w:color w:val="auto"/>
        </w:rPr>
        <w:t xml:space="preserve">CUMBERLAND PHARMACEUTICALS INC. AND SUBSIDIARIES </w:t>
      </w:r>
      <w:r>
        <w:rPr>
          <w:rFonts w:ascii="Arial" w:cs="Arial" w:eastAsia="Arial" w:hAnsi="Arial"/>
          <w:sz w:val="18"/>
          <w:szCs w:val="18"/>
          <w:color w:val="auto"/>
        </w:rPr>
        <w:t>Consolidated Statements of Operations Years ended December 31, 2022 and 2021</w:t>
      </w:r>
    </w:p>
    <w:tbl>
      <w:tblPr>
        <w:tblLayout w:type="fixed"/>
        <w:tblInd w:w="0" w:type="dxa"/>
        <w:tblCellMar>
          <w:top w:w="0" w:type="dxa"/>
          <w:left w:w="0" w:type="dxa"/>
          <w:bottom w:w="0" w:type="dxa"/>
          <w:right w:w="0" w:type="dxa"/>
        </w:tblCellMar>
      </w:tblPr>
      <w:tr>
        <w:trPr>
          <w:trHeight w:val="213"/>
        </w:trPr>
        <w:tc>
          <w:tcPr>
            <w:tcW w:w="7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0"/>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2021</w:t>
            </w:r>
          </w:p>
        </w:tc>
      </w:tr>
      <w:tr>
        <w:trPr>
          <w:trHeight w:val="232"/>
        </w:trPr>
        <w:tc>
          <w:tcPr>
            <w:tcW w:w="7080" w:type="dxa"/>
            <w:vAlign w:val="bottom"/>
            <w:shd w:val="clear" w:color="auto" w:fill="BFE4FF"/>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BFE4FF"/>
          </w:tcPr>
          <w:p>
            <w:pPr>
              <w:spacing w:after="0"/>
              <w:rPr>
                <w:sz w:val="20"/>
                <w:szCs w:val="20"/>
                <w:color w:val="auto"/>
              </w:rPr>
            </w:pPr>
          </w:p>
        </w:tc>
        <w:tc>
          <w:tcPr>
            <w:tcW w:w="1220" w:type="dxa"/>
            <w:vAlign w:val="bottom"/>
            <w:shd w:val="clear" w:color="auto" w:fill="BFE4FF"/>
          </w:tcPr>
          <w:p>
            <w:pPr>
              <w:spacing w:after="0"/>
              <w:rPr>
                <w:sz w:val="20"/>
                <w:szCs w:val="20"/>
                <w:color w:val="auto"/>
              </w:rPr>
            </w:pPr>
          </w:p>
        </w:tc>
        <w:tc>
          <w:tcPr>
            <w:tcW w:w="140" w:type="dxa"/>
            <w:vAlign w:val="bottom"/>
            <w:shd w:val="clear" w:color="auto" w:fill="BFE4FF"/>
          </w:tcPr>
          <w:p>
            <w:pPr>
              <w:spacing w:after="0"/>
              <w:rPr>
                <w:sz w:val="20"/>
                <w:szCs w:val="20"/>
                <w:color w:val="auto"/>
              </w:rPr>
            </w:pPr>
          </w:p>
        </w:tc>
        <w:tc>
          <w:tcPr>
            <w:tcW w:w="360" w:type="dxa"/>
            <w:vAlign w:val="bottom"/>
            <w:shd w:val="clear" w:color="auto" w:fill="BFE4FF"/>
          </w:tcPr>
          <w:p>
            <w:pPr>
              <w:spacing w:after="0"/>
              <w:rPr>
                <w:sz w:val="20"/>
                <w:szCs w:val="20"/>
                <w:color w:val="auto"/>
              </w:rPr>
            </w:pPr>
          </w:p>
        </w:tc>
        <w:tc>
          <w:tcPr>
            <w:tcW w:w="1220" w:type="dxa"/>
            <w:vAlign w:val="bottom"/>
            <w:shd w:val="clear" w:color="auto" w:fill="BFE4FF"/>
          </w:tcPr>
          <w:p>
            <w:pPr>
              <w:spacing w:after="0"/>
              <w:rPr>
                <w:sz w:val="20"/>
                <w:szCs w:val="20"/>
                <w:color w:val="auto"/>
              </w:rPr>
            </w:pPr>
          </w:p>
        </w:tc>
      </w:tr>
      <w:tr>
        <w:trPr>
          <w:trHeight w:val="230"/>
        </w:trPr>
        <w:tc>
          <w:tcPr>
            <w:tcW w:w="7080" w:type="dxa"/>
            <w:vAlign w:val="bottom"/>
          </w:tcPr>
          <w:p>
            <w:pPr>
              <w:ind w:left="220"/>
              <w:spacing w:after="0"/>
              <w:rPr>
                <w:sz w:val="20"/>
                <w:szCs w:val="20"/>
                <w:color w:val="auto"/>
              </w:rPr>
            </w:pPr>
            <w:r>
              <w:rPr>
                <w:rFonts w:ascii="Arial" w:cs="Arial" w:eastAsia="Arial" w:hAnsi="Arial"/>
                <w:sz w:val="18"/>
                <w:szCs w:val="18"/>
                <w:color w:val="auto"/>
              </w:rPr>
              <w:t>Net product 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40,681,182</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35,045,259</w:t>
            </w:r>
          </w:p>
        </w:tc>
      </w:tr>
      <w:tr>
        <w:trPr>
          <w:trHeight w:val="229"/>
        </w:trPr>
        <w:tc>
          <w:tcPr>
            <w:tcW w:w="7080" w:type="dxa"/>
            <w:vAlign w:val="bottom"/>
            <w:shd w:val="clear" w:color="auto" w:fill="BFE4FF"/>
          </w:tcPr>
          <w:p>
            <w:pPr>
              <w:ind w:left="22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shd w:val="clear" w:color="auto" w:fill="BFE4FF"/>
          </w:tcPr>
          <w:p>
            <w:pPr>
              <w:spacing w:after="0"/>
              <w:rPr>
                <w:sz w:val="19"/>
                <w:szCs w:val="19"/>
                <w:color w:val="auto"/>
              </w:rPr>
            </w:pPr>
          </w:p>
        </w:tc>
        <w:tc>
          <w:tcPr>
            <w:tcW w:w="12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1,329,767</w:t>
            </w:r>
          </w:p>
        </w:tc>
        <w:tc>
          <w:tcPr>
            <w:tcW w:w="140" w:type="dxa"/>
            <w:vAlign w:val="bottom"/>
            <w:shd w:val="clear" w:color="auto" w:fill="BFE4FF"/>
          </w:tcPr>
          <w:p>
            <w:pPr>
              <w:spacing w:after="0"/>
              <w:rPr>
                <w:sz w:val="19"/>
                <w:szCs w:val="19"/>
                <w:color w:val="auto"/>
              </w:rPr>
            </w:pPr>
          </w:p>
        </w:tc>
        <w:tc>
          <w:tcPr>
            <w:tcW w:w="360" w:type="dxa"/>
            <w:vAlign w:val="bottom"/>
            <w:tcBorders>
              <w:bottom w:val="single" w:sz="8" w:color="auto"/>
            </w:tcBorders>
            <w:shd w:val="clear" w:color="auto" w:fill="BFE4FF"/>
          </w:tcPr>
          <w:p>
            <w:pPr>
              <w:spacing w:after="0"/>
              <w:rPr>
                <w:sz w:val="19"/>
                <w:szCs w:val="19"/>
                <w:color w:val="auto"/>
              </w:rPr>
            </w:pPr>
          </w:p>
        </w:tc>
        <w:tc>
          <w:tcPr>
            <w:tcW w:w="12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939,784</w:t>
            </w:r>
          </w:p>
        </w:tc>
      </w:tr>
      <w:tr>
        <w:trPr>
          <w:trHeight w:val="223"/>
        </w:trPr>
        <w:tc>
          <w:tcPr>
            <w:tcW w:w="7080" w:type="dxa"/>
            <w:vAlign w:val="bottom"/>
            <w:tcBorders>
              <w:bottom w:val="single" w:sz="8" w:color="BFE4FF"/>
            </w:tcBorders>
          </w:tcPr>
          <w:p>
            <w:pPr>
              <w:ind w:left="56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42,010,949</w:t>
            </w:r>
          </w:p>
        </w:tc>
        <w:tc>
          <w:tcPr>
            <w:tcW w:w="14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35,985,043</w:t>
            </w:r>
          </w:p>
        </w:tc>
      </w:tr>
      <w:tr>
        <w:trPr>
          <w:trHeight w:val="210"/>
        </w:trPr>
        <w:tc>
          <w:tcPr>
            <w:tcW w:w="7080" w:type="dxa"/>
            <w:vAlign w:val="bottom"/>
            <w:shd w:val="clear" w:color="auto" w:fill="BFE4FF"/>
          </w:tcPr>
          <w:p>
            <w:pPr>
              <w:ind w:left="20"/>
              <w:spacing w:after="0"/>
              <w:rPr>
                <w:sz w:val="20"/>
                <w:szCs w:val="20"/>
                <w:color w:val="auto"/>
              </w:rPr>
            </w:pPr>
            <w:r>
              <w:rPr>
                <w:rFonts w:ascii="Arial" w:cs="Arial" w:eastAsia="Arial" w:hAnsi="Arial"/>
                <w:sz w:val="18"/>
                <w:szCs w:val="18"/>
                <w:color w:val="auto"/>
              </w:rPr>
              <w:t>Costs and expenses:</w:t>
            </w:r>
          </w:p>
        </w:tc>
        <w:tc>
          <w:tcPr>
            <w:tcW w:w="360" w:type="dxa"/>
            <w:vAlign w:val="bottom"/>
            <w:shd w:val="clear" w:color="auto" w:fill="BFE4FF"/>
          </w:tcPr>
          <w:p>
            <w:pPr>
              <w:spacing w:after="0"/>
              <w:rPr>
                <w:sz w:val="18"/>
                <w:szCs w:val="18"/>
                <w:color w:val="auto"/>
              </w:rPr>
            </w:pPr>
          </w:p>
        </w:tc>
        <w:tc>
          <w:tcPr>
            <w:tcW w:w="122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360" w:type="dxa"/>
            <w:vAlign w:val="bottom"/>
            <w:shd w:val="clear" w:color="auto" w:fill="BFE4FF"/>
          </w:tcPr>
          <w:p>
            <w:pPr>
              <w:spacing w:after="0"/>
              <w:rPr>
                <w:sz w:val="18"/>
                <w:szCs w:val="18"/>
                <w:color w:val="auto"/>
              </w:rPr>
            </w:pPr>
          </w:p>
        </w:tc>
        <w:tc>
          <w:tcPr>
            <w:tcW w:w="1220" w:type="dxa"/>
            <w:vAlign w:val="bottom"/>
            <w:shd w:val="clear" w:color="auto" w:fill="BFE4FF"/>
          </w:tcPr>
          <w:p>
            <w:pPr>
              <w:spacing w:after="0"/>
              <w:rPr>
                <w:sz w:val="18"/>
                <w:szCs w:val="18"/>
                <w:color w:val="auto"/>
              </w:rPr>
            </w:pPr>
          </w:p>
        </w:tc>
      </w:tr>
      <w:tr>
        <w:trPr>
          <w:trHeight w:val="229"/>
        </w:trPr>
        <w:tc>
          <w:tcPr>
            <w:tcW w:w="7080" w:type="dxa"/>
            <w:vAlign w:val="bottom"/>
          </w:tcPr>
          <w:p>
            <w:pPr>
              <w:ind w:left="22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9,118,521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8,811,248</w:t>
            </w:r>
          </w:p>
        </w:tc>
      </w:tr>
      <w:tr>
        <w:trPr>
          <w:trHeight w:val="230"/>
        </w:trPr>
        <w:tc>
          <w:tcPr>
            <w:tcW w:w="7080" w:type="dxa"/>
            <w:vAlign w:val="bottom"/>
            <w:shd w:val="clear" w:color="auto" w:fill="BFE4FF"/>
          </w:tcPr>
          <w:p>
            <w:pPr>
              <w:ind w:left="220"/>
              <w:spacing w:after="0"/>
              <w:rPr>
                <w:sz w:val="20"/>
                <w:szCs w:val="20"/>
                <w:color w:val="auto"/>
              </w:rPr>
            </w:pPr>
            <w:r>
              <w:rPr>
                <w:rFonts w:ascii="Arial" w:cs="Arial" w:eastAsia="Arial" w:hAnsi="Arial"/>
                <w:sz w:val="18"/>
                <w:szCs w:val="18"/>
                <w:color w:val="auto"/>
              </w:rPr>
              <w:t>Selling and marketing</w:t>
            </w:r>
          </w:p>
        </w:tc>
        <w:tc>
          <w:tcPr>
            <w:tcW w:w="36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16,660,945</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15,015,424</w:t>
            </w:r>
          </w:p>
        </w:tc>
      </w:tr>
      <w:tr>
        <w:trPr>
          <w:trHeight w:val="229"/>
        </w:trPr>
        <w:tc>
          <w:tcPr>
            <w:tcW w:w="70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6,688,924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5,684,465</w:t>
            </w:r>
          </w:p>
        </w:tc>
      </w:tr>
      <w:tr>
        <w:trPr>
          <w:trHeight w:val="229"/>
        </w:trPr>
        <w:tc>
          <w:tcPr>
            <w:tcW w:w="7080" w:type="dxa"/>
            <w:vAlign w:val="bottom"/>
            <w:shd w:val="clear" w:color="auto" w:fill="BFE4FF"/>
          </w:tcPr>
          <w:p>
            <w:pPr>
              <w:ind w:left="2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10,180,120</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9,780,026</w:t>
            </w:r>
          </w:p>
        </w:tc>
      </w:tr>
      <w:tr>
        <w:trPr>
          <w:trHeight w:val="230"/>
        </w:trPr>
        <w:tc>
          <w:tcPr>
            <w:tcW w:w="7080" w:type="dxa"/>
            <w:vAlign w:val="bottom"/>
            <w:tcBorders>
              <w:bottom w:val="single" w:sz="8" w:color="BFE4FF"/>
            </w:tcBorders>
          </w:tcPr>
          <w:p>
            <w:pPr>
              <w:ind w:left="22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5,067,368</w:t>
            </w:r>
          </w:p>
        </w:tc>
        <w:tc>
          <w:tcPr>
            <w:tcW w:w="14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4,371,300</w:t>
            </w:r>
          </w:p>
        </w:tc>
      </w:tr>
      <w:tr>
        <w:trPr>
          <w:trHeight w:val="223"/>
        </w:trPr>
        <w:tc>
          <w:tcPr>
            <w:tcW w:w="7080" w:type="dxa"/>
            <w:vAlign w:val="bottom"/>
            <w:shd w:val="clear" w:color="auto" w:fill="BFE4FF"/>
          </w:tcPr>
          <w:p>
            <w:pPr>
              <w:ind w:left="56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bottom w:val="single" w:sz="8" w:color="auto"/>
            </w:tcBorders>
            <w:shd w:val="clear" w:color="auto" w:fill="BFE4FF"/>
          </w:tcPr>
          <w:p>
            <w:pPr>
              <w:spacing w:after="0"/>
              <w:rPr>
                <w:sz w:val="19"/>
                <w:szCs w:val="19"/>
                <w:color w:val="auto"/>
              </w:rPr>
            </w:pPr>
          </w:p>
        </w:tc>
        <w:tc>
          <w:tcPr>
            <w:tcW w:w="12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47,715,878</w:t>
            </w:r>
          </w:p>
        </w:tc>
        <w:tc>
          <w:tcPr>
            <w:tcW w:w="140" w:type="dxa"/>
            <w:vAlign w:val="bottom"/>
            <w:shd w:val="clear" w:color="auto" w:fill="BFE4FF"/>
          </w:tcPr>
          <w:p>
            <w:pPr>
              <w:spacing w:after="0"/>
              <w:rPr>
                <w:sz w:val="19"/>
                <w:szCs w:val="19"/>
                <w:color w:val="auto"/>
              </w:rPr>
            </w:pPr>
          </w:p>
        </w:tc>
        <w:tc>
          <w:tcPr>
            <w:tcW w:w="360" w:type="dxa"/>
            <w:vAlign w:val="bottom"/>
            <w:tcBorders>
              <w:bottom w:val="single" w:sz="8" w:color="auto"/>
            </w:tcBorders>
            <w:shd w:val="clear" w:color="auto" w:fill="BFE4FF"/>
          </w:tcPr>
          <w:p>
            <w:pPr>
              <w:spacing w:after="0"/>
              <w:rPr>
                <w:sz w:val="19"/>
                <w:szCs w:val="19"/>
                <w:color w:val="auto"/>
              </w:rPr>
            </w:pPr>
          </w:p>
        </w:tc>
        <w:tc>
          <w:tcPr>
            <w:tcW w:w="12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43,662,463</w:t>
            </w: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(5,704,929)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(7,677,420)</w:t>
            </w:r>
          </w:p>
        </w:tc>
      </w:tr>
      <w:tr>
        <w:trPr>
          <w:trHeight w:val="229"/>
        </w:trPr>
        <w:tc>
          <w:tcPr>
            <w:tcW w:w="7080" w:type="dxa"/>
            <w:vAlign w:val="bottom"/>
            <w:shd w:val="clear" w:color="auto" w:fill="BFE4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98,405</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26,081</w:t>
            </w: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2,187,140</w:t>
            </w:r>
          </w:p>
        </w:tc>
      </w:tr>
      <w:tr>
        <w:trPr>
          <w:trHeight w:val="229"/>
        </w:trPr>
        <w:tc>
          <w:tcPr>
            <w:tcW w:w="7080" w:type="dxa"/>
            <w:vAlign w:val="bottom"/>
            <w:shd w:val="clear" w:color="auto" w:fill="BFE4FF"/>
          </w:tcPr>
          <w:p>
            <w:pPr>
              <w:ind w:left="20"/>
              <w:spacing w:after="0"/>
              <w:rPr>
                <w:sz w:val="20"/>
                <w:szCs w:val="20"/>
                <w:color w:val="auto"/>
              </w:rPr>
            </w:pPr>
            <w:r>
              <w:rPr>
                <w:rFonts w:ascii="Arial" w:cs="Arial" w:eastAsia="Arial" w:hAnsi="Arial"/>
                <w:sz w:val="18"/>
                <w:szCs w:val="18"/>
                <w:color w:val="auto"/>
              </w:rPr>
              <w:t>Other income - gain on insurance proceeds</w:t>
            </w:r>
          </w:p>
        </w:tc>
        <w:tc>
          <w:tcPr>
            <w:tcW w:w="36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611,330</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8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(585,995)</w:t>
            </w:r>
          </w:p>
        </w:tc>
        <w:tc>
          <w:tcPr>
            <w:tcW w:w="14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(98,031)</w:t>
            </w:r>
          </w:p>
        </w:tc>
      </w:tr>
      <w:tr>
        <w:trPr>
          <w:trHeight w:val="223"/>
        </w:trPr>
        <w:tc>
          <w:tcPr>
            <w:tcW w:w="7080" w:type="dxa"/>
            <w:vAlign w:val="bottom"/>
            <w:shd w:val="clear" w:color="auto" w:fill="BFE4FF"/>
          </w:tcPr>
          <w:p>
            <w:pPr>
              <w:ind w:left="440"/>
              <w:spacing w:after="0"/>
              <w:rPr>
                <w:sz w:val="20"/>
                <w:szCs w:val="20"/>
                <w:color w:val="auto"/>
              </w:rPr>
            </w:pPr>
            <w:r>
              <w:rPr>
                <w:rFonts w:ascii="Arial" w:cs="Arial" w:eastAsia="Arial" w:hAnsi="Arial"/>
                <w:sz w:val="18"/>
                <w:szCs w:val="18"/>
                <w:color w:val="auto"/>
              </w:rPr>
              <w:t>Income (loss) before income taxes</w:t>
            </w:r>
          </w:p>
        </w:tc>
        <w:tc>
          <w:tcPr>
            <w:tcW w:w="36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(5,581,189)</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(5,562,230)</w:t>
            </w:r>
          </w:p>
        </w:tc>
      </w:tr>
      <w:tr>
        <w:trPr>
          <w:trHeight w:val="230"/>
        </w:trPr>
        <w:tc>
          <w:tcPr>
            <w:tcW w:w="708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(68,850)</w:t>
            </w:r>
          </w:p>
        </w:tc>
        <w:tc>
          <w:tcPr>
            <w:tcW w:w="14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(34,891)</w:t>
            </w:r>
          </w:p>
        </w:tc>
      </w:tr>
      <w:tr>
        <w:trPr>
          <w:trHeight w:val="223"/>
        </w:trPr>
        <w:tc>
          <w:tcPr>
            <w:tcW w:w="7080" w:type="dxa"/>
            <w:vAlign w:val="bottom"/>
            <w:shd w:val="clear" w:color="auto" w:fill="BFE4FF"/>
          </w:tcPr>
          <w:p>
            <w:pPr>
              <w:ind w:left="440"/>
              <w:spacing w:after="0"/>
              <w:rPr>
                <w:sz w:val="20"/>
                <w:szCs w:val="20"/>
                <w:color w:val="auto"/>
              </w:rPr>
            </w:pPr>
            <w:r>
              <w:rPr>
                <w:rFonts w:ascii="Arial" w:cs="Arial" w:eastAsia="Arial" w:hAnsi="Arial"/>
                <w:sz w:val="18"/>
                <w:szCs w:val="18"/>
                <w:color w:val="auto"/>
              </w:rPr>
              <w:t>Net income (loss) from continuing operations</w:t>
            </w:r>
          </w:p>
        </w:tc>
        <w:tc>
          <w:tcPr>
            <w:tcW w:w="36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(5,650,039)</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(5,597,121)</w:t>
            </w:r>
          </w:p>
        </w:tc>
      </w:tr>
      <w:tr>
        <w:trPr>
          <w:trHeight w:val="230"/>
        </w:trPr>
        <w:tc>
          <w:tcPr>
            <w:tcW w:w="7080" w:type="dxa"/>
            <w:vAlign w:val="bottom"/>
          </w:tcPr>
          <w:p>
            <w:pPr>
              <w:ind w:left="440"/>
              <w:spacing w:after="0"/>
              <w:rPr>
                <w:sz w:val="20"/>
                <w:szCs w:val="20"/>
                <w:color w:val="auto"/>
              </w:rPr>
            </w:pPr>
            <w:r>
              <w:rPr>
                <w:rFonts w:ascii="Arial" w:cs="Arial" w:eastAsia="Arial" w:hAnsi="Arial"/>
                <w:sz w:val="18"/>
                <w:szCs w:val="18"/>
                <w:color w:val="auto"/>
              </w:rPr>
              <w:t>Discontinued operations net of tax</w:t>
            </w:r>
          </w:p>
        </w:tc>
        <w:tc>
          <w:tcPr>
            <w:tcW w:w="3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1,994,322</w:t>
            </w:r>
          </w:p>
        </w:tc>
      </w:tr>
      <w:tr>
        <w:trPr>
          <w:trHeight w:val="223"/>
        </w:trPr>
        <w:tc>
          <w:tcPr>
            <w:tcW w:w="7080" w:type="dxa"/>
            <w:vAlign w:val="bottom"/>
            <w:tcBorders>
              <w:top w:val="single" w:sz="8" w:color="BFE4FF"/>
            </w:tcBorders>
            <w:shd w:val="clear" w:color="auto" w:fill="BFE4FF"/>
          </w:tcPr>
          <w:p>
            <w:pPr>
              <w:ind w:left="44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tcBorders>
            <w:shd w:val="clear" w:color="auto" w:fill="BFE4FF"/>
          </w:tcPr>
          <w:p>
            <w:pPr>
              <w:spacing w:after="0"/>
              <w:rPr>
                <w:sz w:val="19"/>
                <w:szCs w:val="19"/>
                <w:color w:val="auto"/>
              </w:rPr>
            </w:pPr>
          </w:p>
        </w:tc>
        <w:tc>
          <w:tcPr>
            <w:tcW w:w="12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(5,650,039)</w:t>
            </w:r>
          </w:p>
        </w:tc>
        <w:tc>
          <w:tcPr>
            <w:tcW w:w="140" w:type="dxa"/>
            <w:vAlign w:val="bottom"/>
            <w:tcBorders>
              <w:top w:val="single" w:sz="8" w:color="BFE4FF"/>
            </w:tcBorders>
            <w:shd w:val="clear" w:color="auto" w:fill="BFE4FF"/>
          </w:tcPr>
          <w:p>
            <w:pPr>
              <w:spacing w:after="0"/>
              <w:rPr>
                <w:sz w:val="19"/>
                <w:szCs w:val="19"/>
                <w:color w:val="auto"/>
              </w:rPr>
            </w:pPr>
          </w:p>
        </w:tc>
        <w:tc>
          <w:tcPr>
            <w:tcW w:w="360" w:type="dxa"/>
            <w:vAlign w:val="bottom"/>
            <w:tcBorders>
              <w:top w:val="single" w:sz="8" w:color="auto"/>
            </w:tcBorders>
            <w:shd w:val="clear" w:color="auto" w:fill="BFE4FF"/>
          </w:tcPr>
          <w:p>
            <w:pPr>
              <w:spacing w:after="0"/>
              <w:rPr>
                <w:sz w:val="19"/>
                <w:szCs w:val="19"/>
                <w:color w:val="auto"/>
              </w:rPr>
            </w:pPr>
          </w:p>
        </w:tc>
        <w:tc>
          <w:tcPr>
            <w:tcW w:w="12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(3,602,799)</w:t>
            </w:r>
          </w:p>
        </w:tc>
      </w:tr>
      <w:tr>
        <w:trPr>
          <w:trHeight w:val="230"/>
        </w:trPr>
        <w:tc>
          <w:tcPr>
            <w:tcW w:w="708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Net loss at subsidiary attributable to noncontrolling interests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79,798</w:t>
            </w:r>
          </w:p>
        </w:tc>
        <w:tc>
          <w:tcPr>
            <w:tcW w:w="14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95,212</w:t>
            </w:r>
          </w:p>
        </w:tc>
      </w:tr>
      <w:tr>
        <w:trPr>
          <w:trHeight w:val="248"/>
        </w:trPr>
        <w:tc>
          <w:tcPr>
            <w:tcW w:w="7080" w:type="dxa"/>
            <w:vAlign w:val="bottom"/>
            <w:tcBorders>
              <w:bottom w:val="single" w:sz="8" w:color="BFE4FF"/>
            </w:tcBorders>
            <w:shd w:val="clear" w:color="auto" w:fill="BFE4FF"/>
          </w:tcPr>
          <w:p>
            <w:pPr>
              <w:ind w:left="440"/>
              <w:spacing w:after="0"/>
              <w:rPr>
                <w:sz w:val="20"/>
                <w:szCs w:val="20"/>
                <w:color w:val="auto"/>
              </w:rPr>
            </w:pPr>
            <w:r>
              <w:rPr>
                <w:rFonts w:ascii="Arial" w:cs="Arial" w:eastAsia="Arial" w:hAnsi="Arial"/>
                <w:sz w:val="18"/>
                <w:szCs w:val="18"/>
                <w:color w:val="auto"/>
              </w:rPr>
              <w:t>Net income (loss) attributable to common shareholders</w:t>
            </w:r>
          </w:p>
        </w:tc>
        <w:tc>
          <w:tcPr>
            <w:tcW w:w="360" w:type="dxa"/>
            <w:vAlign w:val="bottom"/>
            <w:tcBorders>
              <w:bottom w:val="single" w:sz="8" w:color="auto"/>
            </w:tcBorders>
            <w:shd w:val="clear" w:color="auto" w:fill="BFE4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(5,570,241)</w:t>
            </w:r>
          </w:p>
        </w:tc>
        <w:tc>
          <w:tcPr>
            <w:tcW w:w="14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auto"/>
            </w:tcBorders>
            <w:shd w:val="clear" w:color="auto" w:fill="BFE4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(3,507,587)</w:t>
            </w:r>
          </w:p>
        </w:tc>
      </w:tr>
      <w:tr>
        <w:trPr>
          <w:trHeight w:val="20"/>
        </w:trPr>
        <w:tc>
          <w:tcPr>
            <w:tcW w:w="708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BFE4FF"/>
              <w:bottom w:val="single" w:sz="8" w:color="auto"/>
            </w:tcBorders>
          </w:tcPr>
          <w:p>
            <w:pPr>
              <w:spacing w:after="0" w:line="20" w:lineRule="exact"/>
              <w:rPr>
                <w:sz w:val="1"/>
                <w:szCs w:val="1"/>
                <w:color w:val="auto"/>
              </w:rPr>
            </w:pPr>
          </w:p>
        </w:tc>
        <w:tc>
          <w:tcPr>
            <w:tcW w:w="1220" w:type="dxa"/>
            <w:vAlign w:val="bottom"/>
            <w:tcBorders>
              <w:top w:val="single" w:sz="8" w:color="BFE4FF"/>
              <w:bottom w:val="single" w:sz="8" w:color="auto"/>
            </w:tcBorders>
          </w:tcPr>
          <w:p>
            <w:pPr>
              <w:spacing w:after="0" w:line="20" w:lineRule="exact"/>
              <w:rPr>
                <w:sz w:val="1"/>
                <w:szCs w:val="1"/>
                <w:color w:val="auto"/>
              </w:rPr>
            </w:pPr>
          </w:p>
        </w:tc>
        <w:tc>
          <w:tcPr>
            <w:tcW w:w="14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BFE4FF"/>
              <w:bottom w:val="single" w:sz="8" w:color="auto"/>
            </w:tcBorders>
          </w:tcPr>
          <w:p>
            <w:pPr>
              <w:spacing w:after="0" w:line="20" w:lineRule="exact"/>
              <w:rPr>
                <w:sz w:val="1"/>
                <w:szCs w:val="1"/>
                <w:color w:val="auto"/>
              </w:rPr>
            </w:pPr>
          </w:p>
        </w:tc>
        <w:tc>
          <w:tcPr>
            <w:tcW w:w="1220" w:type="dxa"/>
            <w:vAlign w:val="bottom"/>
            <w:tcBorders>
              <w:top w:val="single" w:sz="8" w:color="BFE4FF"/>
              <w:bottom w:val="single" w:sz="8" w:color="auto"/>
            </w:tcBorders>
          </w:tcPr>
          <w:p>
            <w:pPr>
              <w:spacing w:after="0" w:line="20" w:lineRule="exact"/>
              <w:rPr>
                <w:sz w:val="1"/>
                <w:szCs w:val="1"/>
                <w:color w:val="auto"/>
              </w:rPr>
            </w:pPr>
          </w:p>
        </w:tc>
      </w:tr>
      <w:tr>
        <w:trPr>
          <w:trHeight w:val="95"/>
        </w:trPr>
        <w:tc>
          <w:tcPr>
            <w:tcW w:w="7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30"/>
        </w:trPr>
        <w:tc>
          <w:tcPr>
            <w:tcW w:w="7080" w:type="dxa"/>
            <w:vAlign w:val="bottom"/>
            <w:shd w:val="clear" w:color="auto" w:fill="BFE4FF"/>
          </w:tcPr>
          <w:p>
            <w:pPr>
              <w:ind w:left="20"/>
              <w:spacing w:after="0"/>
              <w:rPr>
                <w:sz w:val="20"/>
                <w:szCs w:val="20"/>
                <w:color w:val="auto"/>
              </w:rPr>
            </w:pPr>
            <w:r>
              <w:rPr>
                <w:rFonts w:ascii="Arial" w:cs="Arial" w:eastAsia="Arial" w:hAnsi="Arial"/>
                <w:sz w:val="18"/>
                <w:szCs w:val="18"/>
                <w:color w:val="auto"/>
              </w:rPr>
              <w:t>Earnings (loss) per share attributable to common shareholders:</w:t>
            </w:r>
          </w:p>
        </w:tc>
        <w:tc>
          <w:tcPr>
            <w:tcW w:w="360" w:type="dxa"/>
            <w:vAlign w:val="bottom"/>
            <w:shd w:val="clear" w:color="auto" w:fill="BFE4FF"/>
          </w:tcPr>
          <w:p>
            <w:pPr>
              <w:spacing w:after="0"/>
              <w:rPr>
                <w:sz w:val="19"/>
                <w:szCs w:val="19"/>
                <w:color w:val="auto"/>
              </w:rPr>
            </w:pPr>
          </w:p>
        </w:tc>
        <w:tc>
          <w:tcPr>
            <w:tcW w:w="122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20" w:type="dxa"/>
            <w:vAlign w:val="bottom"/>
            <w:shd w:val="clear" w:color="auto" w:fill="BFE4FF"/>
          </w:tcPr>
          <w:p>
            <w:pPr>
              <w:spacing w:after="0"/>
              <w:rPr>
                <w:sz w:val="19"/>
                <w:szCs w:val="19"/>
                <w:color w:val="auto"/>
              </w:rPr>
            </w:pPr>
          </w:p>
        </w:tc>
      </w:tr>
      <w:tr>
        <w:trPr>
          <w:trHeight w:val="229"/>
        </w:trPr>
        <w:tc>
          <w:tcPr>
            <w:tcW w:w="7080" w:type="dxa"/>
            <w:vAlign w:val="bottom"/>
          </w:tcPr>
          <w:p>
            <w:pPr>
              <w:ind w:left="440"/>
              <w:spacing w:after="0"/>
              <w:rPr>
                <w:sz w:val="20"/>
                <w:szCs w:val="20"/>
                <w:color w:val="auto"/>
              </w:rPr>
            </w:pPr>
            <w:r>
              <w:rPr>
                <w:rFonts w:ascii="Arial" w:cs="Arial" w:eastAsia="Arial" w:hAnsi="Arial"/>
                <w:sz w:val="18"/>
                <w:szCs w:val="18"/>
                <w:color w:val="auto"/>
              </w:rPr>
              <w:t>-Continuing operations-basic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(0.38)</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30"/>
        </w:trPr>
        <w:tc>
          <w:tcPr>
            <w:tcW w:w="7080" w:type="dxa"/>
            <w:vAlign w:val="bottom"/>
            <w:shd w:val="clear" w:color="auto" w:fill="BFE4FF"/>
          </w:tcPr>
          <w:p>
            <w:pPr>
              <w:ind w:left="440"/>
              <w:spacing w:after="0"/>
              <w:rPr>
                <w:sz w:val="20"/>
                <w:szCs w:val="20"/>
                <w:color w:val="auto"/>
              </w:rPr>
            </w:pPr>
            <w:r>
              <w:rPr>
                <w:rFonts w:ascii="Arial" w:cs="Arial" w:eastAsia="Arial" w:hAnsi="Arial"/>
                <w:sz w:val="18"/>
                <w:szCs w:val="18"/>
                <w:color w:val="auto"/>
              </w:rPr>
              <w:t>-Discontinued operations-basic</w:t>
            </w:r>
          </w:p>
        </w:tc>
        <w:tc>
          <w:tcPr>
            <w:tcW w:w="360" w:type="dxa"/>
            <w:vAlign w:val="bottom"/>
            <w:shd w:val="clear" w:color="auto" w:fill="BFE4FF"/>
          </w:tcPr>
          <w:p>
            <w:pPr>
              <w:spacing w:after="0"/>
              <w:rPr>
                <w:sz w:val="19"/>
                <w:szCs w:val="19"/>
                <w:color w:val="auto"/>
              </w:rPr>
            </w:pPr>
          </w:p>
        </w:tc>
        <w:tc>
          <w:tcPr>
            <w:tcW w:w="1360" w:type="dxa"/>
            <w:vAlign w:val="bottom"/>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0.13</w:t>
            </w:r>
          </w:p>
        </w:tc>
      </w:tr>
      <w:tr>
        <w:trPr>
          <w:trHeight w:val="223"/>
        </w:trPr>
        <w:tc>
          <w:tcPr>
            <w:tcW w:w="7080" w:type="dxa"/>
            <w:vAlign w:val="bottom"/>
          </w:tcPr>
          <w:p>
            <w:pPr>
              <w:ind w:left="440"/>
              <w:spacing w:after="0"/>
              <w:rPr>
                <w:sz w:val="20"/>
                <w:szCs w:val="20"/>
                <w:color w:val="auto"/>
              </w:rPr>
            </w:pPr>
            <w:r>
              <w:rPr>
                <w:rFonts w:ascii="Arial" w:cs="Arial" w:eastAsia="Arial" w:hAnsi="Arial"/>
                <w:sz w:val="18"/>
                <w:szCs w:val="18"/>
                <w:color w:val="auto"/>
              </w:rPr>
              <w:t>Basic</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4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(0.24)</w:t>
            </w:r>
          </w:p>
        </w:tc>
      </w:tr>
      <w:tr>
        <w:trPr>
          <w:trHeight w:val="149"/>
        </w:trPr>
        <w:tc>
          <w:tcPr>
            <w:tcW w:w="7080" w:type="dxa"/>
            <w:vAlign w:val="bottom"/>
            <w:shd w:val="clear" w:color="auto" w:fill="BFE4FF"/>
          </w:tcPr>
          <w:p>
            <w:pPr>
              <w:spacing w:after="0"/>
              <w:rPr>
                <w:sz w:val="12"/>
                <w:szCs w:val="12"/>
                <w:color w:val="auto"/>
              </w:rPr>
            </w:pPr>
          </w:p>
        </w:tc>
        <w:tc>
          <w:tcPr>
            <w:tcW w:w="360" w:type="dxa"/>
            <w:vAlign w:val="bottom"/>
            <w:shd w:val="clear" w:color="auto" w:fill="BFE4FF"/>
          </w:tcPr>
          <w:p>
            <w:pPr>
              <w:spacing w:after="0"/>
              <w:rPr>
                <w:sz w:val="12"/>
                <w:szCs w:val="12"/>
                <w:color w:val="auto"/>
              </w:rPr>
            </w:pPr>
          </w:p>
        </w:tc>
        <w:tc>
          <w:tcPr>
            <w:tcW w:w="1220" w:type="dxa"/>
            <w:vAlign w:val="bottom"/>
            <w:shd w:val="clear" w:color="auto" w:fill="BFE4FF"/>
          </w:tcPr>
          <w:p>
            <w:pPr>
              <w:spacing w:after="0"/>
              <w:rPr>
                <w:sz w:val="12"/>
                <w:szCs w:val="12"/>
                <w:color w:val="auto"/>
              </w:rPr>
            </w:pPr>
          </w:p>
        </w:tc>
        <w:tc>
          <w:tcPr>
            <w:tcW w:w="140" w:type="dxa"/>
            <w:vAlign w:val="bottom"/>
            <w:shd w:val="clear" w:color="auto" w:fill="BFE4FF"/>
          </w:tcPr>
          <w:p>
            <w:pPr>
              <w:spacing w:after="0"/>
              <w:rPr>
                <w:sz w:val="12"/>
                <w:szCs w:val="12"/>
                <w:color w:val="auto"/>
              </w:rPr>
            </w:pPr>
          </w:p>
        </w:tc>
        <w:tc>
          <w:tcPr>
            <w:tcW w:w="360" w:type="dxa"/>
            <w:vAlign w:val="bottom"/>
            <w:shd w:val="clear" w:color="auto" w:fill="BFE4FF"/>
          </w:tcPr>
          <w:p>
            <w:pPr>
              <w:spacing w:after="0"/>
              <w:rPr>
                <w:sz w:val="12"/>
                <w:szCs w:val="12"/>
                <w:color w:val="auto"/>
              </w:rPr>
            </w:pPr>
          </w:p>
        </w:tc>
        <w:tc>
          <w:tcPr>
            <w:tcW w:w="1220" w:type="dxa"/>
            <w:vAlign w:val="bottom"/>
            <w:shd w:val="clear" w:color="auto" w:fill="BFE4FF"/>
          </w:tcPr>
          <w:p>
            <w:pPr>
              <w:spacing w:after="0"/>
              <w:rPr>
                <w:sz w:val="12"/>
                <w:szCs w:val="12"/>
                <w:color w:val="auto"/>
              </w:rPr>
            </w:pPr>
          </w:p>
        </w:tc>
      </w:tr>
      <w:tr>
        <w:trPr>
          <w:trHeight w:val="229"/>
        </w:trPr>
        <w:tc>
          <w:tcPr>
            <w:tcW w:w="7080" w:type="dxa"/>
            <w:vAlign w:val="bottom"/>
          </w:tcPr>
          <w:p>
            <w:pPr>
              <w:ind w:left="440"/>
              <w:spacing w:after="0"/>
              <w:rPr>
                <w:sz w:val="20"/>
                <w:szCs w:val="20"/>
                <w:color w:val="auto"/>
              </w:rPr>
            </w:pPr>
            <w:r>
              <w:rPr>
                <w:rFonts w:ascii="Arial" w:cs="Arial" w:eastAsia="Arial" w:hAnsi="Arial"/>
                <w:sz w:val="18"/>
                <w:szCs w:val="18"/>
                <w:color w:val="auto"/>
              </w:rPr>
              <w:t>-Continuing operations-diluted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(0.38)</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30"/>
        </w:trPr>
        <w:tc>
          <w:tcPr>
            <w:tcW w:w="7080" w:type="dxa"/>
            <w:vAlign w:val="bottom"/>
            <w:shd w:val="clear" w:color="auto" w:fill="BFE4FF"/>
          </w:tcPr>
          <w:p>
            <w:pPr>
              <w:ind w:left="440"/>
              <w:spacing w:after="0"/>
              <w:rPr>
                <w:sz w:val="20"/>
                <w:szCs w:val="20"/>
                <w:color w:val="auto"/>
              </w:rPr>
            </w:pPr>
            <w:r>
              <w:rPr>
                <w:rFonts w:ascii="Arial" w:cs="Arial" w:eastAsia="Arial" w:hAnsi="Arial"/>
                <w:sz w:val="18"/>
                <w:szCs w:val="18"/>
                <w:color w:val="auto"/>
              </w:rPr>
              <w:t>-Discontinued operations-diluted</w:t>
            </w:r>
          </w:p>
        </w:tc>
        <w:tc>
          <w:tcPr>
            <w:tcW w:w="360" w:type="dxa"/>
            <w:vAlign w:val="bottom"/>
            <w:shd w:val="clear" w:color="auto" w:fill="BFE4FF"/>
          </w:tcPr>
          <w:p>
            <w:pPr>
              <w:spacing w:after="0"/>
              <w:rPr>
                <w:sz w:val="19"/>
                <w:szCs w:val="19"/>
                <w:color w:val="auto"/>
              </w:rPr>
            </w:pPr>
          </w:p>
        </w:tc>
        <w:tc>
          <w:tcPr>
            <w:tcW w:w="1360" w:type="dxa"/>
            <w:vAlign w:val="bottom"/>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0.13</w:t>
            </w:r>
          </w:p>
        </w:tc>
      </w:tr>
      <w:tr>
        <w:trPr>
          <w:trHeight w:val="223"/>
        </w:trPr>
        <w:tc>
          <w:tcPr>
            <w:tcW w:w="7080" w:type="dxa"/>
            <w:vAlign w:val="bottom"/>
          </w:tcPr>
          <w:p>
            <w:pPr>
              <w:ind w:left="44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4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(0.24)</w:t>
            </w:r>
          </w:p>
        </w:tc>
      </w:tr>
      <w:tr>
        <w:trPr>
          <w:trHeight w:val="230"/>
        </w:trPr>
        <w:tc>
          <w:tcPr>
            <w:tcW w:w="7080" w:type="dxa"/>
            <w:vAlign w:val="bottom"/>
            <w:shd w:val="clear" w:color="auto" w:fill="BFE4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60" w:type="dxa"/>
            <w:vAlign w:val="bottom"/>
            <w:shd w:val="clear" w:color="auto" w:fill="BFE4FF"/>
          </w:tcPr>
          <w:p>
            <w:pPr>
              <w:spacing w:after="0"/>
              <w:rPr>
                <w:sz w:val="19"/>
                <w:szCs w:val="19"/>
                <w:color w:val="auto"/>
              </w:rPr>
            </w:pPr>
          </w:p>
        </w:tc>
        <w:tc>
          <w:tcPr>
            <w:tcW w:w="122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20" w:type="dxa"/>
            <w:vAlign w:val="bottom"/>
            <w:shd w:val="clear" w:color="auto" w:fill="BFE4FF"/>
          </w:tcPr>
          <w:p>
            <w:pPr>
              <w:spacing w:after="0"/>
              <w:rPr>
                <w:sz w:val="19"/>
                <w:szCs w:val="19"/>
                <w:color w:val="auto"/>
              </w:rPr>
            </w:pPr>
          </w:p>
        </w:tc>
      </w:tr>
      <w:tr>
        <w:trPr>
          <w:trHeight w:val="230"/>
        </w:trPr>
        <w:tc>
          <w:tcPr>
            <w:tcW w:w="7080" w:type="dxa"/>
            <w:vAlign w:val="bottom"/>
          </w:tcPr>
          <w:p>
            <w:pPr>
              <w:ind w:left="44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14,563,592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14,904,834</w:t>
            </w:r>
          </w:p>
        </w:tc>
      </w:tr>
      <w:tr>
        <w:trPr>
          <w:trHeight w:val="255"/>
        </w:trPr>
        <w:tc>
          <w:tcPr>
            <w:tcW w:w="7080" w:type="dxa"/>
            <w:vAlign w:val="bottom"/>
            <w:tcBorders>
              <w:bottom w:val="single" w:sz="8" w:color="BFE4FF"/>
            </w:tcBorders>
            <w:shd w:val="clear" w:color="auto" w:fill="BFE4FF"/>
          </w:tcPr>
          <w:p>
            <w:pPr>
              <w:ind w:left="44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BFE4FF"/>
          </w:tcPr>
          <w:p>
            <w:pPr>
              <w:spacing w:after="0"/>
              <w:rPr>
                <w:sz w:val="21"/>
                <w:szCs w:val="21"/>
                <w:color w:val="auto"/>
              </w:rPr>
            </w:pPr>
          </w:p>
        </w:tc>
        <w:tc>
          <w:tcPr>
            <w:tcW w:w="12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14,563,592</w:t>
            </w:r>
          </w:p>
        </w:tc>
        <w:tc>
          <w:tcPr>
            <w:tcW w:w="14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auto"/>
            </w:tcBorders>
            <w:shd w:val="clear" w:color="auto" w:fill="BFE4FF"/>
          </w:tcPr>
          <w:p>
            <w:pPr>
              <w:spacing w:after="0"/>
              <w:rPr>
                <w:sz w:val="21"/>
                <w:szCs w:val="21"/>
                <w:color w:val="auto"/>
              </w:rPr>
            </w:pPr>
          </w:p>
        </w:tc>
        <w:tc>
          <w:tcPr>
            <w:tcW w:w="12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14,904,834</w:t>
            </w:r>
          </w:p>
        </w:tc>
      </w:tr>
      <w:tr>
        <w:trPr>
          <w:trHeight w:val="20"/>
        </w:trPr>
        <w:tc>
          <w:tcPr>
            <w:tcW w:w="708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BFE4FF"/>
              <w:bottom w:val="single" w:sz="8" w:color="auto"/>
            </w:tcBorders>
          </w:tcPr>
          <w:p>
            <w:pPr>
              <w:spacing w:after="0" w:line="20" w:lineRule="exact"/>
              <w:rPr>
                <w:sz w:val="1"/>
                <w:szCs w:val="1"/>
                <w:color w:val="auto"/>
              </w:rPr>
            </w:pPr>
          </w:p>
        </w:tc>
        <w:tc>
          <w:tcPr>
            <w:tcW w:w="1220" w:type="dxa"/>
            <w:vAlign w:val="bottom"/>
            <w:tcBorders>
              <w:top w:val="single" w:sz="8" w:color="BFE4FF"/>
              <w:bottom w:val="single" w:sz="8" w:color="auto"/>
            </w:tcBorders>
          </w:tcPr>
          <w:p>
            <w:pPr>
              <w:spacing w:after="0" w:line="20" w:lineRule="exact"/>
              <w:rPr>
                <w:sz w:val="1"/>
                <w:szCs w:val="1"/>
                <w:color w:val="auto"/>
              </w:rPr>
            </w:pPr>
          </w:p>
        </w:tc>
        <w:tc>
          <w:tcPr>
            <w:tcW w:w="14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BFE4FF"/>
              <w:bottom w:val="single" w:sz="8" w:color="auto"/>
            </w:tcBorders>
          </w:tcPr>
          <w:p>
            <w:pPr>
              <w:spacing w:after="0" w:line="20" w:lineRule="exact"/>
              <w:rPr>
                <w:sz w:val="1"/>
                <w:szCs w:val="1"/>
                <w:color w:val="auto"/>
              </w:rPr>
            </w:pPr>
          </w:p>
        </w:tc>
        <w:tc>
          <w:tcPr>
            <w:tcW w:w="1220" w:type="dxa"/>
            <w:vAlign w:val="bottom"/>
            <w:tcBorders>
              <w:top w:val="single" w:sz="8" w:color="BFE4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760" w:top="1440" w:right="759" w:bottom="1440" w:gutter="0" w:footer="0" w:header="0"/>
        </w:sectPr>
      </w:pPr>
    </w:p>
    <w:bookmarkStart w:id="89" w:name="page90"/>
    <w:bookmarkEnd w:id="89"/>
    <w:p>
      <w:pPr>
        <w:jc w:val="center"/>
        <w:spacing w:after="0" w:line="325" w:lineRule="auto"/>
        <w:rPr>
          <w:sz w:val="20"/>
          <w:szCs w:val="20"/>
          <w:color w:val="auto"/>
        </w:rPr>
      </w:pPr>
      <w:r>
        <w:rPr>
          <w:rFonts w:ascii="Arial" w:cs="Arial" w:eastAsia="Arial" w:hAnsi="Arial"/>
          <w:sz w:val="18"/>
          <w:szCs w:val="18"/>
          <w:b w:val="1"/>
          <w:bCs w:val="1"/>
          <w:color w:val="auto"/>
        </w:rPr>
        <w:t xml:space="preserve">CUMBERLAND PHARMACEUTICALS INC. AND SUBSIDIARIES </w:t>
      </w:r>
      <w:r>
        <w:rPr>
          <w:rFonts w:ascii="Arial" w:cs="Arial" w:eastAsia="Arial" w:hAnsi="Arial"/>
          <w:sz w:val="18"/>
          <w:szCs w:val="18"/>
          <w:color w:val="auto"/>
        </w:rPr>
        <w:t>Consolidated Statements of Cash Flows Years ended December 31, 2022 and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430"/>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50"/>
              <w:spacing w:after="0"/>
              <w:rPr>
                <w:sz w:val="20"/>
                <w:szCs w:val="20"/>
                <w:color w:val="auto"/>
              </w:rPr>
            </w:pPr>
            <w:r>
              <w:rPr>
                <w:rFonts w:ascii="Arial" w:cs="Arial" w:eastAsia="Arial" w:hAnsi="Arial"/>
                <w:sz w:val="16"/>
                <w:szCs w:val="16"/>
                <w:b w:val="1"/>
                <w:bCs w:val="1"/>
                <w:color w:val="auto"/>
              </w:rPr>
              <w:t>2021</w:t>
            </w:r>
          </w:p>
        </w:tc>
      </w:tr>
      <w:tr>
        <w:trPr>
          <w:trHeight w:val="233"/>
        </w:trPr>
        <w:tc>
          <w:tcPr>
            <w:tcW w:w="7360" w:type="dxa"/>
            <w:vAlign w:val="bottom"/>
            <w:shd w:val="clear" w:color="auto" w:fill="BFE4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BFE4FF"/>
          </w:tcPr>
          <w:p>
            <w:pPr>
              <w:spacing w:after="0"/>
              <w:rPr>
                <w:sz w:val="20"/>
                <w:szCs w:val="20"/>
                <w:color w:val="auto"/>
              </w:rPr>
            </w:pPr>
          </w:p>
        </w:tc>
        <w:tc>
          <w:tcPr>
            <w:tcW w:w="1120" w:type="dxa"/>
            <w:vAlign w:val="bottom"/>
            <w:shd w:val="clear" w:color="auto" w:fill="BFE4FF"/>
          </w:tcPr>
          <w:p>
            <w:pPr>
              <w:spacing w:after="0"/>
              <w:rPr>
                <w:sz w:val="20"/>
                <w:szCs w:val="20"/>
                <w:color w:val="auto"/>
              </w:rPr>
            </w:pPr>
          </w:p>
        </w:tc>
        <w:tc>
          <w:tcPr>
            <w:tcW w:w="140" w:type="dxa"/>
            <w:vAlign w:val="bottom"/>
            <w:shd w:val="clear" w:color="auto" w:fill="BFE4FF"/>
          </w:tcPr>
          <w:p>
            <w:pPr>
              <w:spacing w:after="0"/>
              <w:rPr>
                <w:sz w:val="20"/>
                <w:szCs w:val="20"/>
                <w:color w:val="auto"/>
              </w:rPr>
            </w:pPr>
          </w:p>
        </w:tc>
        <w:tc>
          <w:tcPr>
            <w:tcW w:w="300" w:type="dxa"/>
            <w:vAlign w:val="bottom"/>
            <w:shd w:val="clear" w:color="auto" w:fill="BFE4FF"/>
          </w:tcPr>
          <w:p>
            <w:pPr>
              <w:spacing w:after="0"/>
              <w:rPr>
                <w:sz w:val="20"/>
                <w:szCs w:val="20"/>
                <w:color w:val="auto"/>
              </w:rPr>
            </w:pPr>
          </w:p>
        </w:tc>
        <w:tc>
          <w:tcPr>
            <w:tcW w:w="1080" w:type="dxa"/>
            <w:vAlign w:val="bottom"/>
            <w:shd w:val="clear" w:color="auto" w:fill="BFE4FF"/>
          </w:tcPr>
          <w:p>
            <w:pPr>
              <w:spacing w:after="0"/>
              <w:rPr>
                <w:sz w:val="20"/>
                <w:szCs w:val="20"/>
                <w:color w:val="auto"/>
              </w:rPr>
            </w:pPr>
          </w:p>
        </w:tc>
      </w:tr>
      <w:tr>
        <w:trPr>
          <w:trHeight w:val="230"/>
        </w:trPr>
        <w:tc>
          <w:tcPr>
            <w:tcW w:w="736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(5,650,039)</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(3,602,799)</w:t>
            </w:r>
          </w:p>
        </w:tc>
      </w:tr>
      <w:tr>
        <w:trPr>
          <w:trHeight w:val="229"/>
        </w:trPr>
        <w:tc>
          <w:tcPr>
            <w:tcW w:w="7360" w:type="dxa"/>
            <w:vAlign w:val="bottom"/>
            <w:shd w:val="clear" w:color="auto" w:fill="BFE4FF"/>
          </w:tcPr>
          <w:p>
            <w:pPr>
              <w:ind w:left="220"/>
              <w:spacing w:after="0"/>
              <w:rPr>
                <w:sz w:val="20"/>
                <w:szCs w:val="20"/>
                <w:color w:val="auto"/>
              </w:rPr>
            </w:pPr>
            <w:r>
              <w:rPr>
                <w:rFonts w:ascii="Arial" w:cs="Arial" w:eastAsia="Arial" w:hAnsi="Arial"/>
                <w:sz w:val="18"/>
                <w:szCs w:val="18"/>
                <w:color w:val="auto"/>
              </w:rPr>
              <w:t>Discontinued operations</w:t>
            </w:r>
          </w:p>
        </w:tc>
        <w:tc>
          <w:tcPr>
            <w:tcW w:w="260" w:type="dxa"/>
            <w:vAlign w:val="bottom"/>
            <w:shd w:val="clear" w:color="auto" w:fill="BFE4FF"/>
          </w:tcPr>
          <w:p>
            <w:pPr>
              <w:spacing w:after="0"/>
              <w:rPr>
                <w:sz w:val="19"/>
                <w:szCs w:val="19"/>
                <w:color w:val="auto"/>
              </w:rPr>
            </w:pPr>
          </w:p>
        </w:tc>
        <w:tc>
          <w:tcPr>
            <w:tcW w:w="1260" w:type="dxa"/>
            <w:vAlign w:val="bottom"/>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1,994,322</w:t>
            </w:r>
          </w:p>
        </w:tc>
      </w:tr>
      <w:tr>
        <w:trPr>
          <w:trHeight w:val="223"/>
        </w:trPr>
        <w:tc>
          <w:tcPr>
            <w:tcW w:w="7360" w:type="dxa"/>
            <w:vAlign w:val="bottom"/>
          </w:tcPr>
          <w:p>
            <w:pPr>
              <w:ind w:left="220"/>
              <w:spacing w:after="0"/>
              <w:rPr>
                <w:sz w:val="20"/>
                <w:szCs w:val="20"/>
                <w:color w:val="auto"/>
              </w:rPr>
            </w:pPr>
            <w:r>
              <w:rPr>
                <w:rFonts w:ascii="Arial" w:cs="Arial" w:eastAsia="Arial" w:hAnsi="Arial"/>
                <w:sz w:val="18"/>
                <w:szCs w:val="18"/>
                <w:color w:val="auto"/>
              </w:rPr>
              <w:t>Net income (loss) from continuing operations</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(5,650,039)</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(5,597,121)</w:t>
            </w:r>
          </w:p>
        </w:tc>
      </w:tr>
      <w:tr>
        <w:trPr>
          <w:trHeight w:val="229"/>
        </w:trPr>
        <w:tc>
          <w:tcPr>
            <w:tcW w:w="7360" w:type="dxa"/>
            <w:vAlign w:val="bottom"/>
            <w:shd w:val="clear" w:color="auto" w:fill="BFE4FF"/>
          </w:tcPr>
          <w:p>
            <w:pPr>
              <w:ind w:left="220"/>
              <w:spacing w:after="0"/>
              <w:rPr>
                <w:sz w:val="20"/>
                <w:szCs w:val="20"/>
                <w:color w:val="auto"/>
              </w:rPr>
            </w:pPr>
            <w:r>
              <w:rPr>
                <w:rFonts w:ascii="Arial" w:cs="Arial" w:eastAsia="Arial" w:hAnsi="Arial"/>
                <w:sz w:val="18"/>
                <w:szCs w:val="18"/>
                <w:color w:val="auto"/>
                <w:w w:val="96"/>
              </w:rPr>
              <w:t>Adjustments to reconcile net income (loss) to net cash flows provided by operating activities:</w:t>
            </w: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080" w:type="dxa"/>
            <w:vAlign w:val="bottom"/>
            <w:shd w:val="clear" w:color="auto" w:fill="BFE4FF"/>
          </w:tcPr>
          <w:p>
            <w:pPr>
              <w:spacing w:after="0"/>
              <w:rPr>
                <w:sz w:val="19"/>
                <w:szCs w:val="19"/>
                <w:color w:val="auto"/>
              </w:rPr>
            </w:pPr>
          </w:p>
        </w:tc>
      </w:tr>
      <w:tr>
        <w:trPr>
          <w:trHeight w:val="229"/>
        </w:trPr>
        <w:tc>
          <w:tcPr>
            <w:tcW w:w="736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5,328,113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4,606,366</w:t>
            </w:r>
          </w:p>
        </w:tc>
      </w:tr>
      <w:tr>
        <w:trPr>
          <w:trHeight w:val="230"/>
        </w:trPr>
        <w:tc>
          <w:tcPr>
            <w:tcW w:w="7360" w:type="dxa"/>
            <w:vAlign w:val="bottom"/>
            <w:shd w:val="clear" w:color="auto" w:fill="BFE4FF"/>
          </w:tcPr>
          <w:p>
            <w:pPr>
              <w:ind w:left="440"/>
              <w:spacing w:after="0"/>
              <w:rPr>
                <w:sz w:val="20"/>
                <w:szCs w:val="20"/>
                <w:color w:val="auto"/>
              </w:rPr>
            </w:pPr>
            <w:r>
              <w:rPr>
                <w:rFonts w:ascii="Arial" w:cs="Arial" w:eastAsia="Arial" w:hAnsi="Arial"/>
                <w:sz w:val="18"/>
                <w:szCs w:val="18"/>
                <w:color w:val="auto"/>
              </w:rPr>
              <w:t>Deferred tax expense</w:t>
            </w:r>
          </w:p>
        </w:tc>
        <w:tc>
          <w:tcPr>
            <w:tcW w:w="260" w:type="dxa"/>
            <w:vAlign w:val="bottom"/>
            <w:shd w:val="clear" w:color="auto" w:fill="BFE4FF"/>
          </w:tcPr>
          <w:p>
            <w:pPr>
              <w:spacing w:after="0"/>
              <w:rPr>
                <w:sz w:val="19"/>
                <w:szCs w:val="19"/>
                <w:color w:val="auto"/>
              </w:rPr>
            </w:pPr>
          </w:p>
        </w:tc>
        <w:tc>
          <w:tcPr>
            <w:tcW w:w="1260" w:type="dxa"/>
            <w:vAlign w:val="bottom"/>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60" w:type="dxa"/>
            <w:vAlign w:val="bottom"/>
          </w:tcPr>
          <w:p>
            <w:pPr>
              <w:ind w:left="440"/>
              <w:spacing w:after="0"/>
              <w:rPr>
                <w:sz w:val="20"/>
                <w:szCs w:val="20"/>
                <w:color w:val="auto"/>
              </w:rPr>
            </w:pPr>
            <w:r>
              <w:rPr>
                <w:rFonts w:ascii="Arial" w:cs="Arial" w:eastAsia="Arial" w:hAnsi="Arial"/>
                <w:sz w:val="18"/>
                <w:szCs w:val="18"/>
                <w:color w:val="auto"/>
              </w:rPr>
              <w:t>Share-based compensation</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447,503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741,867</w:t>
            </w:r>
          </w:p>
        </w:tc>
      </w:tr>
      <w:tr>
        <w:trPr>
          <w:trHeight w:val="229"/>
        </w:trPr>
        <w:tc>
          <w:tcPr>
            <w:tcW w:w="7360" w:type="dxa"/>
            <w:vAlign w:val="bottom"/>
            <w:shd w:val="clear" w:color="auto" w:fill="BFE4FF"/>
          </w:tcPr>
          <w:p>
            <w:pPr>
              <w:ind w:left="440"/>
              <w:spacing w:after="0"/>
              <w:rPr>
                <w:sz w:val="20"/>
                <w:szCs w:val="20"/>
                <w:color w:val="auto"/>
              </w:rPr>
            </w:pPr>
            <w:r>
              <w:rPr>
                <w:rFonts w:ascii="Arial" w:cs="Arial" w:eastAsia="Arial" w:hAnsi="Arial"/>
                <w:sz w:val="18"/>
                <w:szCs w:val="18"/>
                <w:color w:val="auto"/>
              </w:rPr>
              <w:t>Decrease in non-cash contingent consideration</w:t>
            </w: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(2,088,296)</w:t>
            </w:r>
          </w:p>
        </w:tc>
        <w:tc>
          <w:tcPr>
            <w:tcW w:w="14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(1,147,750)</w:t>
            </w:r>
          </w:p>
        </w:tc>
      </w:tr>
      <w:tr>
        <w:trPr>
          <w:trHeight w:val="230"/>
        </w:trPr>
        <w:tc>
          <w:tcPr>
            <w:tcW w:w="7360" w:type="dxa"/>
            <w:vAlign w:val="bottom"/>
          </w:tcPr>
          <w:p>
            <w:pPr>
              <w:ind w:left="440"/>
              <w:spacing w:after="0"/>
              <w:rPr>
                <w:sz w:val="20"/>
                <w:szCs w:val="20"/>
                <w:color w:val="auto"/>
              </w:rPr>
            </w:pPr>
            <w:r>
              <w:rPr>
                <w:rFonts w:ascii="Arial" w:cs="Arial" w:eastAsia="Arial" w:hAnsi="Arial"/>
                <w:sz w:val="18"/>
                <w:szCs w:val="18"/>
                <w:color w:val="auto"/>
                <w:w w:val="96"/>
              </w:rPr>
              <w:t>Decrease (Increase) in cash surrender value of life insurance policies over premiums paid</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613,657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(282,207)</w:t>
            </w:r>
          </w:p>
        </w:tc>
      </w:tr>
      <w:tr>
        <w:trPr>
          <w:trHeight w:val="229"/>
        </w:trPr>
        <w:tc>
          <w:tcPr>
            <w:tcW w:w="7360" w:type="dxa"/>
            <w:vAlign w:val="bottom"/>
            <w:shd w:val="clear" w:color="auto" w:fill="BFE4FF"/>
          </w:tcPr>
          <w:p>
            <w:pPr>
              <w:ind w:left="440"/>
              <w:spacing w:after="0"/>
              <w:rPr>
                <w:sz w:val="20"/>
                <w:szCs w:val="20"/>
                <w:color w:val="auto"/>
              </w:rPr>
            </w:pPr>
            <w:r>
              <w:rPr>
                <w:rFonts w:ascii="Arial" w:cs="Arial" w:eastAsia="Arial" w:hAnsi="Arial"/>
                <w:sz w:val="18"/>
                <w:szCs w:val="18"/>
                <w:color w:val="auto"/>
              </w:rPr>
              <w:t>Noncash interest expense</w:t>
            </w: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11,237</w:t>
            </w:r>
          </w:p>
        </w:tc>
        <w:tc>
          <w:tcPr>
            <w:tcW w:w="14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34,053</w:t>
            </w:r>
          </w:p>
        </w:tc>
      </w:tr>
      <w:tr>
        <w:trPr>
          <w:trHeight w:val="230"/>
        </w:trPr>
        <w:tc>
          <w:tcPr>
            <w:tcW w:w="7360" w:type="dxa"/>
            <w:vAlign w:val="bottom"/>
          </w:tcPr>
          <w:p>
            <w:pPr>
              <w:ind w:left="440"/>
              <w:spacing w:after="0"/>
              <w:rPr>
                <w:sz w:val="20"/>
                <w:szCs w:val="20"/>
                <w:color w:val="auto"/>
              </w:rPr>
            </w:pPr>
            <w:r>
              <w:rPr>
                <w:rFonts w:ascii="Arial" w:cs="Arial" w:eastAsia="Arial" w:hAnsi="Arial"/>
                <w:sz w:val="18"/>
                <w:szCs w:val="18"/>
                <w:color w:val="auto"/>
              </w:rPr>
              <w:t>Noncash gain on RediTrex transaction</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(37,882)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60" w:type="dxa"/>
            <w:vAlign w:val="bottom"/>
            <w:shd w:val="clear" w:color="auto" w:fill="BFE4FF"/>
          </w:tcPr>
          <w:p>
            <w:pPr>
              <w:ind w:left="440"/>
              <w:spacing w:after="0"/>
              <w:rPr>
                <w:sz w:val="20"/>
                <w:szCs w:val="20"/>
                <w:color w:val="auto"/>
              </w:rPr>
            </w:pPr>
            <w:r>
              <w:rPr>
                <w:rFonts w:ascii="Arial" w:cs="Arial" w:eastAsia="Arial" w:hAnsi="Arial"/>
                <w:sz w:val="18"/>
                <w:szCs w:val="18"/>
                <w:color w:val="auto"/>
              </w:rPr>
              <w:t>Gain on receipt of life insurance policies</w:t>
            </w: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(611,330)</w:t>
            </w:r>
          </w:p>
        </w:tc>
        <w:tc>
          <w:tcPr>
            <w:tcW w:w="14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60" w:type="dxa"/>
            <w:vAlign w:val="bottom"/>
          </w:tcPr>
          <w:p>
            <w:pPr>
              <w:ind w:left="440"/>
              <w:spacing w:after="0"/>
              <w:rPr>
                <w:sz w:val="20"/>
                <w:szCs w:val="20"/>
                <w:color w:val="auto"/>
              </w:rPr>
            </w:pPr>
            <w:r>
              <w:rPr>
                <w:rFonts w:ascii="Arial" w:cs="Arial" w:eastAsia="Arial" w:hAnsi="Arial"/>
                <w:sz w:val="18"/>
                <w:szCs w:val="18"/>
                <w:color w:val="auto"/>
              </w:rPr>
              <w:t>Gain on forgiveness of debt</w:t>
            </w:r>
          </w:p>
        </w:tc>
        <w:tc>
          <w:tcPr>
            <w:tcW w:w="2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(2,187,140)</w:t>
            </w:r>
          </w:p>
        </w:tc>
      </w:tr>
      <w:tr>
        <w:trPr>
          <w:trHeight w:val="230"/>
        </w:trPr>
        <w:tc>
          <w:tcPr>
            <w:tcW w:w="7360" w:type="dxa"/>
            <w:vAlign w:val="bottom"/>
            <w:shd w:val="clear" w:color="auto" w:fill="BFE4FF"/>
          </w:tcPr>
          <w:p>
            <w:pPr>
              <w:ind w:left="440"/>
              <w:spacing w:after="0"/>
              <w:rPr>
                <w:sz w:val="20"/>
                <w:szCs w:val="20"/>
                <w:color w:val="auto"/>
              </w:rPr>
            </w:pPr>
            <w:r>
              <w:rPr>
                <w:rFonts w:ascii="Arial" w:cs="Arial" w:eastAsia="Arial" w:hAnsi="Arial"/>
                <w:sz w:val="18"/>
                <w:szCs w:val="18"/>
                <w:color w:val="auto"/>
              </w:rPr>
              <w:t>Net changes in assets and liabilities affecting operating activities:</w:t>
            </w: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080" w:type="dxa"/>
            <w:vAlign w:val="bottom"/>
            <w:shd w:val="clear" w:color="auto" w:fill="BFE4FF"/>
          </w:tcPr>
          <w:p>
            <w:pPr>
              <w:spacing w:after="0"/>
              <w:rPr>
                <w:sz w:val="19"/>
                <w:szCs w:val="19"/>
                <w:color w:val="auto"/>
              </w:rPr>
            </w:pPr>
          </w:p>
        </w:tc>
      </w:tr>
      <w:tr>
        <w:trPr>
          <w:trHeight w:val="229"/>
        </w:trPr>
        <w:tc>
          <w:tcPr>
            <w:tcW w:w="7360" w:type="dxa"/>
            <w:vAlign w:val="bottom"/>
          </w:tcPr>
          <w:p>
            <w:pPr>
              <w:ind w:left="66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(6,115,640)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5,500,367</w:t>
            </w:r>
          </w:p>
        </w:tc>
      </w:tr>
      <w:tr>
        <w:trPr>
          <w:trHeight w:val="229"/>
        </w:trPr>
        <w:tc>
          <w:tcPr>
            <w:tcW w:w="7360" w:type="dxa"/>
            <w:vAlign w:val="bottom"/>
            <w:shd w:val="clear" w:color="auto" w:fill="BFE4FF"/>
          </w:tcPr>
          <w:p>
            <w:pPr>
              <w:ind w:left="66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911,078</w:t>
            </w:r>
          </w:p>
        </w:tc>
        <w:tc>
          <w:tcPr>
            <w:tcW w:w="14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4,816,450</w:t>
            </w:r>
          </w:p>
        </w:tc>
      </w:tr>
      <w:tr>
        <w:trPr>
          <w:trHeight w:val="230"/>
        </w:trPr>
        <w:tc>
          <w:tcPr>
            <w:tcW w:w="7360" w:type="dxa"/>
            <w:vAlign w:val="bottom"/>
          </w:tcPr>
          <w:p>
            <w:pPr>
              <w:ind w:left="660"/>
              <w:spacing w:after="0"/>
              <w:rPr>
                <w:sz w:val="20"/>
                <w:szCs w:val="20"/>
                <w:color w:val="auto"/>
              </w:rPr>
            </w:pPr>
            <w:r>
              <w:rPr>
                <w:rFonts w:ascii="Arial" w:cs="Arial" w:eastAsia="Arial" w:hAnsi="Arial"/>
                <w:sz w:val="18"/>
                <w:szCs w:val="18"/>
                <w:color w:val="auto"/>
              </w:rPr>
              <w:t>Other current assets and other assets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689,260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(35,568)</w:t>
            </w:r>
          </w:p>
        </w:tc>
      </w:tr>
      <w:tr>
        <w:trPr>
          <w:trHeight w:val="229"/>
        </w:trPr>
        <w:tc>
          <w:tcPr>
            <w:tcW w:w="7360" w:type="dxa"/>
            <w:vAlign w:val="bottom"/>
            <w:shd w:val="clear" w:color="auto" w:fill="BFE4FF"/>
          </w:tcPr>
          <w:p>
            <w:pPr>
              <w:ind w:left="660"/>
              <w:spacing w:after="0"/>
              <w:rPr>
                <w:sz w:val="20"/>
                <w:szCs w:val="20"/>
                <w:color w:val="auto"/>
              </w:rPr>
            </w:pPr>
            <w:r>
              <w:rPr>
                <w:rFonts w:ascii="Arial" w:cs="Arial" w:eastAsia="Arial" w:hAnsi="Arial"/>
                <w:sz w:val="18"/>
                <w:szCs w:val="18"/>
                <w:color w:val="auto"/>
              </w:rPr>
              <w:t>Accounts payable and other current liabilities</w:t>
            </w: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14,536,076</w:t>
            </w:r>
          </w:p>
        </w:tc>
        <w:tc>
          <w:tcPr>
            <w:tcW w:w="14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(757,591)</w:t>
            </w:r>
          </w:p>
        </w:tc>
      </w:tr>
      <w:tr>
        <w:trPr>
          <w:trHeight w:val="230"/>
        </w:trPr>
        <w:tc>
          <w:tcPr>
            <w:tcW w:w="7360" w:type="dxa"/>
            <w:vAlign w:val="bottom"/>
            <w:tcBorders>
              <w:bottom w:val="single" w:sz="8" w:color="BFE4FF"/>
            </w:tcBorders>
          </w:tcPr>
          <w:p>
            <w:pPr>
              <w:ind w:left="66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419,659</w:t>
            </w:r>
          </w:p>
        </w:tc>
        <w:tc>
          <w:tcPr>
            <w:tcW w:w="140" w:type="dxa"/>
            <w:vAlign w:val="bottom"/>
            <w:tcBorders>
              <w:bottom w:val="single" w:sz="8" w:color="BFE4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(1,343,605)</w:t>
            </w:r>
          </w:p>
        </w:tc>
      </w:tr>
      <w:tr>
        <w:trPr>
          <w:trHeight w:val="223"/>
        </w:trPr>
        <w:tc>
          <w:tcPr>
            <w:tcW w:w="7360" w:type="dxa"/>
            <w:vAlign w:val="bottom"/>
            <w:shd w:val="clear" w:color="auto" w:fill="BFE4FF"/>
          </w:tcPr>
          <w:p>
            <w:pPr>
              <w:ind w:left="88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8,453,396</w:t>
            </w:r>
          </w:p>
        </w:tc>
        <w:tc>
          <w:tcPr>
            <w:tcW w:w="14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4,348,121</w:t>
            </w:r>
          </w:p>
        </w:tc>
      </w:tr>
      <w:tr>
        <w:trPr>
          <w:trHeight w:val="230"/>
        </w:trPr>
        <w:tc>
          <w:tcPr>
            <w:tcW w:w="7360" w:type="dxa"/>
            <w:vAlign w:val="bottom"/>
          </w:tcPr>
          <w:p>
            <w:pPr>
              <w:ind w:left="88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1,994,322</w:t>
            </w:r>
          </w:p>
        </w:tc>
      </w:tr>
      <w:tr>
        <w:trPr>
          <w:trHeight w:val="223"/>
        </w:trPr>
        <w:tc>
          <w:tcPr>
            <w:tcW w:w="7360" w:type="dxa"/>
            <w:vAlign w:val="bottom"/>
            <w:tcBorders>
              <w:top w:val="single" w:sz="8" w:color="BFE4FF"/>
            </w:tcBorders>
            <w:shd w:val="clear" w:color="auto" w:fill="BFE4FF"/>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bottom w:val="single" w:sz="8" w:color="auto"/>
            </w:tcBorders>
            <w:shd w:val="clear" w:color="auto" w:fill="BFE4FF"/>
          </w:tcPr>
          <w:p>
            <w:pPr>
              <w:spacing w:after="0"/>
              <w:rPr>
                <w:sz w:val="19"/>
                <w:szCs w:val="19"/>
                <w:color w:val="auto"/>
              </w:rPr>
            </w:pPr>
          </w:p>
        </w:tc>
        <w:tc>
          <w:tcPr>
            <w:tcW w:w="11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8,453,396</w:t>
            </w:r>
          </w:p>
        </w:tc>
        <w:tc>
          <w:tcPr>
            <w:tcW w:w="140" w:type="dxa"/>
            <w:vAlign w:val="bottom"/>
            <w:tcBorders>
              <w:top w:val="single" w:sz="8" w:color="BFE4FF"/>
            </w:tcBorders>
            <w:shd w:val="clear" w:color="auto" w:fill="BFE4FF"/>
          </w:tcPr>
          <w:p>
            <w:pPr>
              <w:spacing w:after="0"/>
              <w:rPr>
                <w:sz w:val="19"/>
                <w:szCs w:val="19"/>
                <w:color w:val="auto"/>
              </w:rPr>
            </w:pPr>
          </w:p>
        </w:tc>
        <w:tc>
          <w:tcPr>
            <w:tcW w:w="300" w:type="dxa"/>
            <w:vAlign w:val="bottom"/>
            <w:tcBorders>
              <w:top w:val="single" w:sz="8" w:color="auto"/>
              <w:bottom w:val="single" w:sz="8" w:color="auto"/>
            </w:tcBorders>
            <w:shd w:val="clear" w:color="auto" w:fill="BFE4FF"/>
          </w:tcPr>
          <w:p>
            <w:pPr>
              <w:spacing w:after="0"/>
              <w:rPr>
                <w:sz w:val="19"/>
                <w:szCs w:val="19"/>
                <w:color w:val="auto"/>
              </w:rPr>
            </w:pPr>
          </w:p>
        </w:tc>
        <w:tc>
          <w:tcPr>
            <w:tcW w:w="108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6,342,443</w:t>
            </w:r>
          </w:p>
        </w:tc>
      </w:tr>
      <w:tr>
        <w:trPr>
          <w:trHeight w:val="210"/>
        </w:trPr>
        <w:tc>
          <w:tcPr>
            <w:tcW w:w="736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7360" w:type="dxa"/>
            <w:vAlign w:val="bottom"/>
            <w:shd w:val="clear" w:color="auto" w:fill="BFE4FF"/>
          </w:tcPr>
          <w:p>
            <w:pPr>
              <w:ind w:left="220"/>
              <w:spacing w:after="0"/>
              <w:rPr>
                <w:sz w:val="20"/>
                <w:szCs w:val="20"/>
                <w:color w:val="auto"/>
              </w:rPr>
            </w:pPr>
            <w:r>
              <w:rPr>
                <w:rFonts w:ascii="Arial" w:cs="Arial" w:eastAsia="Arial" w:hAnsi="Arial"/>
                <w:sz w:val="18"/>
                <w:szCs w:val="18"/>
                <w:color w:val="auto"/>
              </w:rPr>
              <w:t>Additions to property and equipment</w:t>
            </w: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(102,148)</w:t>
            </w:r>
          </w:p>
        </w:tc>
        <w:tc>
          <w:tcPr>
            <w:tcW w:w="14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(103,532)</w:t>
            </w:r>
          </w:p>
        </w:tc>
      </w:tr>
      <w:tr>
        <w:trPr>
          <w:trHeight w:val="230"/>
        </w:trPr>
        <w:tc>
          <w:tcPr>
            <w:tcW w:w="7360" w:type="dxa"/>
            <w:vAlign w:val="bottom"/>
          </w:tcPr>
          <w:p>
            <w:pPr>
              <w:ind w:left="220"/>
              <w:spacing w:after="0"/>
              <w:rPr>
                <w:sz w:val="20"/>
                <w:szCs w:val="20"/>
                <w:color w:val="auto"/>
              </w:rPr>
            </w:pPr>
            <w:r>
              <w:rPr>
                <w:rFonts w:ascii="Arial" w:cs="Arial" w:eastAsia="Arial" w:hAnsi="Arial"/>
                <w:sz w:val="18"/>
                <w:szCs w:val="18"/>
                <w:color w:val="auto"/>
              </w:rPr>
              <w:t>Additions to intangible assets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(1,971,662)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(250,930)</w:t>
            </w:r>
          </w:p>
        </w:tc>
      </w:tr>
      <w:tr>
        <w:trPr>
          <w:trHeight w:val="229"/>
        </w:trPr>
        <w:tc>
          <w:tcPr>
            <w:tcW w:w="7360" w:type="dxa"/>
            <w:vAlign w:val="bottom"/>
            <w:shd w:val="clear" w:color="auto" w:fill="BFE4FF"/>
          </w:tcPr>
          <w:p>
            <w:pPr>
              <w:ind w:left="220"/>
              <w:spacing w:after="0"/>
              <w:rPr>
                <w:sz w:val="20"/>
                <w:szCs w:val="20"/>
                <w:color w:val="auto"/>
              </w:rPr>
            </w:pPr>
            <w:r>
              <w:rPr>
                <w:rFonts w:ascii="Arial" w:cs="Arial" w:eastAsia="Arial" w:hAnsi="Arial"/>
                <w:sz w:val="18"/>
                <w:szCs w:val="18"/>
                <w:color w:val="auto"/>
              </w:rPr>
              <w:t>Return of RediTrex</w:t>
            </w: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1,000,000</w:t>
            </w:r>
          </w:p>
        </w:tc>
        <w:tc>
          <w:tcPr>
            <w:tcW w:w="14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60" w:type="dxa"/>
            <w:vAlign w:val="bottom"/>
          </w:tcPr>
          <w:p>
            <w:pPr>
              <w:ind w:left="220"/>
              <w:spacing w:after="0"/>
              <w:rPr>
                <w:sz w:val="20"/>
                <w:szCs w:val="20"/>
                <w:color w:val="auto"/>
              </w:rPr>
            </w:pPr>
            <w:r>
              <w:rPr>
                <w:rFonts w:ascii="Arial" w:cs="Arial" w:eastAsia="Arial" w:hAnsi="Arial"/>
                <w:sz w:val="18"/>
                <w:szCs w:val="18"/>
                <w:color w:val="auto"/>
              </w:rPr>
              <w:t>Proceeds from surrender of life insurance policies</w:t>
            </w:r>
          </w:p>
        </w:tc>
        <w:tc>
          <w:tcPr>
            <w:tcW w:w="2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85,944</w:t>
            </w:r>
          </w:p>
        </w:tc>
      </w:tr>
      <w:tr>
        <w:trPr>
          <w:trHeight w:val="230"/>
        </w:trPr>
        <w:tc>
          <w:tcPr>
            <w:tcW w:w="7360" w:type="dxa"/>
            <w:vAlign w:val="bottom"/>
            <w:shd w:val="clear" w:color="auto" w:fill="BFE4FF"/>
          </w:tcPr>
          <w:p>
            <w:pPr>
              <w:ind w:left="220"/>
              <w:spacing w:after="0"/>
              <w:rPr>
                <w:sz w:val="20"/>
                <w:szCs w:val="20"/>
                <w:color w:val="auto"/>
              </w:rPr>
            </w:pPr>
            <w:r>
              <w:rPr>
                <w:rFonts w:ascii="Arial" w:cs="Arial" w:eastAsia="Arial" w:hAnsi="Arial"/>
                <w:sz w:val="18"/>
                <w:szCs w:val="18"/>
                <w:color w:val="auto"/>
              </w:rPr>
              <w:t>Premiums paid for life insurance policies</w:t>
            </w:r>
          </w:p>
        </w:tc>
        <w:tc>
          <w:tcPr>
            <w:tcW w:w="260" w:type="dxa"/>
            <w:vAlign w:val="bottom"/>
            <w:shd w:val="clear" w:color="auto" w:fill="BFE4FF"/>
          </w:tcPr>
          <w:p>
            <w:pPr>
              <w:spacing w:after="0"/>
              <w:rPr>
                <w:sz w:val="19"/>
                <w:szCs w:val="19"/>
                <w:color w:val="auto"/>
              </w:rPr>
            </w:pPr>
          </w:p>
        </w:tc>
        <w:tc>
          <w:tcPr>
            <w:tcW w:w="1260" w:type="dxa"/>
            <w:vAlign w:val="bottom"/>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(33,375)</w:t>
            </w:r>
          </w:p>
        </w:tc>
      </w:tr>
      <w:tr>
        <w:trPr>
          <w:trHeight w:val="230"/>
        </w:trPr>
        <w:tc>
          <w:tcPr>
            <w:tcW w:w="7360" w:type="dxa"/>
            <w:vAlign w:val="bottom"/>
          </w:tcPr>
          <w:p>
            <w:pPr>
              <w:ind w:left="220"/>
              <w:spacing w:after="0"/>
              <w:rPr>
                <w:sz w:val="20"/>
                <w:szCs w:val="20"/>
                <w:color w:val="auto"/>
              </w:rPr>
            </w:pPr>
            <w:r>
              <w:rPr>
                <w:rFonts w:ascii="Arial" w:cs="Arial" w:eastAsia="Arial" w:hAnsi="Arial"/>
                <w:sz w:val="18"/>
                <w:szCs w:val="18"/>
                <w:color w:val="auto"/>
              </w:rPr>
              <w:t>Life insurance policy proceeds received</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877,597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60" w:type="dxa"/>
            <w:vAlign w:val="bottom"/>
            <w:shd w:val="clear" w:color="auto" w:fill="BFE4FF"/>
          </w:tcPr>
          <w:p>
            <w:pPr>
              <w:ind w:left="220"/>
              <w:spacing w:after="0"/>
              <w:rPr>
                <w:sz w:val="20"/>
                <w:szCs w:val="20"/>
                <w:color w:val="auto"/>
              </w:rPr>
            </w:pPr>
            <w:r>
              <w:rPr>
                <w:rFonts w:ascii="Arial" w:cs="Arial" w:eastAsia="Arial" w:hAnsi="Arial"/>
                <w:sz w:val="18"/>
                <w:szCs w:val="18"/>
                <w:color w:val="auto"/>
              </w:rPr>
              <w:t>Settlement of patent litigation</w:t>
            </w:r>
          </w:p>
        </w:tc>
        <w:tc>
          <w:tcPr>
            <w:tcW w:w="26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21,757</w:t>
            </w:r>
          </w:p>
        </w:tc>
        <w:tc>
          <w:tcPr>
            <w:tcW w:w="14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60" w:type="dxa"/>
            <w:vAlign w:val="bottom"/>
          </w:tcPr>
          <w:p>
            <w:pPr>
              <w:ind w:left="220"/>
              <w:spacing w:after="0"/>
              <w:rPr>
                <w:sz w:val="20"/>
                <w:szCs w:val="20"/>
                <w:color w:val="auto"/>
              </w:rPr>
            </w:pPr>
            <w:r>
              <w:rPr>
                <w:rFonts w:ascii="Arial" w:cs="Arial" w:eastAsia="Arial" w:hAnsi="Arial"/>
                <w:sz w:val="18"/>
                <w:szCs w:val="18"/>
                <w:color w:val="auto"/>
              </w:rPr>
              <w:t>Cash paid for acquisition</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(13,500,000)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60" w:type="dxa"/>
            <w:vAlign w:val="bottom"/>
            <w:shd w:val="clear" w:color="auto" w:fill="BFE4FF"/>
          </w:tcPr>
          <w:p>
            <w:pPr>
              <w:ind w:left="220"/>
              <w:spacing w:after="0"/>
              <w:rPr>
                <w:sz w:val="20"/>
                <w:szCs w:val="20"/>
                <w:color w:val="auto"/>
              </w:rPr>
            </w:pPr>
            <w:r>
              <w:rPr>
                <w:rFonts w:ascii="Arial" w:cs="Arial" w:eastAsia="Arial" w:hAnsi="Arial"/>
                <w:sz w:val="18"/>
                <w:szCs w:val="18"/>
                <w:color w:val="auto"/>
              </w:rPr>
              <w:t>Note receivable investment funding</w:t>
            </w:r>
          </w:p>
        </w:tc>
        <w:tc>
          <w:tcPr>
            <w:tcW w:w="260" w:type="dxa"/>
            <w:vAlign w:val="bottom"/>
            <w:shd w:val="clear" w:color="auto" w:fill="BFE4FF"/>
          </w:tcPr>
          <w:p>
            <w:pPr>
              <w:spacing w:after="0"/>
              <w:rPr>
                <w:sz w:val="19"/>
                <w:szCs w:val="19"/>
                <w:color w:val="auto"/>
              </w:rPr>
            </w:pPr>
          </w:p>
        </w:tc>
        <w:tc>
          <w:tcPr>
            <w:tcW w:w="1260" w:type="dxa"/>
            <w:vAlign w:val="bottom"/>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(200,000)</w:t>
            </w:r>
          </w:p>
        </w:tc>
      </w:tr>
      <w:tr>
        <w:trPr>
          <w:trHeight w:val="224"/>
        </w:trPr>
        <w:tc>
          <w:tcPr>
            <w:tcW w:w="7360" w:type="dxa"/>
            <w:vAlign w:val="bottom"/>
          </w:tcPr>
          <w:p>
            <w:pPr>
              <w:ind w:left="8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(13,674,456)</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(501,893)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820" w:top="1323" w:right="819" w:bottom="1440" w:gutter="0" w:footer="0" w:header="0"/>
        </w:sectPr>
      </w:pPr>
    </w:p>
    <w:bookmarkStart w:id="90" w:name="page91"/>
    <w:bookmarkEnd w:id="90"/>
    <w:p>
      <w:pPr>
        <w:jc w:val="center"/>
        <w:ind w:left="820" w:right="2440"/>
        <w:spacing w:after="0" w:line="351" w:lineRule="auto"/>
        <w:rPr>
          <w:sz w:val="20"/>
          <w:szCs w:val="20"/>
          <w:color w:val="auto"/>
        </w:rPr>
      </w:pPr>
      <w:r>
        <w:rPr>
          <w:rFonts w:ascii="Arial" w:cs="Arial" w:eastAsia="Arial" w:hAnsi="Arial"/>
          <w:sz w:val="18"/>
          <w:szCs w:val="18"/>
          <w:b w:val="1"/>
          <w:bCs w:val="1"/>
          <w:color w:val="auto"/>
        </w:rPr>
        <w:t xml:space="preserve">CUMBERLAND PHARMACEUTICALS INC. AND SUBSIDIARIES </w:t>
      </w:r>
      <w:r>
        <w:rPr>
          <w:rFonts w:ascii="Arial" w:cs="Arial" w:eastAsia="Arial" w:hAnsi="Arial"/>
          <w:sz w:val="18"/>
          <w:szCs w:val="18"/>
          <w:color w:val="auto"/>
        </w:rPr>
        <w:t>Consolidated Statements of Cash Flows Years ended December 31, 2022 and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43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tcPr>
          <w:p>
            <w:pPr>
              <w:ind w:left="220"/>
              <w:spacing w:after="0"/>
              <w:rPr>
                <w:sz w:val="20"/>
                <w:szCs w:val="20"/>
                <w:color w:val="auto"/>
              </w:rPr>
            </w:pPr>
            <w:r>
              <w:rPr>
                <w:rFonts w:ascii="Arial" w:cs="Arial" w:eastAsia="Arial" w:hAnsi="Arial"/>
                <w:sz w:val="18"/>
                <w:szCs w:val="18"/>
                <w:color w:val="auto"/>
              </w:rPr>
              <w:t>Borrowings on line of credit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52,900,000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59,000,000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on line of credit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(51,700,000)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60" w:type="dxa"/>
            <w:vAlign w:val="bottom"/>
          </w:tcPr>
          <w:p>
            <w:pPr>
              <w:ind w:left="220"/>
              <w:spacing w:after="0"/>
              <w:rPr>
                <w:sz w:val="20"/>
                <w:szCs w:val="20"/>
                <w:color w:val="auto"/>
              </w:rPr>
            </w:pPr>
            <w:r>
              <w:rPr>
                <w:rFonts w:ascii="Arial" w:cs="Arial" w:eastAsia="Arial" w:hAnsi="Arial"/>
                <w:sz w:val="18"/>
                <w:szCs w:val="18"/>
                <w:color w:val="auto"/>
              </w:rPr>
              <w:t>Payments made in connection with repurchase of common shares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(1,053,042)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(1,386,849)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settlement of contingent consideration</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(2,208,744)</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(2,166,681)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(2,061,786)</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(3,553,530)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(7,282,846)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2,287,020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27,040,816</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24,753,796</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year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19,757,970</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27,040,816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20" w:type="dxa"/>
            <w:vAlign w:val="bottom"/>
          </w:tcPr>
          <w:p>
            <w:pPr>
              <w:spacing w:after="0"/>
              <w:rPr>
                <w:sz w:val="24"/>
                <w:szCs w:val="24"/>
                <w:color w:val="auto"/>
              </w:rPr>
            </w:pPr>
          </w:p>
        </w:tc>
        <w:tc>
          <w:tcPr>
            <w:tcW w:w="7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paid during the year for:</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Interest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523,161</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63,978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unpaid invoices for intangible asset additions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(1,803,403)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tcPr>
          <w:p>
            <w:pPr>
              <w:ind w:left="220"/>
              <w:spacing w:after="0"/>
              <w:rPr>
                <w:sz w:val="20"/>
                <w:szCs w:val="20"/>
                <w:color w:val="auto"/>
              </w:rPr>
            </w:pPr>
            <w:r>
              <w:rPr>
                <w:rFonts w:ascii="Arial" w:cs="Arial" w:eastAsia="Arial" w:hAnsi="Arial"/>
                <w:sz w:val="18"/>
                <w:szCs w:val="18"/>
                <w:color w:val="auto"/>
              </w:rPr>
              <w:t>Change in unpaid invoices for offering costs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(94,689)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(90,512)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Recognition of operating lease assets and liabilities through adoption of ASC 842</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4,590,978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tcPr>
          <w:p>
            <w:pPr>
              <w:ind w:left="220"/>
              <w:spacing w:after="0"/>
              <w:rPr>
                <w:sz w:val="20"/>
                <w:szCs w:val="20"/>
                <w:color w:val="auto"/>
              </w:rPr>
            </w:pPr>
            <w:r>
              <w:rPr>
                <w:rFonts w:ascii="Arial" w:cs="Arial" w:eastAsia="Arial" w:hAnsi="Arial"/>
                <w:sz w:val="18"/>
                <w:szCs w:val="18"/>
                <w:color w:val="auto"/>
              </w:rPr>
              <w:t>RediTrex forgiveness of milestone payable</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(1,000,000)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Return of shares related to RediTrex</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800" w:top="1323" w:right="819" w:bottom="1440" w:gutter="0" w:footer="0" w:header="0"/>
        </w:sectPr>
      </w:pPr>
    </w:p>
    <w:bookmarkStart w:id="91" w:name="page92"/>
    <w:bookmarkEnd w:id="91"/>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Statements of Equity</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Years ended December 31, 2022 and 2021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456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w w:val="91"/>
              </w:rPr>
              <w:t>Cumberland Pharmaceuticals Inc. Shareholders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400" w:type="dxa"/>
            <w:vAlign w:val="bottom"/>
          </w:tcPr>
          <w:p>
            <w:pPr>
              <w:spacing w:after="0"/>
              <w:rPr>
                <w:sz w:val="21"/>
                <w:szCs w:val="21"/>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Common stock</w:t>
            </w:r>
          </w:p>
        </w:tc>
        <w:tc>
          <w:tcPr>
            <w:tcW w:w="9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Retained earnings</w:t>
            </w:r>
          </w:p>
        </w:tc>
        <w:tc>
          <w:tcPr>
            <w:tcW w:w="120" w:type="dxa"/>
            <w:vAlign w:val="bottom"/>
          </w:tcPr>
          <w:p>
            <w:pPr>
              <w:spacing w:after="0"/>
              <w:rPr>
                <w:sz w:val="21"/>
                <w:szCs w:val="21"/>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Non-controlling</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rPr>
              <w:t>Total equity</w:t>
            </w:r>
          </w:p>
        </w:tc>
        <w:tc>
          <w:tcPr>
            <w:tcW w:w="0" w:type="dxa"/>
            <w:vAlign w:val="bottom"/>
          </w:tcPr>
          <w:p>
            <w:pPr>
              <w:spacing w:after="0" w:line="20" w:lineRule="exact"/>
              <w:rPr>
                <w:sz w:val="1"/>
                <w:szCs w:val="1"/>
                <w:color w:val="auto"/>
              </w:rPr>
            </w:pPr>
          </w:p>
        </w:tc>
      </w:tr>
      <w:tr>
        <w:trPr>
          <w:trHeight w:val="213"/>
        </w:trPr>
        <w:tc>
          <w:tcPr>
            <w:tcW w:w="3400" w:type="dxa"/>
            <w:vAlign w:val="bottom"/>
          </w:tcPr>
          <w:p>
            <w:pPr>
              <w:spacing w:after="0"/>
              <w:rPr>
                <w:sz w:val="18"/>
                <w:szCs w:val="18"/>
                <w:color w:val="auto"/>
              </w:rPr>
            </w:pPr>
          </w:p>
        </w:tc>
        <w:tc>
          <w:tcPr>
            <w:tcW w:w="1560" w:type="dxa"/>
            <w:vAlign w:val="bottom"/>
            <w:gridSpan w:val="2"/>
          </w:tcPr>
          <w:p>
            <w:pPr>
              <w:ind w:left="500"/>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8"/>
                <w:szCs w:val="18"/>
                <w:color w:val="auto"/>
              </w:rPr>
            </w:pPr>
          </w:p>
        </w:tc>
        <w:tc>
          <w:tcPr>
            <w:tcW w:w="11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8"/>
                <w:szCs w:val="18"/>
                <w:color w:val="auto"/>
              </w:rPr>
            </w:pPr>
          </w:p>
        </w:tc>
        <w:tc>
          <w:tcPr>
            <w:tcW w:w="1440" w:type="dxa"/>
            <w:vAlign w:val="bottom"/>
            <w:gridSpan w:val="2"/>
          </w:tcPr>
          <w:p>
            <w:pPr>
              <w:ind w:left="320"/>
              <w:spacing w:after="0"/>
              <w:rPr>
                <w:sz w:val="20"/>
                <w:szCs w:val="20"/>
                <w:color w:val="auto"/>
              </w:rPr>
            </w:pPr>
            <w:r>
              <w:rPr>
                <w:rFonts w:ascii="Arial" w:cs="Arial" w:eastAsia="Arial" w:hAnsi="Arial"/>
                <w:sz w:val="16"/>
                <w:szCs w:val="16"/>
                <w:b w:val="1"/>
                <w:bCs w:val="1"/>
                <w:color w:val="auto"/>
              </w:rPr>
              <w:t>interest</w:t>
            </w: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40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14,988,429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49,121,523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(2,131,013)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(117,116)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46,873,394</w:t>
            </w:r>
          </w:p>
        </w:tc>
        <w:tc>
          <w:tcPr>
            <w:tcW w:w="0" w:type="dxa"/>
            <w:vAlign w:val="bottom"/>
          </w:tcPr>
          <w:p>
            <w:pPr>
              <w:spacing w:after="0"/>
              <w:rPr>
                <w:sz w:val="1"/>
                <w:szCs w:val="1"/>
                <w:color w:val="auto"/>
              </w:rPr>
            </w:pPr>
          </w:p>
        </w:tc>
      </w:tr>
      <w:tr>
        <w:trPr>
          <w:trHeight w:val="229"/>
        </w:trPr>
        <w:tc>
          <w:tcPr>
            <w:tcW w:w="340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(3,507,587)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(95,212)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(3,602,799)</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192,684</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741,867</w:t>
            </w:r>
          </w:p>
        </w:tc>
        <w:tc>
          <w:tcPr>
            <w:tcW w:w="0" w:type="dxa"/>
            <w:vAlign w:val="bottom"/>
          </w:tcPr>
          <w:p>
            <w:pPr>
              <w:spacing w:after="0"/>
              <w:rPr>
                <w:sz w:val="1"/>
                <w:szCs w:val="1"/>
                <w:color w:val="auto"/>
              </w:rPr>
            </w:pPr>
          </w:p>
        </w:tc>
      </w:tr>
      <w:tr>
        <w:trPr>
          <w:trHeight w:val="229"/>
        </w:trPr>
        <w:tc>
          <w:tcPr>
            <w:tcW w:w="3400" w:type="dxa"/>
            <w:vAlign w:val="bottom"/>
          </w:tcPr>
          <w:p>
            <w:pPr>
              <w:ind w:left="240"/>
              <w:spacing w:after="0"/>
              <w:rPr>
                <w:sz w:val="20"/>
                <w:szCs w:val="20"/>
                <w:color w:val="auto"/>
              </w:rPr>
            </w:pPr>
            <w:r>
              <w:rPr>
                <w:rFonts w:ascii="Arial" w:cs="Arial" w:eastAsia="Arial" w:hAnsi="Arial"/>
                <w:sz w:val="18"/>
                <w:szCs w:val="18"/>
                <w:color w:val="auto"/>
              </w:rPr>
              <w:t>Repurchase of 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(438,359)</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(1,410,484)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(1,410,484)</w:t>
            </w:r>
          </w:p>
        </w:tc>
        <w:tc>
          <w:tcPr>
            <w:tcW w:w="0" w:type="dxa"/>
            <w:vAlign w:val="bottom"/>
          </w:tcPr>
          <w:p>
            <w:pPr>
              <w:spacing w:after="0"/>
              <w:rPr>
                <w:sz w:val="1"/>
                <w:szCs w:val="1"/>
                <w:color w:val="auto"/>
              </w:rPr>
            </w:pPr>
          </w:p>
        </w:tc>
      </w:tr>
      <w:tr>
        <w:trPr>
          <w:trHeight w:val="248"/>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2021</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14,742,754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48,452,906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(5,638,600)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(212,328)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42,601,978</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vMerge w:val="restart"/>
          </w:tcPr>
          <w:p>
            <w:pPr>
              <w:ind w:left="240"/>
              <w:spacing w:after="0"/>
              <w:rPr>
                <w:sz w:val="20"/>
                <w:szCs w:val="20"/>
                <w:color w:val="auto"/>
              </w:rPr>
            </w:pPr>
            <w:r>
              <w:rPr>
                <w:rFonts w:ascii="Arial" w:cs="Arial" w:eastAsia="Arial" w:hAnsi="Arial"/>
                <w:sz w:val="18"/>
                <w:szCs w:val="18"/>
                <w:color w:val="auto"/>
              </w:rPr>
              <w:t>Net income (loss)</w:t>
            </w:r>
          </w:p>
        </w:tc>
        <w:tc>
          <w:tcPr>
            <w:tcW w:w="1560" w:type="dxa"/>
            <w:vAlign w:val="bottom"/>
            <w:tcBorders>
              <w:top w:val="single" w:sz="8" w:color="CCEEFF"/>
            </w:tcBorders>
            <w:gridSpan w:val="2"/>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tcBorders>
              <w:top w:val="single" w:sz="8" w:color="CCEEFF"/>
            </w:tcBorders>
            <w:vMerge w:val="continue"/>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460" w:type="dxa"/>
            <w:vAlign w:val="bottom"/>
            <w:tcBorders>
              <w:top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72"/>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(5,570,241)</w:t>
            </w:r>
          </w:p>
        </w:tc>
        <w:tc>
          <w:tcPr>
            <w:tcW w:w="140" w:type="dxa"/>
            <w:vAlign w:val="bottom"/>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(79,798)</w:t>
            </w:r>
          </w:p>
        </w:tc>
        <w:tc>
          <w:tcPr>
            <w:tcW w:w="140" w:type="dxa"/>
            <w:vAlign w:val="bottom"/>
          </w:tcPr>
          <w:p>
            <w:pPr>
              <w:spacing w:after="0"/>
              <w:rPr>
                <w:sz w:val="17"/>
                <w:szCs w:val="17"/>
                <w:color w:val="auto"/>
              </w:rPr>
            </w:pPr>
          </w:p>
        </w:tc>
        <w:tc>
          <w:tcPr>
            <w:tcW w:w="200" w:type="dxa"/>
            <w:vAlign w:val="bottom"/>
            <w:tcBorders>
              <w:top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(5,650,039)</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Return of common stock - Methotrexate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(399,600)</w:t>
            </w:r>
          </w:p>
        </w:tc>
        <w:tc>
          <w:tcPr>
            <w:tcW w:w="0" w:type="dxa"/>
            <w:vAlign w:val="bottom"/>
          </w:tcPr>
          <w:p>
            <w:pPr>
              <w:spacing w:after="0"/>
              <w:rPr>
                <w:sz w:val="1"/>
                <w:szCs w:val="1"/>
                <w:color w:val="auto"/>
              </w:rPr>
            </w:pPr>
          </w:p>
        </w:tc>
      </w:tr>
      <w:tr>
        <w:trPr>
          <w:trHeight w:val="230"/>
        </w:trPr>
        <w:tc>
          <w:tcPr>
            <w:tcW w:w="340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1420" w:type="dxa"/>
            <w:vAlign w:val="bottom"/>
          </w:tcPr>
          <w:p>
            <w:pPr>
              <w:jc w:val="right"/>
              <w:spacing w:after="0"/>
              <w:rPr>
                <w:sz w:val="20"/>
                <w:szCs w:val="20"/>
                <w:color w:val="auto"/>
              </w:rPr>
            </w:pPr>
            <w:r>
              <w:rPr>
                <w:rFonts w:ascii="Arial" w:cs="Arial" w:eastAsia="Arial" w:hAnsi="Arial"/>
                <w:sz w:val="18"/>
                <w:szCs w:val="18"/>
                <w:color w:val="auto"/>
              </w:rPr>
              <w:t>171,655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447,503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447,503</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Repurchase of common shares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(367,793)</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(1,025,836)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(1,025,836)</w:t>
            </w: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2022</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14,366,616</w:t>
            </w: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47,474,973</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(11,208,841)</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(292,126)</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35,974,006</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440" w:right="399" w:bottom="1440" w:gutter="0" w:footer="0" w:header="0"/>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Cumberland Pharmaceuticals Inc. (“Cumberland,” the “Company,” or as used in the context of “we,” “us,” or “our”) is a specialty pharmaceutical company focused on the acquisition, development and commercialization of branded prescription products. The Company's primary target markets are hospital acute care, gastroenterology and oncology. These medical specialties are characterized by relatively concentrated prescriber bases that the Company believes can be penetrated effectively by small, targeted sales forces. Cumberland is dedicated to providing innovative products that improve quality of care for patients and address unmet or poorly met medical needs. The Company promotes its approved products through its hospital, field and oncology sales forces in the United States and is establishing a network of international partners to bring its medicines to patients in their countries.</w:t>
      </w:r>
    </w:p>
    <w:p>
      <w:pPr>
        <w:spacing w:after="0" w:line="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Cumberland focuses its resources on maximizing the commercial potential of its products, as well as developing new product candidates, and has both internal development and commercial capabilities. The Company’s products are manufactured by third parties, which are overseen by Cumberland’s quality and manufacturing professionals. The Company works closely with its third-party distribution partners to make its products available in the United States.</w:t>
      </w:r>
    </w:p>
    <w:p>
      <w:pPr>
        <w:spacing w:after="0" w:line="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order to build a pipeline of early-stage product candidates, the Company formed a subsidiary, Cumberland Emerging Technologies, Inc. ("CET"), which teams with universities and other research organizations to help advance scientific discoveries from the laboratory to the marketplace. In 2014, the Company organized equity financing to recapitalize and strengthen the financial position of CET including an investment of approximately $1.0 million from Gloria Pharmaceuticals Co., Ltd. (“Gloria”). As a result, Gloria received shares in CET and joined the CET ownership group.</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2019, CET entered into an agreement with HongKong WinHealth Pharma Group Co. Limited ("WinHealth") whereby WinHealth made a $1.0 million investment through the purchase of shares of CET stock. As part of the agreement, WinHealth obtained a Board position at CET and the first opportunity to license CET products for the Chinese market. In connection with WinHealth's investment in CET, Cumberland also made an additional $1.0 million investment in CET. Cumberland purchased additional CET shares through contribution of $0.3 million in cash and a conversion of $0.7 million in intercompany loans payable. Upon completion of the additional investment by WinHealth and Cumberland, Gloria Pharmaceuticals returned its shares in CET in exchange for $0.8 million that was funded during 2020.</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ownership in CET is now 85% while the remaining interest is owned by WinHealth, Vanderbilt University and the Tennessee Technology Development Corporation. The operating results of CET allocated to noncontrolling interests in the consolidated statements of operations were $79,798 and $95,212 for the years ended December 31, 2022 and 2021, respectively.</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Effective January 1, 2007, the Company formed a wholly-owned subsidiary, Cumberland Pharma Sales Corp. ("CPSC"). CPSC is the subsidiary that employs the Company's hospital and field sales force personnel.</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2017, the Company formed the Cumberland Pharma Foundation (the "Foundation") to serve as a vehicle to facilitate the ongoing philanthropic endeavors of Cumberland Pharmaceuticals Inc.</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Foundation was formed as a nonprofit corporation designed to qualify as a tax-exempt organization pursuant to Section 501(a) of the Internal Revenue Code. The Foundation’s Board of Directors is comprised of Cumberland Pharmaceuticals executives who are responsible for overseeing the Foundation’s ongoing activities including charitable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2018, Cumberland provided a grant of 50,000 shares of the Company's common stock to the Foundation. The shares will address the ongoing financial needs of the Foundation. The organization also plans to hold a portion of the shares for long-term appreciation. The Foundation maintains separate financial statements and its ongoing operations will not impact the financial statements of Cumberland Pharmaceuticals. Initial annual grants by the Foundation have been and are expected to remain consistent with the historic level of contributions made by Cumberland Pharmaceuticals. During 2019, Cumberland Pharmaceuticals committed approximately $50,000 in cash contributions that were paid to the Foundation during 2020. Likewise, during 2020, the Company committed approximately $25,000 in cash contributions paid to the Foundation during 2021. In 2022, the Company made a $25,000 cash contribution to the Foundation.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consolidated financial statements of the Company are stated in U.S. dollars and are prepared using U.S. generally accepted accounting principles. These financial statements include the accounts of the Company and its wholly and majority-owned subsidiaries. All significant intercompany transactions and accounts have been eliminated in consolidation.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early 2020, the U.S. declared a health care emergency following the outbreak of SARS-CoV-2, a novel strain of coronavirus that causes COVID-19, a respiratory illness. The Company has managed through the resulting COVID-19 pandemic, continuing to operate our business – keeping facilities open and our organization intact. We moved quickly to ensure the health and safety of our team. We also maintained our ongoing compliance with the many laws and regulations that apply to us as a publicly traded pharmaceutical company.</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Throughout the pandemic, Cumberland faced the same challenges affecting other companies that rely on hospital admissions and patient visits to drive revenue. Our business and our clinical studies were impacted, as fewer patients sought elective surgeries and our access to medical facilities was substantially limited. We carefully monitored our supply chain, including the flow of raw materials and the batches of finished products emerging from the facilities that manufacture our products.</w:t>
      </w:r>
    </w:p>
    <w:p>
      <w:pPr>
        <w:spacing w:after="0" w:line="11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Several of our brands were negatively impacted by the lockdowns and postponement of physician office visits and elective procedures. However, we are fortunate to have a diversified product portfolio that includes other brands that have delivered a strong performance during the pandemic. Overall, we have been able to continue the delivery of our products while addressing the interests of our shareholders, employees, partners and community.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requires management of the Company to make estimates and assumptions that affect the reported amounts of assets and liabilities and disclosure of contingent liabilities at the date of the consolidated financial statements and the reported amounts of revenues and expenses during the period. Actual results could differ from those estimates under different assumptions and conditions. The Company's most significant estimates include: (1) its allowances for chargebacks and accruals for rebates and product returns (2) the allowances for obsolescent or unmarketable inventory and (3) valuation of contingent consideration liability associated with business combinations.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one operating segment which is specialty pharmaceutical products. Management has chosen to organize the Company based on the type of products sold. Operating segments are identified as components of an enterprise about which separate discrete financial information is evaluated by the chief operating decision maker, or decision-making group, in making decisions regarding resource allocation and assessing performance. The Company, which uses consolidated financial information in determining how to allocate resources and assess performance, evaluated that our specialty pharmaceutical products compete in similar economic markets and similar circumstances. Substantially all of the Company’s assets are located in the United States. Total revenues are primarily attributable to U.S. customers. Net revenues from customers outside the United States were approximately $1.5 million and $2.2 million for the years ended December 31, 2022 and 2021,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of financial assets and liabilities is the price the Company would receive to sell an asset or pay to transfer a liability in an orderly transaction with a market participant at the measurement date. The Company's fair value measurements follow the appropriate rules as well as the fair value hierarchy that prioritizes the information used to develop the measurements. It applies whenever other guidance requires (or permits) assets or liabilities to be measured at fair value and gives the highest priority to unadjusted quoted prices in active markets for identical assets or liabilities (Level 1 measurements) and the lowest priority to unobservable inputs (Level 3 measurements).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fair value hierarchy that prioritizes observable and unobservable inputs used to measure fair value into three broad levels is described below:</w:t>
      </w:r>
    </w:p>
    <w:p>
      <w:pPr>
        <w:spacing w:after="0" w:line="1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158" w:lineRule="exact"/>
        <w:rPr>
          <w:sz w:val="20"/>
          <w:szCs w:val="20"/>
          <w:color w:val="auto"/>
        </w:rPr>
      </w:pPr>
    </w:p>
    <w:p>
      <w:pPr>
        <w:ind w:left="1300"/>
        <w:spacing w:after="0" w:line="308" w:lineRule="auto"/>
        <w:rPr>
          <w:sz w:val="20"/>
          <w:szCs w:val="20"/>
          <w:color w:val="auto"/>
        </w:rPr>
      </w:pPr>
      <w:r>
        <w:rPr>
          <w:rFonts w:ascii="Arial" w:cs="Arial" w:eastAsia="Arial" w:hAnsi="Arial"/>
          <w:sz w:val="17"/>
          <w:szCs w:val="17"/>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policies and procedures to value instruments using the best and most relevant data available. The following section describes the valuation methodologies we use to measure different financial instruments at fair value on a recurring basis.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include cash and cash equivalents, accounts receivable, accounts payable, accrued liabilities, contingent consideration liability and a revolving line of credit. The carrying values for cash and cash equivalents, accounts receivable, accounts payable and accrued liabilities approximate their fair values due to their short-term nature. The revolving line of credit has a variable interest rate, which approximates the current market rate.</w:t>
      </w:r>
    </w:p>
    <w:p>
      <w:pPr>
        <w:spacing w:after="0" w:line="10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contingent consideration liability is a Level 3 fair value measurement that is updated on a recurring basis at each reporting period using a valuation model. Consistent with Level 3 fair value measurements, there are significant inputs to the valuation model that are unobservable.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include highly liquid investments with original maturities of three months or less. As of December 31, 2022 and 2021, cash equivalents consist primarily of money market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Trade accounts receivable are recorded at the invoiced amount. The Company records allowances for amounts that could become uncollectible in the future based on historical experience, as well as amounts related to chargebacks and cash discounts. The Company reviews each customer balance to assess collection status.</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majority of the Company’s products are distributed through independent pharmaceutical wholesalers. The allowances against accounts receivable for chargebacks and discounts are determined on a product-by-product basis, and established by management as the Company’s best estimate at the time of sale based on each product’s historical experience adjusted to reflect known changes in the factors that impact such allowances. These allowances are established based on the contractual terms with direct and indirect customers and analyses of historical levels of chargebacks and discounts. The allowances in accounts receivable for chargebacks and cash discounts were $0.6 million at December 31, 2022 and $0.3 million at December 31, 2021.</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organizations, such as managed care providers, pharmacy benefit management companies and government agencies, may receive rebates from the Company based on either negotiated contracts to carry the Company’s products or reimbursements for filled prescriptions. These entities are considered indirect customers of the Company. In conjunction with recognizing a sale to a wholesaler, revenues are reduced and accrued liabilities are increased by the Company’s estimate of the rebate that may be claimed. Cash discounts are reductions to invoiced amounts offered to customers for payment within a specified period of time from the date of the invoice.</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Inventories</w:t>
      </w:r>
    </w:p>
    <w:p>
      <w:pPr>
        <w:spacing w:after="0" w:line="1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Company works closely with third parties to manufacture and package finished goods for sale. Based on the customer relationship with the manufacturer or packager, the Company will either take title to finished goods at the time of shipment or at the time of arrival from the manufacturer. The Company then warehouses such goods until distribution and sale at third party facilities located in the U.S. and international locations. Periodic inventory counts are made by the warehouse teams and by the Company on a regular basis. In addition, the Company re-tests API inventory prior to use to confirm product expiration. Inventories are stated at the lower of cost or net realizable value with cost determined using the first-in, first-out method.</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continually evaluates inventories for potential losses due to expired, short-dated or slow-moving inventory by comparing sales history and sales projections to the inventory on hand. When evidence indicates the carrying value of a product may not be recoverable, a charge is recorded to reduce the inventory to its current net realizable value. The Company classifies the Vibativ inventories and ifetroban inventories that it does not expect to sell within one year as non-current inventories.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Prepaid and Other Current Assets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Prepaid and other current assets consist of deferred offering costs, prepaid insurance premiums, prepaid consulting services, deposits and annual fees paid to the U.S. Food and Drug Administration ("FDA"). The Company expenses all prepaid and other current asset amounts as used or over the period of benefit primarily on a straight-line basis, as applicable.</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2017, the Company filed its Shelf Registration on Form S-3 with the SEC associated with the sale of up to $100 million in corporate securities. The Shelf Registration was declared effective in January 2018. It also included an At the Market ("ATM") feature that allows the Company to sell common shares at market prices, along with an agreement with B. Riley FBR Inc. to support such a placement of shares. The Company filed an updated Form S-3 with the SEC in December 2020, which was declared effective in January 2021.</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27, 2021, the Company filed a related prospectus supplement in connection with the sale and issuance of shares having an aggregate gross sales price of up to $19 million. The Company amended the At the Market Sales Agreement on December 27, 2021, in order to allow the Company to continue using its ATM feature to sell shares at market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color w:val="auto"/>
        </w:rPr>
        <w:t>The Company intends to continue an ATM feature through B. Riley FBR, Inc. that would allow the Company to issue shares of its common stock.</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recorded deferred offering costs for payments directly related to the current Shelf Registration on Form S-3 that was completed during December 2021. These costs consist of legal and accounting fees that the Company has capitalized. Deferred costs associated with the Shelf Registration will be reclassified to additional paid in capital on a pro-rata basis as the Company completes sales of shares under the Shelf Registration. The Company did not issue any shares under this ATM during the year ended December 31, 2022.</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Property and equipment, including leasehold improvements, are stated at cost. Depreciation is recognized using the straight-line method over the estimated useful lives of the assets. Leasehold improvements are amortized over the shorter of the initial lease term plus renewal options, if reasonably assured, or the remaining useful life of the asset. Upon retirement or disposal of assets, any gain or loss is reflected as a component of operating income (loss) in the consolidated statement of operations. Improvements that extend an asset’s useful life are capitalized. Repairs and maintenance costs are expensed as incurred.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and Goodwill</w:t>
      </w:r>
    </w:p>
    <w:p>
      <w:pPr>
        <w:spacing w:after="0" w:line="13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intangible assets and goodwill consist of capitalized costs related to product and license rights, patents, trademarks and goodwill obtained in the Vibativ and Sancuso acquisitions. Goodwill is not amortized for financial reporting purposes, but is subject to impairment analysis at least annually.</w:t>
      </w:r>
    </w:p>
    <w:p>
      <w:pPr>
        <w:spacing w:after="0" w:line="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cost of acquiring product and license rights are capitalized at fair value at the date of acquisition for products that are approved by the FDA for commercial use. These costs are amortized ratably over the estimated economic life of the product. The economic life is estimated based upon several factors. This includes the term of the license agreement, the patent life or market exclusivity of the product and as well as management's expectations of continued involvement with the product and the assessment of future sales, the future periods under which the product will be sold and the profitability of the product. This estimate is evaluated on a regular basis during the amortization period and adjusted if appropriate. If there are any changes made to the useful life of the product and license rights, the costs associated with such a change, if any, will be capitalized and amortized over the revised useful life.</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Capitalized patent costs consist of outside legal costs associated with obtaining and protecting patents on products that have been approved for marketing by the FDA. If it becomes probable that a patent will not be issued or a patent has been declared invalid, related costs associated with the patent application are expensed at the time such determination is made. All costs associated with obtaining patents for products that have not been approved for marketing by the FDA are expensed as incurred.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is recognized ratably over the following periods:</w:t>
      </w:r>
    </w:p>
    <w:p>
      <w:pPr>
        <w:sectPr>
          <w:pgSz w:w="11900" w:h="16838" w:orient="portrait"/>
          <w:cols w:equalWidth="0" w:num="1">
            <w:col w:w="11240"/>
          </w:cols>
          <w:pgMar w:left="320" w:top="364" w:right="339" w:bottom="1440" w:gutter="0" w:footer="0" w:header="0"/>
        </w:sectPr>
      </w:pPr>
    </w:p>
    <w:p>
      <w:pPr>
        <w:spacing w:after="0" w:line="185"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Product rights</w:t>
      </w:r>
    </w:p>
    <w:p>
      <w:pPr>
        <w:spacing w:after="0" w:line="46"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License rights</w:t>
      </w:r>
    </w:p>
    <w:p>
      <w:pPr>
        <w:spacing w:after="0" w:line="4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Patents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Estimated economic life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Term of license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Life of patent</w:t>
      </w:r>
    </w:p>
    <w:p>
      <w:pPr>
        <w:spacing w:after="0" w:line="200" w:lineRule="exact"/>
        <w:rPr>
          <w:sz w:val="20"/>
          <w:szCs w:val="20"/>
          <w:color w:val="auto"/>
        </w:rPr>
      </w:pPr>
    </w:p>
    <w:p>
      <w:pPr>
        <w:sectPr>
          <w:pgSz w:w="11900" w:h="16838" w:orient="portrait"/>
          <w:cols w:equalWidth="0" w:num="2">
            <w:col w:w="5060" w:space="720"/>
            <w:col w:w="5460"/>
          </w:cols>
          <w:pgMar w:left="320" w:top="3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Long-lived assets, such as property and equipment, operating lease right-of-use assets and intangible assets subject to amortization, are reviewed for impairment whenever events or changes in circumstances indicate the carrying amount of an asset may not be recoverable. If events or circumstances arise that require a long-lived asset to be tested for potential impairment, the Company first compares undiscounted cash flows expected to be generated by the asset to its carrying value. If the carrying amount of the long-lived asset is not recoverable on an undiscounted cash flow basis, an impairment charge is recognized to the extent that the carrying value exceeds the fair value. Fair value is determined through various valuation techniques including quoted market prices, third-party independent appraisals and discounted cash flow models.</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Goodwill and other indefinite lived intangible assets that are not subject to amortization are tested at least annually for impairment. The impairment analysis for goodwill requires a comparison of fair value to the carrying value of the reporting unit. The Company's goodwill was acquired in November 2018 with the Vibativ acquisition and in January 2022 with the Sancuso acquisition. As a result, the Vibativ and Sancuso components of the Company are the reporting units evaluated for goodwill impairment. Cumberland determined the fair value of the reporting units through current and future estimated revenue and profitability of the product. The Company recorded no impairment charges during 2022 and 2021.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 Agreement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2020, Cumberland entered into an agreement with WinHealth Investment (Singapore) Ltd creating WHC Biopharmaceuticals, Pte. Ltd. The joint venture, as a limited liability company, will focus on acquiring, developing, registering, and commercializing development stage and commercial stage biopharmaceuticals for China, Hong Kong and other Asian markets. The agreement provides for initial investment from WinHealth in the form of a $0.2 million equity contribution and an initial investment from Cumberland in the form of $0.2 million convertible note. The joint venture will seek additional future capital from additional investors and has entered into exclusive option agreements to license intellectual property from both Cumberland Pharmaceuticals Inc. and Cumberland Emerging Technologies.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Product Revenue</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Revenues from product sales are recognized in the amount that reflects the consideration that we expect to receive for these goods. Depending upon the shipping terms of the transaction, the revenue is recognized at the point where the customer obtains control of the goods and we satisfy our performance obligation. This occurs upon either shipment of the product or arrival at its ship to destination. Payment terms typically range from 30 to 60 days from date of shipment. The Company’s net product revenue reflects the reduction from gross product revenue for estimated allowances for chargebacks, discounts and damaged goods, and reflects sales related accruals for rebates, coupons, product returns, and certain administrative and service fees. Significant judgments must be made in determining the transaction price for our sales of products related to these adjustments.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Rebates and Discounts</w:t>
      </w:r>
    </w:p>
    <w:p>
      <w:pPr>
        <w:spacing w:after="0" w:line="15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allowances against accounts receivable and accrued liabilities for chargebacks, discounts, service fees and expired product returns are determined on a product-by-product basis, and established by management as the Company’s best estimate at the time of sale based on each product’s historical experience adjusted to reflect known changes in the factors that impact such allowances. These allowances are established based on the contractual terms with direct and indirect customers and analyses of historical levels of chargebacks, discounts and returns of expired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organizations, such as managed care providers, pharmacy benefit management companies and government agencies, may receive rebates from the Company based on either negotiated contracts to carry the Company’s products or reimbursements for filled prescriptions. These entities are considered indirect customers of the Company. In conjunction with recognizing a sale to a wholesaler, sales revenues are reduced and accrued liabilities are increased by the Company’s estimate of the rebate that may be claimed.</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Returns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Consistent with industry practice, the Company maintains a return policy that allows customers to return product within a specified period prior to and subsequent to the expiration date. The Company’s estimate of the provision for returns is based upon historical experience, expiration date by product as well as any other factor expected to impact future returns. Any changes in the assumptions used to estimate the provision for returns are recognized in the period those assumptions are changed.</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Revenues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revenues primarily consist of income from grant funding programs, licensing agreements, leases and contract services. Revenue related to grants is recognized when all conditions related to such grants have been met. All other revenue is recognized when earned.</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Products Sold</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products sold consists principally of the cost to acquire each unit of product sold, including in-bound freight expense as well as any adjustment in the net realizable value of inventory acquired in acquisitions. Cost of products sold also includes expenses associated with the reduction in the net realizable value of slow-moving or expired product.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Selling and Marketing Expense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and marketing expense consists primarily of expenses relating to the advertising, promotion, distribution and sale of products, including royalty expense, salaries and related costs.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 Costs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Distribution costs are expensed as incurred and are included as a component of selling and marketing expenses in the consolidated statements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Distribution costs were as follows for the years ended December 31:</w:t>
      </w:r>
    </w:p>
    <w:p>
      <w:pPr>
        <w:spacing w:after="0" w:line="180" w:lineRule="exact"/>
        <w:rPr>
          <w:sz w:val="20"/>
          <w:szCs w:val="20"/>
          <w:color w:val="auto"/>
        </w:rPr>
      </w:pPr>
    </w:p>
    <w:p>
      <w:pPr>
        <w:ind w:left="8220"/>
        <w:spacing w:after="0"/>
        <w:tabs>
          <w:tab w:leader="none" w:pos="1006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17145</wp:posOffset>
            </wp:positionV>
            <wp:extent cx="22885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9" w:lineRule="exact"/>
        <w:rPr>
          <w:sz w:val="20"/>
          <w:szCs w:val="20"/>
          <w:color w:val="auto"/>
        </w:rPr>
      </w:pPr>
    </w:p>
    <w:p>
      <w:pPr>
        <w:ind w:left="100"/>
        <w:spacing w:after="0"/>
        <w:tabs>
          <w:tab w:leader="none" w:pos="7560" w:val="left"/>
          <w:tab w:leader="none" w:pos="8560" w:val="left"/>
          <w:tab w:leader="none" w:pos="9360" w:val="left"/>
          <w:tab w:leader="none" w:pos="10500" w:val="left"/>
        </w:tabs>
        <w:rPr>
          <w:sz w:val="20"/>
          <w:szCs w:val="20"/>
          <w:color w:val="auto"/>
        </w:rPr>
      </w:pPr>
      <w:r>
        <w:rPr>
          <w:rFonts w:ascii="Arial" w:cs="Arial" w:eastAsia="Arial" w:hAnsi="Arial"/>
          <w:sz w:val="18"/>
          <w:szCs w:val="18"/>
          <w:color w:val="auto"/>
        </w:rPr>
        <w:t>Distribution costs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857,842</w:t>
        <w:tab/>
        <w:t>$</w:t>
      </w:r>
      <w:r>
        <w:rPr>
          <w:sz w:val="20"/>
          <w:szCs w:val="20"/>
          <w:color w:val="auto"/>
        </w:rPr>
        <w:tab/>
      </w:r>
      <w:r>
        <w:rPr>
          <w:rFonts w:ascii="Arial" w:cs="Arial" w:eastAsia="Arial" w:hAnsi="Arial"/>
          <w:sz w:val="16"/>
          <w:szCs w:val="16"/>
          <w:color w:val="auto"/>
        </w:rPr>
        <w:t>806,311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-130175</wp:posOffset>
            </wp:positionV>
            <wp:extent cx="7046595" cy="179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2">
                      <a:extLst>
                        <a:ext uri="{28A0092B-C50C-407E-A947-70E740481C1C}"/>
                      </a:extLst>
                    </a:blip>
                    <a:srcRect/>
                    <a:stretch>
                      <a:fillRect/>
                    </a:stretch>
                  </pic:blipFill>
                  <pic:spPr bwMode="auto">
                    <a:xfrm>
                      <a:off x="0" y="0"/>
                      <a:ext cx="7046595" cy="179705"/>
                    </a:xfrm>
                    <a:prstGeom prst="rect">
                      <a:avLst/>
                    </a:prstGeom>
                    <a:noFill/>
                  </pic:spPr>
                </pic:pic>
              </a:graphicData>
            </a:graphic>
          </wp:anchor>
        </w:drawing>
      </w:r>
    </w:p>
    <w:p>
      <w:pPr>
        <w:spacing w:after="0" w:line="3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Advertising costs are expensed as incurred and are included as a component of selling and marketing expenses in the consolidated statements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were as follows for the years ended December 31:</w:t>
      </w:r>
    </w:p>
    <w:p>
      <w:pPr>
        <w:spacing w:after="0" w:line="180" w:lineRule="exact"/>
        <w:rPr>
          <w:sz w:val="20"/>
          <w:szCs w:val="20"/>
          <w:color w:val="auto"/>
        </w:rPr>
      </w:pPr>
    </w:p>
    <w:p>
      <w:pPr>
        <w:ind w:left="8220"/>
        <w:spacing w:after="0"/>
        <w:tabs>
          <w:tab w:leader="none" w:pos="1006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17145</wp:posOffset>
            </wp:positionV>
            <wp:extent cx="22885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9" w:lineRule="exact"/>
        <w:rPr>
          <w:sz w:val="20"/>
          <w:szCs w:val="20"/>
          <w:color w:val="auto"/>
        </w:rPr>
      </w:pPr>
    </w:p>
    <w:p>
      <w:pPr>
        <w:ind w:left="100"/>
        <w:spacing w:after="0"/>
        <w:tabs>
          <w:tab w:leader="none" w:pos="7560" w:val="left"/>
          <w:tab w:leader="none" w:pos="8420" w:val="left"/>
          <w:tab w:leader="none" w:pos="9360" w:val="left"/>
          <w:tab w:leader="none" w:pos="10360" w:val="left"/>
        </w:tabs>
        <w:rPr>
          <w:sz w:val="20"/>
          <w:szCs w:val="20"/>
          <w:color w:val="auto"/>
        </w:rPr>
      </w:pPr>
      <w:r>
        <w:rPr>
          <w:rFonts w:ascii="Arial" w:cs="Arial" w:eastAsia="Arial" w:hAnsi="Arial"/>
          <w:sz w:val="18"/>
          <w:szCs w:val="18"/>
          <w:color w:val="auto"/>
        </w:rPr>
        <w:t>Advertising costs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2,927,041</w:t>
        <w:tab/>
        <w:t>$</w:t>
      </w:r>
      <w:r>
        <w:rPr>
          <w:sz w:val="20"/>
          <w:szCs w:val="20"/>
          <w:color w:val="auto"/>
        </w:rPr>
        <w:tab/>
      </w:r>
      <w:r>
        <w:rPr>
          <w:rFonts w:ascii="Arial" w:cs="Arial" w:eastAsia="Arial" w:hAnsi="Arial"/>
          <w:sz w:val="16"/>
          <w:szCs w:val="16"/>
          <w:color w:val="auto"/>
        </w:rPr>
        <w:t>1,927,864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-130175</wp:posOffset>
            </wp:positionV>
            <wp:extent cx="7046595" cy="179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4">
                      <a:extLst>
                        <a:ext uri="{28A0092B-C50C-407E-A947-70E740481C1C}"/>
                      </a:extLst>
                    </a:blip>
                    <a:srcRect/>
                    <a:stretch>
                      <a:fillRect/>
                    </a:stretch>
                  </pic:blipFill>
                  <pic:spPr bwMode="auto">
                    <a:xfrm>
                      <a:off x="0" y="0"/>
                      <a:ext cx="7046595" cy="17970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costs are expensed in the period incurred. Research and development costs are comprised mainly of clinical trial expenses, salaries, wages and other related costs such as materials and supplies. Research and development expense includes activities performed by third-party providers participating in the Company’s clinical studies. The Company accounts for these costs based on estimates of work performed, patients enrolled or fixed fees for services over the period of time the clinical trials are performed.</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provides for deferred taxes using the asset and liability approach. Under this method, deferred tax assets and liabilities are recognized for future tax consequences attributable to operating loss and tax credit carryforwards, as well as differences between the carrying amounts of existing assets and liabilities and their respective tax bases. The Company’s principal differences are related to the timing of deductibility of certain items, such as inventory, depreciation, amortization and share-based compensation. Deferred tax assets and liabilities are measured using enacted statutory tax rates that are expected to apply to taxable income in the years such temporary differences are anticipated to be recovered or settled. The effect on deferred tax assets and liabilities of a change in tax rates is recognized in income in the period of enactment. The Company only recognizes income tax benefits associated with an income tax position in which it is “more likely than not” that the position would be sustained upon examination by the taxing authorities.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assessing the realizability of deferred tax assets, management considers whether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existing temporary differences, projected future taxable income and tax planning strategies in making this assessment.</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accounting policy with respect to interest and penalties arising from income tax settlements is to recognize them as part of the provision for income taxes.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earnings (loss) per share is calculated by dividing net income (loss) attributable to common shareholders by the weighted-average number of shares outstanding. Except where the result would be antidilutive to income from continuing operations, diluted earnings (loss) per share is calculated by assuming the vesting of unvested restricted stock and the exercise of stock options and warrants and unrecognized compensation costs.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compensation cost for all share-based payments issued, modified, repurchased or canceled. Depending on the nature of the vesting provisions, restricted stock awards are measured using either the fair value on the grant date or the fair value of common stock on the date the vesting provisions lapse. Prior to the lapse for those equity grants not valued on the grant date, the fair value is measured on the last day of the reporting period.</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Collaborative Agreements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is a party to several collaborative arrangements with research institutions to identify and pursue promising pharmaceutical product candidates. The funding for these programs is primarily provided through Federal Small Business Administration (SBIR/STTR) and other grant awards. The Company has determined that these collaborative agreements, with the exception of the collaborative payment discussed in Note 3 do not meet the criteria for accounting under ASC Topic 808, </w:t>
      </w:r>
      <w:r>
        <w:rPr>
          <w:rFonts w:ascii="Arial" w:cs="Arial" w:eastAsia="Arial" w:hAnsi="Arial"/>
          <w:sz w:val="18"/>
          <w:szCs w:val="18"/>
          <w:i w:val="1"/>
          <w:iCs w:val="1"/>
          <w:color w:val="auto"/>
        </w:rPr>
        <w:t>Collaborative Agreements</w:t>
      </w:r>
      <w:r>
        <w:rPr>
          <w:rFonts w:ascii="Arial" w:cs="Arial" w:eastAsia="Arial" w:hAnsi="Arial"/>
          <w:sz w:val="18"/>
          <w:szCs w:val="18"/>
          <w:color w:val="auto"/>
        </w:rPr>
        <w:t>. The agreements do not specifically designate each party’s rights and obligations to each other under the collaborative arrangements. Except for patent defense costs, expenses incurred by one party are not required to be reimbursed by the other party.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incurred under these collaborative agreements are included in research and development expenses and funding received from grants are recorded as net revenues in the consolidated statements of operations.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2022, Cumberland named Martin S. Brown Jr. to our Board of Directors. Mr. Brown is an attorney with over 30 years of corporate law experience who brings significant legal, public company, health care and civic experience to our board. The Company relies on several law firms for legal advice, including the firm Martin is affiliated. In 2022, the Company paid Martin's law firm $0.04 million.</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During May 2019, Cumberland entered into a Dissolution Agreement ("Dissolution Agreement") with Clinigen Healthcare Limited ("Clinigen") in which the Company returned the exclusive rights to commercialize Ethyol</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xml:space="preserve"> and Totect</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xml:space="preserve"> in the United States to Clinigen. Under the terms of the Dissolution Agreement, Cumberland is no longer involved directly or indirectly with the distribution, marketing and promotion of either Ethyol or Totect or any competing products following December 31, 2019. The Company's exit from the products meets the accounting criteria to be reported as discontinued operations and the discontinued operating results have been reclassified in the financial statements and footnotes for all periods presented to reflect the discontinued status of these products. Refer to Note 19, for additional information.</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Guidance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Adopted</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June 2016, the FASB issued ASU No. 2016-13, “Financial Instruments-Credit Losses,” which changes the impairment model for most financial assets and certain other instruments. For trade and other receivables, held-to-maturity debt securities, loans and other instruments, companies will be required to use a new forward-looking “expected loss” model that generally will result in the earlier recognition of allowances for losses. For available-for-sale debt securities with unrealized losses, companies will measure credit losses in a manner similar to what they do today, except that the losses will be recognized as allowances rather than as reductions in the amortized cost of the securities. Companies will have to disclose additional information, including information they use to track credit quality by year of origination for most financing receivables. Companies will apply the ASU’s provisions as a cumulative-effect adjustment, if any, to retained earnings as of the beginning of the first reporting period in which the guidance is adopted.</w:t>
      </w:r>
    </w:p>
    <w:p>
      <w:pPr>
        <w:spacing w:after="0" w:line="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Related to ASU No. 2016-13 discussed above, in May 2019, the FASB issued ASU 2019-05, "Financial Instruments-Credit Losses (Topic 326): Targeted Transition Relief" which provides transition relief for ASU 2016-13 by providing entities with an alternative to irrevocably electing the fair value option for eligible financial assets measured at amortized cost upon adoption of the new credit losses standard. Certain eligibility requirements must be met and the election must be applied on an instrument-by-instrument basis. The election is not available for either available-for-sale or held-to-maturity debt securities. The Company adopted both ASU 2016-13 and ASU 2019-05 on January 1, 2023. The adoption of ASU 2016-13 and ASU 2019-05 are not expected to have a material impact on the Company’s consolidated financial statements.</w:t>
      </w:r>
    </w:p>
    <w:p>
      <w:pPr>
        <w:spacing w:after="0" w:line="90" w:lineRule="exact"/>
        <w:rPr>
          <w:sz w:val="20"/>
          <w:szCs w:val="20"/>
          <w:color w:val="auto"/>
        </w:rPr>
      </w:pPr>
    </w:p>
    <w:p>
      <w:pPr>
        <w:ind w:left="400" w:hanging="392"/>
        <w:spacing w:after="0"/>
        <w:tabs>
          <w:tab w:leader="none" w:pos="4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RediTrex</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Vibativ</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and Sancuso</w:t>
      </w:r>
      <w:r>
        <w:rPr>
          <w:rFonts w:ascii="Arial" w:cs="Arial" w:eastAsia="Arial" w:hAnsi="Arial"/>
          <w:sz w:val="23"/>
          <w:szCs w:val="23"/>
          <w:b w:val="1"/>
          <w:bCs w:val="1"/>
          <w:color w:val="auto"/>
          <w:vertAlign w:val="superscript"/>
        </w:rPr>
        <w:t>®</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RediTrex</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2016, the Company announced an agreement with the Nordic Group B.V. ("Nordic") to acquire the exclusive U.S. rights to Nordic’s injectable methotrexate product line designed for the treatment of active rheumatoid arthritis, juvenile idiopathic arthritis, severe psoriatic arthritis, and severe disabling psoriasis.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consideration for the license Cumberland paid a deposit of $0.1 million at closing. The Company provided $0.9 million in consideration through a grant of 180,000 restricted shares of Cumberland common stock to be vested upon the FDA approval of the first Nordic product. Cumberland also agreed to provide Nordic a series of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tied to the products’ FDA approval, launch and achievement of certain sales milestones. Under the terms of the agreement, Cumberland is responsible for the product registration and commercialization in the U.S. Nordic is responsible for product manufacturing and supply.</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27, 2019, Cumberland received FDA approval for the first Nordic injectable product and authorization to market them under the RediTrex brand name. The 180,000 shares of restricted Cumberland common stock previously provided to Nordic vested upon approval and were valued at $0.9 million on the vesting date. The FDA approval also resulted in a $1.0 million milestone payment due to Nordic. This milestone payment was paid in July 2020. During December 2020, Cumberland began distributing RediTrex which also resulted in a $1.0 million milestone payment due to Nordic. The full launch of RediTrex occurred in October 2021.</w:t>
      </w:r>
    </w:p>
    <w:p>
      <w:pPr>
        <w:spacing w:after="0" w:line="120"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Effective July 12, 2022, the Company entered into an amendment to our agreement with Nordic whereby they may assume responsibility for RediTrex marketing authorization in the U.S. and the opportunity to commercialize the product in the U.S. after June 30, 2023. Cumberland will continue to</w:t>
      </w:r>
    </w:p>
    <w:p>
      <w:pPr>
        <w:jc w:val="both"/>
        <w:spacing w:after="0" w:line="257" w:lineRule="auto"/>
        <w:rPr>
          <w:sz w:val="20"/>
          <w:szCs w:val="20"/>
          <w:color w:val="auto"/>
        </w:rPr>
      </w:pPr>
      <w:r>
        <w:rPr>
          <w:rFonts w:ascii="Arial" w:cs="Arial" w:eastAsia="Arial" w:hAnsi="Arial"/>
          <w:sz w:val="18"/>
          <w:szCs w:val="18"/>
          <w:color w:val="auto"/>
        </w:rPr>
        <w:t>distribute and support the product until then. In accordance with the terms of the amendment, Nordic has agreed to return the 180,000 restricted Cumberland shares we previously issued to Nordic which will be cancelled, refund to Cumberland the milestone payment of $1.0 million we made associated with the brand's U.S. approval and issue a credit note in favor of the Company in the amount of $1.0 million for the unpaid milestone payment due from us for launch of the product line. The companies will cooperate on any transition and Cumberland will receive a long-term royalty on any Nordic sales of the product.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Cumberland had approximately $2.6 million in net intangible assets related to RediTrex at December 31,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Vibativ</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November 2018, the Company closed on an agreement with Theravance Biopharma ("Theravance") to acquire the global responsibility for Vibativ including the marketing, distribution, manufacturing and regulatory activities associated with the brand. 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Cumberland acquired Vibativ to further add to its product offerings, increase its net revenue and positively contribute to the Company's operating results. Cumberland expects to deduct the goodwill acquired in the acquisition for tax purposes.</w:t>
      </w:r>
    </w:p>
    <w:p>
      <w:pPr>
        <w:spacing w:after="0" w:line="11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addition, Cumberland agreed to pay a royalty of up to 20% on future net sales of the product after a $2.5 million threshold is met. The future royalty payments were required to be recognized at their acquisition-date fair value as part of the contingent consideration transferred in the business combination.</w:t>
      </w:r>
    </w:p>
    <w:p>
      <w:pPr>
        <w:spacing w:after="0" w:line="4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presents the changes in the Company's Level 3 contingent consideration liability. The contingent consideration earned and accrued in operating expenses is paid to the seller quarterly.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2" w:name="page103"/>
    <w:bookmarkEnd w:id="102"/>
    <w:p>
      <w:pPr>
        <w:jc w:val="center"/>
        <w:ind w:left="2940"/>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payment of royalty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fair value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Contingent consideration earned and accrued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2021</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payment of royalty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fair value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Contingent consideration earned and accrued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Contingent consideration</w:t>
      </w:r>
    </w:p>
    <w:p>
      <w:pPr>
        <w:jc w:val="center"/>
        <w:spacing w:after="0"/>
        <w:rPr>
          <w:sz w:val="20"/>
          <w:szCs w:val="20"/>
          <w:color w:val="auto"/>
        </w:rPr>
      </w:pPr>
      <w:r>
        <w:rPr>
          <w:rFonts w:ascii="Arial" w:cs="Arial" w:eastAsia="Arial" w:hAnsi="Arial"/>
          <w:sz w:val="18"/>
          <w:szCs w:val="18"/>
          <w:b w:val="1"/>
          <w:bCs w:val="1"/>
          <w:color w:val="auto"/>
        </w:rPr>
        <w:t>liability</w:t>
      </w:r>
    </w:p>
    <w:p>
      <w:pPr>
        <w:spacing w:after="0" w:line="34" w:lineRule="exact"/>
        <w:rPr>
          <w:sz w:val="20"/>
          <w:szCs w:val="20"/>
          <w:color w:val="auto"/>
        </w:rPr>
      </w:pPr>
    </w:p>
    <w:p>
      <w:pPr>
        <w:spacing w:after="0"/>
        <w:tabs>
          <w:tab w:leader="none" w:pos="16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8,200,553</w:t>
      </w:r>
    </w:p>
    <w:p>
      <w:pPr>
        <w:spacing w:after="0" w:line="35"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(2,166,682)</w:t>
      </w:r>
    </w:p>
    <w:p>
      <w:pPr>
        <w:spacing w:after="0" w:line="46"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(1,147,750)</w:t>
      </w:r>
    </w:p>
    <w:p>
      <w:pPr>
        <w:spacing w:after="0" w:line="4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1,629,506</w:t>
      </w:r>
    </w:p>
    <w:p>
      <w:pPr>
        <w:spacing w:after="0" w:line="47" w:lineRule="exact"/>
        <w:rPr>
          <w:sz w:val="20"/>
          <w:szCs w:val="20"/>
          <w:color w:val="auto"/>
        </w:rPr>
      </w:pPr>
    </w:p>
    <w:p>
      <w:pPr>
        <w:spacing w:after="0"/>
        <w:tabs>
          <w:tab w:leader="none" w:pos="16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6,515,627</w:t>
      </w:r>
    </w:p>
    <w:p>
      <w:pPr>
        <w:spacing w:after="0" w:line="35"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(1,133,113)</w:t>
      </w:r>
    </w:p>
    <w:p>
      <w:pPr>
        <w:spacing w:after="0" w:line="46"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(2,104,690)</w:t>
      </w:r>
    </w:p>
    <w:p>
      <w:pPr>
        <w:spacing w:after="0" w:line="46"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876,999</w:t>
      </w:r>
    </w:p>
    <w:p>
      <w:pPr>
        <w:spacing w:after="0" w:line="47" w:lineRule="exact"/>
        <w:rPr>
          <w:sz w:val="20"/>
          <w:szCs w:val="20"/>
          <w:color w:val="auto"/>
        </w:rPr>
      </w:pPr>
    </w:p>
    <w:p>
      <w:pPr>
        <w:spacing w:after="0"/>
        <w:tabs>
          <w:tab w:leader="none" w:pos="16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4,154,823</w:t>
      </w:r>
    </w:p>
    <w:p>
      <w:pPr>
        <w:spacing w:after="0" w:line="200" w:lineRule="exact"/>
        <w:rPr>
          <w:sz w:val="20"/>
          <w:szCs w:val="20"/>
          <w:color w:val="auto"/>
        </w:rPr>
      </w:pPr>
    </w:p>
    <w:p>
      <w:pPr>
        <w:sectPr>
          <w:pgSz w:w="11900" w:h="16838" w:orient="portrait"/>
          <w:cols w:equalWidth="0" w:num="2">
            <w:col w:w="8320" w:space="500"/>
            <w:col w:w="2420"/>
          </w:cols>
          <w:pgMar w:left="320" w:top="364" w:right="339" w:bottom="1440" w:gutter="0" w:footer="0" w:header="0"/>
        </w:sectPr>
      </w:pPr>
    </w:p>
    <w:p>
      <w:pPr>
        <w:spacing w:after="0" w:line="50" w:lineRule="exact"/>
        <w:rPr>
          <w:sz w:val="20"/>
          <w:szCs w:val="20"/>
          <w:color w:val="auto"/>
        </w:rPr>
      </w:pPr>
    </w:p>
    <w:p>
      <w:pPr>
        <w:ind w:right="820"/>
        <w:spacing w:after="0" w:line="414" w:lineRule="auto"/>
        <w:rPr>
          <w:sz w:val="20"/>
          <w:szCs w:val="20"/>
          <w:color w:val="auto"/>
        </w:rPr>
      </w:pPr>
      <w:r>
        <w:rPr>
          <w:rFonts w:ascii="Arial" w:cs="Arial" w:eastAsia="Arial" w:hAnsi="Arial"/>
          <w:sz w:val="18"/>
          <w:szCs w:val="18"/>
          <w:color w:val="auto"/>
        </w:rPr>
        <w:t xml:space="preserve">The current portion of the contingent consideration liability is $1.3 million and the non-current portion is $2.8 million, as of December 31, 2022. </w:t>
      </w:r>
      <w:r>
        <w:rPr>
          <w:rFonts w:ascii="Arial" w:cs="Arial" w:eastAsia="Arial" w:hAnsi="Arial"/>
          <w:sz w:val="18"/>
          <w:szCs w:val="18"/>
          <w:i w:val="1"/>
          <w:iCs w:val="1"/>
          <w:color w:val="auto"/>
        </w:rPr>
        <w:t>Sancuso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On January 3, 2022, Cumberland acquired the U.S. rights to the FDA-approved oncology-supportive care medicine Sancuso from Kyowa Kirin,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("Kyowa Kirin"), the U.S. affiliate of Japan-based Kyowa Kirin Co., Ltd.</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Sancuso is the first and only FDA-approved prescription patch for the prevention of nausea and vomiting in patients receiving certain types of chemotherapy treatment.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Cumberland acquired U.S. rights to Sancuso and assumed full commercial responsibility for the product in the U.S. – including its marketing, promotion, distribution, manufacturing and medical support activities.</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Cumberland has accounted for the transaction as a business combination in accordance with ASC 805 and the product sales are included in the results of operations subsequent to the acquisition date. The Company made an upfront payment of $13.5 million at the closing of the transaction. The Agreement calls for milestone payments of up to $3.5 million based on the attainment of various approvals and sales performance. The Company believes that $1.5 million of the milestone payments will be earned and paid. The remaining milestone of $2.0 million will be paid if and when annual net revenue exceeds $20 million.</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In addition, Cumberland has agreed to pay a royalty of up to 10% of on-going net sales of the product. The future royalty payments were required to be recognized at their acquisition-date fair value as a contingent consideration liability, as part of the contingent consideration transferred in the business</w:t>
      </w:r>
    </w:p>
    <w:p>
      <w:pPr>
        <w:jc w:val="both"/>
        <w:spacing w:after="0" w:line="277" w:lineRule="auto"/>
        <w:rPr>
          <w:sz w:val="20"/>
          <w:szCs w:val="20"/>
          <w:color w:val="auto"/>
        </w:rPr>
      </w:pPr>
      <w:r>
        <w:rPr>
          <w:rFonts w:ascii="Arial" w:cs="Arial" w:eastAsia="Arial" w:hAnsi="Arial"/>
          <w:sz w:val="18"/>
          <w:szCs w:val="18"/>
          <w:color w:val="auto"/>
        </w:rPr>
        <w:t>combination. Cumberland has prepared a valuation of the contingent consideration liability utilizing significant unobservable inputs. As a result, the valuation is classified as Level 3 fair value measurement.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acquisition was funded by cash and the Company's revolving credit facility. The Company worked with an outside consultant firm to finalize the</w:t>
      </w:r>
    </w:p>
    <w:p>
      <w:pPr>
        <w:spacing w:after="0" w:line="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Sancuso valuation of the transaction. The fair value for the assets and liabilities assumed were as follows: prepaid expenses $1.8 million, inventory $2.6 million, goodwill $0.03 million, intangible assets $14.1 million, milestone payable $1.7 million and contingent liability $3.4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fair value of the contingent consideration liability that is remeasured on a recurring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3, 2022</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3,384,000</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Cash payment of royalty during the period</w:t>
            </w:r>
          </w:p>
        </w:tc>
        <w:tc>
          <w:tcPr>
            <w:tcW w:w="10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(1,075,631)</w:t>
            </w:r>
          </w:p>
        </w:tc>
      </w:tr>
      <w:tr>
        <w:trPr>
          <w:trHeight w:val="26"/>
        </w:trPr>
        <w:tc>
          <w:tcPr>
            <w:tcW w:w="8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w:t>
            </w:r>
          </w:p>
        </w:tc>
        <w:tc>
          <w:tcPr>
            <w:tcW w:w="10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16,394</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Contingent consideration earned and accrued</w:t>
            </w:r>
          </w:p>
        </w:tc>
        <w:tc>
          <w:tcPr>
            <w:tcW w:w="10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675,237</w:t>
            </w:r>
          </w:p>
        </w:tc>
      </w:tr>
      <w:tr>
        <w:trPr>
          <w:trHeight w:val="26"/>
        </w:trPr>
        <w:tc>
          <w:tcPr>
            <w:tcW w:w="8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3,000,000</w:t>
            </w:r>
          </w:p>
        </w:tc>
      </w:tr>
      <w:tr>
        <w:trPr>
          <w:trHeight w:val="20"/>
        </w:trPr>
        <w:tc>
          <w:tcPr>
            <w:tcW w:w="84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bl>
    <w:p>
      <w:pPr>
        <w:spacing w:after="0" w:line="296" w:lineRule="exact"/>
        <w:rPr>
          <w:sz w:val="20"/>
          <w:szCs w:val="20"/>
          <w:color w:val="auto"/>
        </w:rPr>
      </w:pPr>
    </w:p>
    <w:p>
      <w:pPr>
        <w:ind w:right="820"/>
        <w:spacing w:after="0" w:line="422" w:lineRule="auto"/>
        <w:rPr>
          <w:sz w:val="20"/>
          <w:szCs w:val="20"/>
          <w:color w:val="auto"/>
        </w:rPr>
      </w:pPr>
      <w:r>
        <w:rPr>
          <w:rFonts w:ascii="Arial" w:cs="Arial" w:eastAsia="Arial" w:hAnsi="Arial"/>
          <w:sz w:val="18"/>
          <w:szCs w:val="18"/>
          <w:color w:val="auto"/>
        </w:rPr>
        <w:t xml:space="preserve">The current portion of the contingent consideration liability is $1.7 million and the non-current portion is $1.3 million, as of December 31, 2022. </w:t>
      </w:r>
      <w:r>
        <w:rPr>
          <w:rFonts w:ascii="Arial" w:cs="Arial" w:eastAsia="Arial" w:hAnsi="Arial"/>
          <w:sz w:val="18"/>
          <w:szCs w:val="18"/>
          <w:i w:val="1"/>
          <w:iCs w:val="1"/>
          <w:color w:val="auto"/>
        </w:rPr>
        <w:t>Sancuso Intangible Assets, Goodwill, Revenue and Earnings</w:t>
      </w:r>
    </w:p>
    <w:p>
      <w:pPr>
        <w:spacing w:after="0" w:line="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An outside consultant prepared the Sancuso valuation and the valuation is complete. The goodwill of $0.03 million arising from this acquisition consists largely of the synergies and economies of scale expected from combining the operations of the Company and the acquired company.</w:t>
      </w:r>
    </w:p>
    <w:p>
      <w:pPr>
        <w:spacing w:after="0" w:line="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discussions with Management, the identified intangible assets were valued as a composite asset referred to as the Sancuso product rights. It is comprised of:</w:t>
      </w:r>
    </w:p>
    <w:p>
      <w:pPr>
        <w:spacing w:after="0" w:line="103" w:lineRule="exact"/>
        <w:rPr>
          <w:sz w:val="20"/>
          <w:szCs w:val="20"/>
          <w:color w:val="auto"/>
        </w:rPr>
      </w:pPr>
    </w:p>
    <w:p>
      <w:pPr>
        <w:ind w:left="700" w:hanging="368"/>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Technology – patented and unpatented IP and know-how;</w:t>
      </w:r>
    </w:p>
    <w:p>
      <w:pPr>
        <w:spacing w:after="0" w:line="157" w:lineRule="exact"/>
        <w:rPr>
          <w:rFonts w:ascii="Arial" w:cs="Arial" w:eastAsia="Arial" w:hAnsi="Arial"/>
          <w:sz w:val="18"/>
          <w:szCs w:val="18"/>
          <w:color w:val="auto"/>
        </w:rPr>
      </w:pPr>
    </w:p>
    <w:p>
      <w:pPr>
        <w:ind w:left="700" w:hanging="368"/>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Marketing intangible assets including product trademarks/names/dress; and</w:t>
      </w:r>
    </w:p>
    <w:p>
      <w:pPr>
        <w:spacing w:after="0" w:line="144" w:lineRule="exact"/>
        <w:rPr>
          <w:rFonts w:ascii="Arial" w:cs="Arial" w:eastAsia="Arial" w:hAnsi="Arial"/>
          <w:sz w:val="18"/>
          <w:szCs w:val="18"/>
          <w:color w:val="auto"/>
        </w:rPr>
      </w:pPr>
    </w:p>
    <w:p>
      <w:pPr>
        <w:ind w:left="700" w:hanging="368"/>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Customer base to which the product is sold.</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a common practice in the life sciences industry to value intangible assets under a portfolio approach given the nature of the intangible assets and facts and circumstances that are common to the industry. The Goodwill amount to be deducted for tax purposes is expected to be $0.03 million and will be amortized over 15 years.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Sancuso was acquired on January 3, 2022. For the year ended December 31, 2022, the amounts included in the income statement for revenue and operating profit were $13.6 million and $6.6 million,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On a pro-forma basis, the revenue and earnings of the combined entity as though the business combination had occurred in 2021 appears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2320" w:type="dxa"/>
            <w:vAlign w:val="bottom"/>
            <w:gridSpan w:val="3"/>
          </w:tcPr>
          <w:p>
            <w:pPr>
              <w:ind w:left="80"/>
              <w:spacing w:after="0"/>
              <w:rPr>
                <w:sz w:val="20"/>
                <w:szCs w:val="20"/>
                <w:color w:val="auto"/>
              </w:rPr>
            </w:pPr>
            <w:r>
              <w:rPr>
                <w:rFonts w:ascii="Arial" w:cs="Arial" w:eastAsia="Arial" w:hAnsi="Arial"/>
                <w:sz w:val="18"/>
                <w:szCs w:val="18"/>
                <w:b w:val="1"/>
                <w:bCs w:val="1"/>
                <w:color w:val="auto"/>
              </w:rPr>
              <w:t>Cumberland 2022 Results</w:t>
            </w:r>
          </w:p>
        </w:tc>
        <w:tc>
          <w:tcPr>
            <w:tcW w:w="2160" w:type="dxa"/>
            <w:vAlign w:val="bottom"/>
          </w:tcPr>
          <w:p>
            <w:pPr>
              <w:ind w:left="160"/>
              <w:spacing w:after="0"/>
              <w:rPr>
                <w:sz w:val="20"/>
                <w:szCs w:val="20"/>
                <w:color w:val="auto"/>
              </w:rPr>
            </w:pPr>
            <w:r>
              <w:rPr>
                <w:rFonts w:ascii="Arial" w:cs="Arial" w:eastAsia="Arial" w:hAnsi="Arial"/>
                <w:sz w:val="18"/>
                <w:szCs w:val="18"/>
                <w:b w:val="1"/>
                <w:bCs w:val="1"/>
                <w:color w:val="auto"/>
                <w:w w:val="98"/>
              </w:rPr>
              <w:t>Pro-forma 2021 Results</w:t>
            </w: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5"/>
              </w:rPr>
              <w:t>42,010,949</w:t>
            </w:r>
          </w:p>
        </w:tc>
        <w:tc>
          <w:tcPr>
            <w:tcW w:w="16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w w:val="95"/>
              </w:rPr>
              <w:t>50,085,043</w:t>
            </w:r>
          </w:p>
        </w:tc>
      </w:tr>
      <w:tr>
        <w:trPr>
          <w:trHeight w:val="270"/>
        </w:trPr>
        <w:tc>
          <w:tcPr>
            <w:tcW w:w="6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60" w:type="dxa"/>
            <w:vAlign w:val="bottom"/>
          </w:tcPr>
          <w:p>
            <w:pPr>
              <w:spacing w:after="0"/>
              <w:rPr>
                <w:sz w:val="23"/>
                <w:szCs w:val="23"/>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1"/>
              </w:rPr>
              <w:t>(5,704,929)</w:t>
            </w:r>
          </w:p>
        </w:tc>
        <w:tc>
          <w:tcPr>
            <w:tcW w:w="160" w:type="dxa"/>
            <w:vAlign w:val="bottom"/>
            <w:shd w:val="clear" w:color="auto" w:fill="CCEEFF"/>
          </w:tcPr>
          <w:p>
            <w:pPr>
              <w:spacing w:after="0"/>
              <w:rPr>
                <w:sz w:val="19"/>
                <w:szCs w:val="19"/>
                <w:color w:val="auto"/>
              </w:rPr>
            </w:pPr>
          </w:p>
        </w:tc>
        <w:tc>
          <w:tcPr>
            <w:tcW w:w="216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3"/>
              </w:rPr>
              <w:t>(5,447,420)</w:t>
            </w:r>
          </w:p>
        </w:tc>
      </w:tr>
    </w:tbl>
    <w:p>
      <w:pPr>
        <w:spacing w:after="0" w:line="21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2021 pro-forma results include results for Sancuso as provided by the management of Kyowa Kirin. The Seller is a pharmaceutical company similar to Cumberland. The 2021 results for Sancuso as reported by Kyowa Kirin reflect accounting methodology and reporting which were similar to those employed by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2022 balance sheet reflects the full year impact of the Sancuso acquisition, as the acquisition occurred on January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00" w:hanging="392"/>
        <w:spacing w:after="0"/>
        <w:tabs>
          <w:tab w:leader="none" w:pos="4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Revenues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Company’s net product revenues consisted of the following for the years ended December 31:</w:t>
      </w:r>
    </w:p>
    <w:p>
      <w:pPr>
        <w:spacing w:after="0" w:line="172"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2021</w:t>
            </w:r>
          </w:p>
        </w:tc>
      </w:tr>
      <w:tr>
        <w:trPr>
          <w:trHeight w:val="215"/>
        </w:trPr>
        <w:tc>
          <w:tcPr>
            <w:tcW w:w="7440" w:type="dxa"/>
            <w:vAlign w:val="bottom"/>
          </w:tcPr>
          <w:p>
            <w:pPr>
              <w:spacing w:after="0"/>
              <w:rPr>
                <w:sz w:val="20"/>
                <w:szCs w:val="20"/>
                <w:color w:val="auto"/>
              </w:rPr>
            </w:pPr>
            <w:r>
              <w:rPr>
                <w:rFonts w:ascii="Arial" w:cs="Arial" w:eastAsia="Arial" w:hAnsi="Arial"/>
                <w:sz w:val="18"/>
                <w:szCs w:val="18"/>
                <w:color w:val="auto"/>
              </w:rPr>
              <w:t>Products:</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Kristalose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15,205,155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15,993,658</w:t>
            </w:r>
          </w:p>
        </w:tc>
      </w:tr>
      <w:tr>
        <w:trPr>
          <w:trHeight w:val="230"/>
        </w:trPr>
        <w:tc>
          <w:tcPr>
            <w:tcW w:w="7440" w:type="dxa"/>
            <w:vAlign w:val="bottom"/>
          </w:tcPr>
          <w:p>
            <w:pPr>
              <w:ind w:left="220"/>
              <w:spacing w:after="0"/>
              <w:rPr>
                <w:sz w:val="20"/>
                <w:szCs w:val="20"/>
                <w:color w:val="auto"/>
              </w:rPr>
            </w:pPr>
            <w:r>
              <w:rPr>
                <w:rFonts w:ascii="Arial" w:cs="Arial" w:eastAsia="Arial" w:hAnsi="Arial"/>
                <w:sz w:val="18"/>
                <w:szCs w:val="18"/>
                <w:color w:val="auto"/>
              </w:rPr>
              <w:t>Sancuso</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13,205,603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Vibativ</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7,487,462</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11,704,062</w:t>
            </w:r>
          </w:p>
        </w:tc>
      </w:tr>
      <w:tr>
        <w:trPr>
          <w:trHeight w:val="229"/>
        </w:trPr>
        <w:tc>
          <w:tcPr>
            <w:tcW w:w="7440" w:type="dxa"/>
            <w:vAlign w:val="bottom"/>
          </w:tcPr>
          <w:p>
            <w:pPr>
              <w:ind w:left="220"/>
              <w:spacing w:after="0"/>
              <w:rPr>
                <w:sz w:val="20"/>
                <w:szCs w:val="20"/>
                <w:color w:val="auto"/>
              </w:rPr>
            </w:pPr>
            <w:r>
              <w:rPr>
                <w:rFonts w:ascii="Arial" w:cs="Arial" w:eastAsia="Arial" w:hAnsi="Arial"/>
                <w:sz w:val="18"/>
                <w:szCs w:val="18"/>
                <w:color w:val="auto"/>
              </w:rPr>
              <w:t>Caldolor</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4,827,200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4,970,301</w:t>
            </w:r>
          </w:p>
        </w:tc>
      </w:tr>
      <w:tr>
        <w:trPr>
          <w:trHeight w:val="230"/>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Acetadote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501,040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850,993</w:t>
            </w:r>
          </w:p>
        </w:tc>
      </w:tr>
      <w:tr>
        <w:trPr>
          <w:trHeight w:val="229"/>
        </w:trPr>
        <w:tc>
          <w:tcPr>
            <w:tcW w:w="7440" w:type="dxa"/>
            <w:vAlign w:val="bottom"/>
          </w:tcPr>
          <w:p>
            <w:pPr>
              <w:ind w:left="220"/>
              <w:spacing w:after="0"/>
              <w:rPr>
                <w:sz w:val="20"/>
                <w:szCs w:val="20"/>
                <w:color w:val="auto"/>
              </w:rPr>
            </w:pPr>
            <w:r>
              <w:rPr>
                <w:rFonts w:ascii="Arial" w:cs="Arial" w:eastAsia="Arial" w:hAnsi="Arial"/>
                <w:sz w:val="18"/>
                <w:szCs w:val="18"/>
                <w:color w:val="auto"/>
              </w:rPr>
              <w:t>Omeclamox-Pak</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29,145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(388,657)</w:t>
            </w:r>
          </w:p>
        </w:tc>
      </w:tr>
      <w:tr>
        <w:trPr>
          <w:trHeight w:val="229"/>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Vaprisol</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(447,697)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1,859,581</w:t>
            </w:r>
          </w:p>
        </w:tc>
      </w:tr>
      <w:tr>
        <w:trPr>
          <w:trHeight w:val="230"/>
        </w:trPr>
        <w:tc>
          <w:tcPr>
            <w:tcW w:w="7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RediTrex</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(126,726)</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55,321</w:t>
            </w:r>
          </w:p>
        </w:tc>
      </w:tr>
      <w:tr>
        <w:trPr>
          <w:trHeight w:val="248"/>
        </w:trPr>
        <w:tc>
          <w:tcPr>
            <w:tcW w:w="7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net product revenues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40,681,182</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35,045,259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Revenues</w:t>
      </w:r>
    </w:p>
    <w:p>
      <w:pPr>
        <w:spacing w:after="0" w:line="1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has agreements with international partners for commercialization of the Company's products with associated payments included in other revenues. Those agreements provide that each of the partners are responsible for seeking regulatory approvals for the product, and following approval, each partner will be responsible for the ongoing distribution and sales in the respective international territories. The Company provides a dossier for product registration and maintains responsibility for the relevant intellectual property. Cumberland is typically entitled to receive a non-refundable, up-front payment at the time each agreement is executed as consideration for the product dossier and for the rights to the distinct intellectual property rights in the respective international territory. These agreements also typically provide for additional payments upon a partner’s achievement of a defined regulatory approval and sales milestones. The Company may also be entitled to receive royalties on future sales of the products and a transfer price on supplies. The contractual payments associated with the partner’s achievement of regulatory approvals, sales milestones and royalties on future sales are recognized as revenue upon occurrence, or at such time that the Company has a high degree of confidence that the revenue would not be reversed in a subsequent period.</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international agreements provide for $1.5 million in non-refundable up-front payments, milestone payments of up to $2.4 million related to regulatory approvals and up to $5.6 million in payments related to product sales. From 2012 through December 31, 2022, the Company has recognized a cumulative $1.9 million in upfront payments as other revenue and has recognized $0.5 million during the year 2022.</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revenues during 2022 and 2021 also include funding from federal grant programs including those secured by CET through the Small Business Administration as well as lease income generated by CET’s Life Sciences Center. The Life Sciences Center is a research center that provides scientists with access to flexible lab space and other resources to develop biomedical products. Grant revenue from these programs totaled approximately $0.2 million and $0.4 million for the years ending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Inventories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Company's net inventories consisted of the following as of December 31:</w:t>
      </w:r>
    </w:p>
    <w:p>
      <w:pPr>
        <w:spacing w:after="0" w:line="199" w:lineRule="exact"/>
        <w:rPr>
          <w:sz w:val="20"/>
          <w:szCs w:val="20"/>
          <w:color w:val="auto"/>
        </w:rPr>
      </w:pPr>
    </w:p>
    <w:tbl>
      <w:tblPr>
        <w:tblLayout w:type="fixed"/>
        <w:tblInd w:w="720" w:type="dxa"/>
        <w:tblCellMar>
          <w:top w:w="0" w:type="dxa"/>
          <w:left w:w="0" w:type="dxa"/>
          <w:bottom w:w="0" w:type="dxa"/>
          <w:right w:w="0" w:type="dxa"/>
        </w:tblCellMar>
      </w:tblPr>
      <w:tr>
        <w:trPr>
          <w:trHeight w:val="213"/>
        </w:trPr>
        <w:tc>
          <w:tcPr>
            <w:tcW w:w="60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2021</w:t>
            </w:r>
          </w:p>
        </w:tc>
      </w:tr>
      <w:tr>
        <w:trPr>
          <w:trHeight w:val="145"/>
        </w:trPr>
        <w:tc>
          <w:tcPr>
            <w:tcW w:w="6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work in process, net of reserve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12,899,659</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12,374,983</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Consigned inventory</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168,923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164,378</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 net of reserve</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4,322,167</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4,939,088</w:t>
            </w:r>
          </w:p>
        </w:tc>
      </w:tr>
      <w:tr>
        <w:trPr>
          <w:trHeight w:val="223"/>
        </w:trPr>
        <w:tc>
          <w:tcPr>
            <w:tcW w:w="6040" w:type="dxa"/>
            <w:vAlign w:val="bottom"/>
          </w:tcPr>
          <w:p>
            <w:pPr>
              <w:ind w:left="240"/>
              <w:spacing w:after="0"/>
              <w:rPr>
                <w:sz w:val="20"/>
                <w:szCs w:val="20"/>
                <w:color w:val="auto"/>
              </w:rPr>
            </w:pPr>
            <w:r>
              <w:rPr>
                <w:rFonts w:ascii="Arial" w:cs="Arial" w:eastAsia="Arial" w:hAnsi="Arial"/>
                <w:sz w:val="18"/>
                <w:szCs w:val="18"/>
                <w:color w:val="auto"/>
              </w:rPr>
              <w:t>Total inventories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17,390,748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17,478,449</w:t>
            </w:r>
          </w:p>
        </w:tc>
      </w:tr>
      <w:tr>
        <w:trPr>
          <w:trHeight w:val="230"/>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non-current inventories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(7,527,167)</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(9,048,567)</w:t>
            </w: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color w:val="auto"/>
              </w:rPr>
              <w:t>Total inventories classified as current</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9,863,581</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8,429,882</w:t>
            </w:r>
          </w:p>
        </w:tc>
      </w:tr>
      <w:tr>
        <w:trPr>
          <w:trHeight w:val="21"/>
        </w:trPr>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2022 and 2021, the Company had recognized and maintained cumulative net realizable value charges for potential obsolescence and discontinuance losses of approximately $0.5 million and $1.4 million, respectively.</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acquisition of certain product rights related to the Kristalose brand, the Company is responsible for the purchase of the active pharmaceutical ingredient ("API") for Kristalose and maintains the inventory at the third-party packagers. As the API is consumed in production, the value of the API is transferred from raw materials to finished goods. API for the Company's Vaprisol brand is also included in the raw materials inventory total at December 31, 2022 and 2021. Consigned inventory represents Authorized Generic inventory stored with Padagis until shipment.</w:t>
      </w:r>
    </w:p>
    <w:p>
      <w:pPr>
        <w:spacing w:after="0" w:line="6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part of the Vibativ acquisition, Cumberland acquired API and work in process inventories of $15.6 million that were classified as non-current inventories. The Vibativ non-current API inventory was $7.1 million at December 31, 2022 and $8.1 million at December 31, 2021. The Company had no Vibativ finished goods included in the non-current inventories at December 31, 2022, and $0.5 million at December 31, 2021. At December 31, 2022 and 2021, Cumberland had $0.3 million in non-current inventory for API related to its ifetroban clinical initiatives and $0.1 million of finished goods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0" w:hanging="392"/>
        <w:spacing w:after="0"/>
        <w:tabs>
          <w:tab w:leader="none" w:pos="4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consisted of the following at December 31:</w:t>
      </w:r>
    </w:p>
    <w:p>
      <w:pPr>
        <w:spacing w:after="0" w:line="177" w:lineRule="exact"/>
        <w:rPr>
          <w:sz w:val="20"/>
          <w:szCs w:val="20"/>
          <w:color w:val="auto"/>
        </w:rPr>
      </w:pPr>
    </w:p>
    <w:tbl>
      <w:tblPr>
        <w:tblLayout w:type="fixed"/>
        <w:tblInd w:w="84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Range of</w:t>
            </w:r>
          </w:p>
        </w:tc>
        <w:tc>
          <w:tcPr>
            <w:tcW w:w="400" w:type="dxa"/>
            <w:vAlign w:val="bottom"/>
          </w:tcPr>
          <w:p>
            <w:pPr>
              <w:spacing w:after="0"/>
              <w:rPr>
                <w:sz w:val="16"/>
                <w:szCs w:val="16"/>
                <w:color w:val="auto"/>
              </w:rPr>
            </w:pPr>
          </w:p>
        </w:tc>
        <w:tc>
          <w:tcPr>
            <w:tcW w:w="1340" w:type="dxa"/>
            <w:vAlign w:val="bottom"/>
            <w:vMerge w:val="restart"/>
          </w:tcPr>
          <w:p>
            <w:pPr>
              <w:jc w:val="right"/>
              <w:ind w:right="61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vMerge w:val="restart"/>
          </w:tcPr>
          <w:p>
            <w:pPr>
              <w:jc w:val="right"/>
              <w:ind w:right="63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3"/>
        </w:trPr>
        <w:tc>
          <w:tcPr>
            <w:tcW w:w="3500" w:type="dxa"/>
            <w:vAlign w:val="bottom"/>
          </w:tcPr>
          <w:p>
            <w:pPr>
              <w:spacing w:after="0"/>
              <w:rPr>
                <w:sz w:val="18"/>
                <w:szCs w:val="18"/>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useful lives</w:t>
            </w:r>
          </w:p>
        </w:tc>
        <w:tc>
          <w:tcPr>
            <w:tcW w:w="4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500" w:type="dxa"/>
            <w:vAlign w:val="bottom"/>
          </w:tcPr>
          <w:p>
            <w:pPr>
              <w:spacing w:after="0"/>
              <w:rPr>
                <w:sz w:val="12"/>
                <w:szCs w:val="12"/>
                <w:color w:val="auto"/>
              </w:rPr>
            </w:pPr>
          </w:p>
        </w:tc>
        <w:tc>
          <w:tcPr>
            <w:tcW w:w="23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3 – 5 years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465,508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1,352,734</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Office equipment</w:t>
            </w:r>
          </w:p>
        </w:tc>
        <w:tc>
          <w:tcPr>
            <w:tcW w:w="24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3 – 15 years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746,602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820,712</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4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5 – 15 years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369,365</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638,903</w:t>
            </w: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246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89"/>
              </w:rPr>
              <w:t>3 – 15 years, or</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Leasehold improvements</w:t>
            </w:r>
          </w:p>
        </w:tc>
        <w:tc>
          <w:tcPr>
            <w:tcW w:w="246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8"/>
                <w:szCs w:val="18"/>
                <w:color w:val="auto"/>
                <w:w w:val="90"/>
              </w:rPr>
              <w:t>remaining lease term</w:t>
            </w: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787,749</w:t>
            </w:r>
          </w:p>
        </w:tc>
        <w:tc>
          <w:tcPr>
            <w:tcW w:w="1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1,422,439</w:t>
            </w:r>
          </w:p>
        </w:tc>
        <w:tc>
          <w:tcPr>
            <w:tcW w:w="0" w:type="dxa"/>
            <w:vAlign w:val="bottom"/>
          </w:tcPr>
          <w:p>
            <w:pPr>
              <w:spacing w:after="0"/>
              <w:rPr>
                <w:sz w:val="1"/>
                <w:szCs w:val="1"/>
                <w:color w:val="auto"/>
              </w:rPr>
            </w:pPr>
          </w:p>
        </w:tc>
      </w:tr>
      <w:tr>
        <w:trPr>
          <w:trHeight w:val="156"/>
        </w:trPr>
        <w:tc>
          <w:tcPr>
            <w:tcW w:w="350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color w:val="auto"/>
              </w:rPr>
              <w:t>Total property and</w:t>
            </w:r>
          </w:p>
        </w:tc>
        <w:tc>
          <w:tcPr>
            <w:tcW w:w="2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 gross</w:t>
            </w:r>
          </w:p>
        </w:tc>
        <w:tc>
          <w:tcPr>
            <w:tcW w:w="2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2,369,224</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4,234,788</w:t>
            </w:r>
          </w:p>
        </w:tc>
        <w:tc>
          <w:tcPr>
            <w:tcW w:w="0" w:type="dxa"/>
            <w:vAlign w:val="bottom"/>
          </w:tcPr>
          <w:p>
            <w:pPr>
              <w:spacing w:after="0"/>
              <w:rPr>
                <w:sz w:val="1"/>
                <w:szCs w:val="1"/>
                <w:color w:val="auto"/>
              </w:rPr>
            </w:pPr>
          </w:p>
        </w:tc>
      </w:tr>
      <w:tr>
        <w:trPr>
          <w:trHeight w:val="175"/>
        </w:trPr>
        <w:tc>
          <w:tcPr>
            <w:tcW w:w="3500" w:type="dxa"/>
            <w:vAlign w:val="bottom"/>
          </w:tcPr>
          <w:p>
            <w:pPr>
              <w:spacing w:after="0" w:line="176" w:lineRule="exact"/>
              <w:rPr>
                <w:sz w:val="20"/>
                <w:szCs w:val="20"/>
                <w:color w:val="auto"/>
              </w:rPr>
            </w:pPr>
            <w:r>
              <w:rPr>
                <w:rFonts w:ascii="Arial" w:cs="Arial" w:eastAsia="Arial" w:hAnsi="Arial"/>
                <w:sz w:val="18"/>
                <w:szCs w:val="18"/>
                <w:color w:val="auto"/>
              </w:rPr>
              <w:t>Less: accumulated depreciation</w:t>
            </w:r>
          </w:p>
        </w:tc>
        <w:tc>
          <w:tcPr>
            <w:tcW w:w="2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and amortization</w:t>
            </w:r>
          </w:p>
        </w:tc>
        <w:tc>
          <w:tcPr>
            <w:tcW w:w="23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(2,085,185)</w:t>
            </w:r>
          </w:p>
        </w:tc>
        <w:tc>
          <w:tcPr>
            <w:tcW w:w="1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(3,792,153)</w:t>
            </w:r>
          </w:p>
        </w:tc>
        <w:tc>
          <w:tcPr>
            <w:tcW w:w="0" w:type="dxa"/>
            <w:vAlign w:val="bottom"/>
          </w:tcPr>
          <w:p>
            <w:pPr>
              <w:spacing w:after="0"/>
              <w:rPr>
                <w:sz w:val="1"/>
                <w:szCs w:val="1"/>
                <w:color w:val="auto"/>
              </w:rPr>
            </w:pPr>
          </w:p>
        </w:tc>
      </w:tr>
      <w:tr>
        <w:trPr>
          <w:trHeight w:val="155"/>
        </w:trPr>
        <w:tc>
          <w:tcPr>
            <w:tcW w:w="350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color w:val="auto"/>
              </w:rPr>
              <w:t>Total property and</w:t>
            </w:r>
          </w:p>
        </w:tc>
        <w:tc>
          <w:tcPr>
            <w:tcW w:w="2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284,039</w:t>
            </w:r>
          </w:p>
        </w:tc>
        <w:tc>
          <w:tcPr>
            <w:tcW w:w="14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442,635</w:t>
            </w:r>
          </w:p>
        </w:tc>
        <w:tc>
          <w:tcPr>
            <w:tcW w:w="0" w:type="dxa"/>
            <w:vAlign w:val="bottom"/>
          </w:tcPr>
          <w:p>
            <w:pPr>
              <w:spacing w:after="0"/>
              <w:rPr>
                <w:sz w:val="1"/>
                <w:szCs w:val="1"/>
                <w:color w:val="auto"/>
              </w:rPr>
            </w:pPr>
          </w:p>
        </w:tc>
      </w:tr>
      <w:tr>
        <w:trPr>
          <w:trHeight w:val="236"/>
        </w:trPr>
        <w:tc>
          <w:tcPr>
            <w:tcW w:w="3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equipment, net</w:t>
            </w:r>
          </w:p>
        </w:tc>
        <w:tc>
          <w:tcPr>
            <w:tcW w:w="2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expense, including amortization expense related to leasehold improvements, is included in general and administrative expense in the consolidated statements of operations. Depreciation expense was as follows for the years ended December 31:</w:t>
      </w:r>
    </w:p>
    <w:p>
      <w:pPr>
        <w:spacing w:after="0" w:line="139" w:lineRule="exact"/>
        <w:rPr>
          <w:sz w:val="20"/>
          <w:szCs w:val="20"/>
          <w:color w:val="auto"/>
        </w:rPr>
      </w:pPr>
    </w:p>
    <w:p>
      <w:pPr>
        <w:ind w:left="8160"/>
        <w:spacing w:after="0"/>
        <w:tabs>
          <w:tab w:leader="none" w:pos="1002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17145</wp:posOffset>
            </wp:positionV>
            <wp:extent cx="22885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9" w:lineRule="exact"/>
        <w:rPr>
          <w:sz w:val="20"/>
          <w:szCs w:val="20"/>
          <w:color w:val="auto"/>
        </w:rPr>
      </w:pPr>
    </w:p>
    <w:p>
      <w:pPr>
        <w:ind w:left="140"/>
        <w:spacing w:after="0"/>
        <w:tabs>
          <w:tab w:leader="none" w:pos="7520" w:val="left"/>
          <w:tab w:leader="none" w:pos="8500" w:val="left"/>
          <w:tab w:leader="none" w:pos="9300" w:val="left"/>
          <w:tab w:leader="none" w:pos="10440" w:val="left"/>
        </w:tabs>
        <w:rPr>
          <w:sz w:val="20"/>
          <w:szCs w:val="20"/>
          <w:color w:val="auto"/>
        </w:rPr>
      </w:pPr>
      <w:r>
        <w:rPr>
          <w:rFonts w:ascii="Arial" w:cs="Arial" w:eastAsia="Arial" w:hAnsi="Arial"/>
          <w:sz w:val="18"/>
          <w:szCs w:val="18"/>
          <w:color w:val="auto"/>
        </w:rPr>
        <w:t>Depreciation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260,745</w:t>
        <w:tab/>
        <w:t>$</w:t>
      </w:r>
      <w:r>
        <w:rPr>
          <w:sz w:val="20"/>
          <w:szCs w:val="20"/>
          <w:color w:val="auto"/>
        </w:rPr>
        <w:tab/>
      </w:r>
      <w:r>
        <w:rPr>
          <w:rFonts w:ascii="Arial" w:cs="Arial" w:eastAsia="Arial" w:hAnsi="Arial"/>
          <w:sz w:val="16"/>
          <w:szCs w:val="16"/>
          <w:color w:val="auto"/>
        </w:rPr>
        <w:t>235,066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-130175</wp:posOffset>
            </wp:positionV>
            <wp:extent cx="6978015" cy="1797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9">
                      <a:extLst>
                        <a:ext uri="{28A0092B-C50C-407E-A947-70E740481C1C}"/>
                      </a:extLst>
                    </a:blip>
                    <a:srcRect/>
                    <a:stretch>
                      <a:fillRect/>
                    </a:stretch>
                  </pic:blipFill>
                  <pic:spPr bwMode="auto">
                    <a:xfrm>
                      <a:off x="0" y="0"/>
                      <a:ext cx="697801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(7)  Intangible Assets and Goodwill</w:t>
            </w: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51"/>
        </w:trPr>
        <w:tc>
          <w:tcPr>
            <w:tcW w:w="6720" w:type="dxa"/>
            <w:vAlign w:val="bottom"/>
            <w:gridSpan w:val="2"/>
          </w:tcPr>
          <w:p>
            <w:pPr>
              <w:spacing w:after="0"/>
              <w:rPr>
                <w:sz w:val="20"/>
                <w:szCs w:val="20"/>
                <w:color w:val="auto"/>
              </w:rPr>
            </w:pPr>
            <w:r>
              <w:rPr>
                <w:rFonts w:ascii="Arial" w:cs="Arial" w:eastAsia="Arial" w:hAnsi="Arial"/>
                <w:sz w:val="18"/>
                <w:szCs w:val="18"/>
                <w:color w:val="auto"/>
                <w:w w:val="93"/>
              </w:rPr>
              <w:t>Intangible assets and Goodwill consisted of the following at December 31, 2022 and 2021.</w:t>
            </w: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r>
      <w:tr>
        <w:trPr>
          <w:trHeight w:val="142"/>
        </w:trPr>
        <w:tc>
          <w:tcPr>
            <w:tcW w:w="80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29"/>
        </w:trPr>
        <w:tc>
          <w:tcPr>
            <w:tcW w:w="80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Product and license rights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49,668,141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38,543,542</w:t>
            </w:r>
          </w:p>
        </w:tc>
      </w:tr>
      <w:tr>
        <w:trPr>
          <w:trHeight w:val="230"/>
        </w:trPr>
        <w:tc>
          <w:tcPr>
            <w:tcW w:w="800" w:type="dxa"/>
            <w:vAlign w:val="bottom"/>
          </w:tcPr>
          <w:p>
            <w:pPr>
              <w:spacing w:after="0"/>
              <w:rPr>
                <w:sz w:val="19"/>
                <w:szCs w:val="19"/>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(21,891,974)</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(18,015,112)</w:t>
            </w:r>
          </w:p>
        </w:tc>
      </w:tr>
      <w:tr>
        <w:trPr>
          <w:trHeight w:val="223"/>
        </w:trPr>
        <w:tc>
          <w:tcPr>
            <w:tcW w:w="800" w:type="dxa"/>
            <w:vAlign w:val="bottom"/>
          </w:tcPr>
          <w:p>
            <w:pPr>
              <w:spacing w:after="0"/>
              <w:rPr>
                <w:sz w:val="19"/>
                <w:szCs w:val="19"/>
                <w:color w:val="auto"/>
              </w:rPr>
            </w:pPr>
          </w:p>
        </w:tc>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product and license rights</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27,776,167</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20,528,430</w:t>
            </w:r>
          </w:p>
        </w:tc>
      </w:tr>
      <w:tr>
        <w:trPr>
          <w:trHeight w:val="223"/>
        </w:trPr>
        <w:tc>
          <w:tcPr>
            <w:tcW w:w="80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Patents</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10,610,228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10,478,930</w:t>
            </w:r>
          </w:p>
        </w:tc>
      </w:tr>
      <w:tr>
        <w:trPr>
          <w:trHeight w:val="229"/>
        </w:trPr>
        <w:tc>
          <w:tcPr>
            <w:tcW w:w="80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(8,051,018)</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(7,333,251)</w:t>
            </w:r>
          </w:p>
        </w:tc>
      </w:tr>
      <w:tr>
        <w:trPr>
          <w:trHeight w:val="223"/>
        </w:trPr>
        <w:tc>
          <w:tcPr>
            <w:tcW w:w="800" w:type="dxa"/>
            <w:vAlign w:val="bottom"/>
          </w:tcPr>
          <w:p>
            <w:pPr>
              <w:spacing w:after="0"/>
              <w:rPr>
                <w:sz w:val="19"/>
                <w:szCs w:val="19"/>
                <w:color w:val="auto"/>
              </w:rPr>
            </w:pPr>
          </w:p>
        </w:tc>
        <w:tc>
          <w:tcPr>
            <w:tcW w:w="5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patents</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2,559,210</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3,145,679</w:t>
            </w:r>
          </w:p>
        </w:tc>
      </w:tr>
      <w:tr>
        <w:trPr>
          <w:trHeight w:val="223"/>
        </w:trPr>
        <w:tc>
          <w:tcPr>
            <w:tcW w:w="80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397,974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373,462</w:t>
            </w:r>
          </w:p>
        </w:tc>
      </w:tr>
      <w:tr>
        <w:trPr>
          <w:trHeight w:val="230"/>
        </w:trPr>
        <w:tc>
          <w:tcPr>
            <w:tcW w:w="800" w:type="dxa"/>
            <w:vAlign w:val="bottom"/>
          </w:tcPr>
          <w:p>
            <w:pPr>
              <w:spacing w:after="0"/>
              <w:rPr>
                <w:sz w:val="19"/>
                <w:szCs w:val="19"/>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(142,673)</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(93,096)</w:t>
            </w:r>
          </w:p>
        </w:tc>
      </w:tr>
      <w:tr>
        <w:trPr>
          <w:trHeight w:val="223"/>
        </w:trPr>
        <w:tc>
          <w:tcPr>
            <w:tcW w:w="800" w:type="dxa"/>
            <w:vAlign w:val="bottom"/>
          </w:tcPr>
          <w:p>
            <w:pPr>
              <w:spacing w:after="0"/>
              <w:rPr>
                <w:sz w:val="19"/>
                <w:szCs w:val="19"/>
                <w:color w:val="auto"/>
              </w:rPr>
            </w:pPr>
          </w:p>
        </w:tc>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trademarks</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255,301</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280,366</w:t>
            </w:r>
          </w:p>
        </w:tc>
      </w:tr>
      <w:tr>
        <w:trPr>
          <w:trHeight w:val="223"/>
        </w:trPr>
        <w:tc>
          <w:tcPr>
            <w:tcW w:w="800" w:type="dxa"/>
            <w:vAlign w:val="bottom"/>
          </w:tcPr>
          <w:p>
            <w:pPr>
              <w:spacing w:after="0"/>
              <w:rPr>
                <w:sz w:val="19"/>
                <w:szCs w:val="19"/>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rPr>
              <w:t>Total intangible assets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30,590,678</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23,954,475</w:t>
            </w:r>
          </w:p>
        </w:tc>
      </w:tr>
      <w:tr>
        <w:trPr>
          <w:trHeight w:val="20"/>
        </w:trPr>
        <w:tc>
          <w:tcPr>
            <w:tcW w:w="800" w:type="dxa"/>
            <w:vAlign w:val="bottom"/>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59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30"/>
        </w:trPr>
        <w:tc>
          <w:tcPr>
            <w:tcW w:w="80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Goodwill</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914,000</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882,000</w:t>
            </w:r>
          </w:p>
        </w:tc>
      </w:tr>
      <w:tr>
        <w:trPr>
          <w:trHeight w:val="20"/>
        </w:trPr>
        <w:tc>
          <w:tcPr>
            <w:tcW w:w="8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 and license rights include assets associated with the Company's acquired products, including those discussed in Note 3, RediTrex, Vibativ and Sancuso. RediTrex is only represented in 2021.</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2022 and 2021, the Company recorded an additional $0.2 million in each year in intangible assets for patents, trademarks and capitalized patent costs, including amounts incurred in the protection of the Company's intellectual property. The Company also recorded an additional $14.1 million in product rights and $0.03 million in goodwill related to the Sancuso acquisition. These costs will be amortized over the remaining expected useful life of the associated patents.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product and license rights, trademarks and patents were as follows for the years ended December 31: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94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2021</w:t>
            </w:r>
          </w:p>
        </w:tc>
      </w:tr>
      <w:tr>
        <w:trPr>
          <w:trHeight w:val="142"/>
        </w:trPr>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r>
      <w:tr>
        <w:trPr>
          <w:trHeight w:val="250"/>
        </w:trPr>
        <w:tc>
          <w:tcPr>
            <w:tcW w:w="140" w:type="dxa"/>
            <w:vAlign w:val="bottom"/>
          </w:tcPr>
          <w:p>
            <w:pPr>
              <w:spacing w:after="0"/>
              <w:rPr>
                <w:sz w:val="21"/>
                <w:szCs w:val="21"/>
                <w:color w:val="auto"/>
              </w:rPr>
            </w:pPr>
          </w:p>
        </w:tc>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5,067,368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4,371,300</w:t>
            </w:r>
          </w:p>
        </w:tc>
      </w:tr>
      <w:tr>
        <w:trPr>
          <w:trHeight w:val="20"/>
        </w:trPr>
        <w:tc>
          <w:tcPr>
            <w:tcW w:w="1100" w:type="dxa"/>
            <w:vAlign w:val="bottom"/>
            <w:gridSpan w:val="2"/>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11"/>
        </w:trPr>
        <w:tc>
          <w:tcPr>
            <w:tcW w:w="7880" w:type="dxa"/>
            <w:vAlign w:val="bottom"/>
            <w:gridSpan w:val="4"/>
          </w:tcPr>
          <w:p>
            <w:pPr>
              <w:jc w:val="right"/>
              <w:ind w:right="210"/>
              <w:spacing w:after="0"/>
              <w:rPr>
                <w:sz w:val="20"/>
                <w:szCs w:val="20"/>
                <w:color w:val="auto"/>
              </w:rPr>
            </w:pPr>
            <w:r>
              <w:rPr>
                <w:rFonts w:ascii="Arial" w:cs="Arial" w:eastAsia="Arial" w:hAnsi="Arial"/>
                <w:sz w:val="18"/>
                <w:szCs w:val="18"/>
                <w:color w:val="auto"/>
                <w:w w:val="89"/>
              </w:rPr>
              <w:t>The expected amortization expense for the Company's current balance of intangible assets are as follows: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20" w:type="dxa"/>
            <w:vAlign w:val="bottom"/>
          </w:tcPr>
          <w:p>
            <w:pPr>
              <w:ind w:left="20"/>
              <w:spacing w:after="0"/>
              <w:rPr>
                <w:sz w:val="20"/>
                <w:szCs w:val="20"/>
                <w:color w:val="auto"/>
              </w:rPr>
            </w:pPr>
            <w:r>
              <w:rPr>
                <w:rFonts w:ascii="Arial" w:cs="Arial" w:eastAsia="Arial" w:hAnsi="Arial"/>
                <w:sz w:val="18"/>
                <w:szCs w:val="18"/>
                <w:color w:val="auto"/>
              </w:rPr>
              <w:t>Year ending December 31:</w:t>
            </w: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1100" w:type="dxa"/>
            <w:vAlign w:val="bottom"/>
            <w:gridSpan w:val="2"/>
          </w:tcPr>
          <w:p>
            <w:pPr>
              <w:spacing w:after="0"/>
              <w:rPr>
                <w:sz w:val="19"/>
                <w:szCs w:val="19"/>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4,736,657</w:t>
            </w:r>
          </w:p>
        </w:tc>
        <w:tc>
          <w:tcPr>
            <w:tcW w:w="960" w:type="dxa"/>
            <w:vAlign w:val="bottom"/>
          </w:tcPr>
          <w:p>
            <w:pPr>
              <w:spacing w:after="0"/>
              <w:rPr>
                <w:sz w:val="19"/>
                <w:szCs w:val="19"/>
                <w:color w:val="auto"/>
              </w:rPr>
            </w:pPr>
          </w:p>
        </w:tc>
      </w:tr>
      <w:tr>
        <w:trPr>
          <w:trHeight w:val="230"/>
        </w:trPr>
        <w:tc>
          <w:tcPr>
            <w:tcW w:w="1100" w:type="dxa"/>
            <w:vAlign w:val="bottom"/>
            <w:gridSpan w:val="2"/>
          </w:tcPr>
          <w:p>
            <w:pPr>
              <w:spacing w:after="0"/>
              <w:rPr>
                <w:sz w:val="19"/>
                <w:szCs w:val="19"/>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4,687,365</w:t>
            </w:r>
          </w:p>
        </w:tc>
        <w:tc>
          <w:tcPr>
            <w:tcW w:w="960" w:type="dxa"/>
            <w:vAlign w:val="bottom"/>
          </w:tcPr>
          <w:p>
            <w:pPr>
              <w:spacing w:after="0"/>
              <w:rPr>
                <w:sz w:val="19"/>
                <w:szCs w:val="19"/>
                <w:color w:val="auto"/>
              </w:rPr>
            </w:pPr>
          </w:p>
        </w:tc>
      </w:tr>
      <w:tr>
        <w:trPr>
          <w:trHeight w:val="229"/>
        </w:trPr>
        <w:tc>
          <w:tcPr>
            <w:tcW w:w="1100" w:type="dxa"/>
            <w:vAlign w:val="bottom"/>
            <w:gridSpan w:val="2"/>
          </w:tcPr>
          <w:p>
            <w:pPr>
              <w:spacing w:after="0"/>
              <w:rPr>
                <w:sz w:val="19"/>
                <w:szCs w:val="19"/>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4,652,156</w:t>
            </w:r>
          </w:p>
        </w:tc>
        <w:tc>
          <w:tcPr>
            <w:tcW w:w="960" w:type="dxa"/>
            <w:vAlign w:val="bottom"/>
          </w:tcPr>
          <w:p>
            <w:pPr>
              <w:spacing w:after="0"/>
              <w:rPr>
                <w:sz w:val="19"/>
                <w:szCs w:val="19"/>
                <w:color w:val="auto"/>
              </w:rPr>
            </w:pPr>
          </w:p>
        </w:tc>
      </w:tr>
      <w:tr>
        <w:trPr>
          <w:trHeight w:val="230"/>
        </w:trPr>
        <w:tc>
          <w:tcPr>
            <w:tcW w:w="1100" w:type="dxa"/>
            <w:vAlign w:val="bottom"/>
            <w:gridSpan w:val="2"/>
          </w:tcPr>
          <w:p>
            <w:pPr>
              <w:spacing w:after="0"/>
              <w:rPr>
                <w:sz w:val="19"/>
                <w:szCs w:val="19"/>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2026</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4,092,961</w:t>
            </w:r>
          </w:p>
        </w:tc>
        <w:tc>
          <w:tcPr>
            <w:tcW w:w="960" w:type="dxa"/>
            <w:vAlign w:val="bottom"/>
          </w:tcPr>
          <w:p>
            <w:pPr>
              <w:spacing w:after="0"/>
              <w:rPr>
                <w:sz w:val="19"/>
                <w:szCs w:val="19"/>
                <w:color w:val="auto"/>
              </w:rPr>
            </w:pPr>
          </w:p>
        </w:tc>
      </w:tr>
      <w:tr>
        <w:trPr>
          <w:trHeight w:val="230"/>
        </w:trPr>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2027 and thereafter</w:t>
            </w:r>
          </w:p>
        </w:tc>
        <w:tc>
          <w:tcPr>
            <w:tcW w:w="36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12,421,539</w:t>
            </w:r>
          </w:p>
        </w:tc>
        <w:tc>
          <w:tcPr>
            <w:tcW w:w="960" w:type="dxa"/>
            <w:vAlign w:val="bottom"/>
          </w:tcPr>
          <w:p>
            <w:pPr>
              <w:spacing w:after="0"/>
              <w:rPr>
                <w:sz w:val="19"/>
                <w:szCs w:val="19"/>
                <w:color w:val="auto"/>
              </w:rPr>
            </w:pPr>
          </w:p>
        </w:tc>
      </w:tr>
      <w:tr>
        <w:trPr>
          <w:trHeight w:val="223"/>
        </w:trPr>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30,590,678</w:t>
            </w:r>
          </w:p>
        </w:tc>
        <w:tc>
          <w:tcPr>
            <w:tcW w:w="960" w:type="dxa"/>
            <w:vAlign w:val="bottom"/>
          </w:tcPr>
          <w:p>
            <w:pPr>
              <w:spacing w:after="0"/>
              <w:rPr>
                <w:sz w:val="19"/>
                <w:szCs w:val="19"/>
                <w:color w:val="auto"/>
              </w:rPr>
            </w:pPr>
          </w:p>
        </w:tc>
      </w:tr>
      <w:tr>
        <w:trPr>
          <w:trHeight w:val="21"/>
        </w:trPr>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08" w:name="page109"/>
    <w:bookmarkEnd w:id="108"/>
    <w:p>
      <w:pPr>
        <w:jc w:val="center"/>
        <w:ind w:right="-75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(8)  Other Current and Other Long-term Liabilities</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51"/>
        </w:trPr>
        <w:tc>
          <w:tcPr>
            <w:tcW w:w="6720" w:type="dxa"/>
            <w:vAlign w:val="bottom"/>
            <w:gridSpan w:val="2"/>
          </w:tcPr>
          <w:p>
            <w:pPr>
              <w:spacing w:after="0"/>
              <w:rPr>
                <w:sz w:val="20"/>
                <w:szCs w:val="20"/>
                <w:color w:val="auto"/>
              </w:rPr>
            </w:pPr>
            <w:r>
              <w:rPr>
                <w:rFonts w:ascii="Arial" w:cs="Arial" w:eastAsia="Arial" w:hAnsi="Arial"/>
                <w:sz w:val="18"/>
                <w:szCs w:val="18"/>
                <w:color w:val="auto"/>
              </w:rPr>
              <w:t>Other current liabilities consisted of the following at December 31:</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05"/>
        </w:trPr>
        <w:tc>
          <w:tcPr>
            <w:tcW w:w="78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2021</w:t>
            </w:r>
          </w:p>
        </w:tc>
      </w:tr>
      <w:tr>
        <w:trPr>
          <w:trHeight w:val="88"/>
        </w:trPr>
        <w:tc>
          <w:tcPr>
            <w:tcW w:w="780" w:type="dxa"/>
            <w:vAlign w:val="bottom"/>
          </w:tcPr>
          <w:p>
            <w:pPr>
              <w:spacing w:after="0"/>
              <w:rPr>
                <w:sz w:val="7"/>
                <w:szCs w:val="7"/>
                <w:color w:val="auto"/>
              </w:rPr>
            </w:pPr>
          </w:p>
        </w:tc>
        <w:tc>
          <w:tcPr>
            <w:tcW w:w="59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0" w:type="dxa"/>
            <w:vAlign w:val="bottom"/>
          </w:tcPr>
          <w:p>
            <w:pPr>
              <w:spacing w:after="0"/>
              <w:rPr>
                <w:sz w:val="7"/>
                <w:szCs w:val="7"/>
                <w:color w:val="auto"/>
              </w:rPr>
            </w:pPr>
          </w:p>
        </w:tc>
      </w:tr>
      <w:tr>
        <w:trPr>
          <w:trHeight w:val="176"/>
        </w:trPr>
        <w:tc>
          <w:tcPr>
            <w:tcW w:w="780" w:type="dxa"/>
            <w:vAlign w:val="bottom"/>
          </w:tcPr>
          <w:p>
            <w:pPr>
              <w:spacing w:after="0"/>
              <w:rPr>
                <w:sz w:val="15"/>
                <w:szCs w:val="15"/>
                <w:color w:val="auto"/>
              </w:rPr>
            </w:pPr>
          </w:p>
        </w:tc>
        <w:tc>
          <w:tcPr>
            <w:tcW w:w="5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Rebates, product returns, administrative fees</w:t>
            </w: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43"/>
        </w:trPr>
        <w:tc>
          <w:tcPr>
            <w:tcW w:w="780" w:type="dxa"/>
            <w:vAlign w:val="bottom"/>
          </w:tcPr>
          <w:p>
            <w:pPr>
              <w:spacing w:after="0"/>
              <w:rPr>
                <w:sz w:val="21"/>
                <w:szCs w:val="21"/>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service fees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8,347,214</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3,680,677</w:t>
            </w:r>
          </w:p>
        </w:tc>
      </w:tr>
      <w:tr>
        <w:trPr>
          <w:trHeight w:val="230"/>
        </w:trPr>
        <w:tc>
          <w:tcPr>
            <w:tcW w:w="78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Employee wages and benefits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1,440,859</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1,340,846</w:t>
            </w:r>
          </w:p>
        </w:tc>
      </w:tr>
      <w:tr>
        <w:trPr>
          <w:trHeight w:val="229"/>
        </w:trPr>
        <w:tc>
          <w:tcPr>
            <w:tcW w:w="780" w:type="dxa"/>
            <w:vAlign w:val="bottom"/>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Sancuso related liabilities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2,226,725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Current portion of accrued contingent consideration</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3,006,310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2,685,531</w:t>
            </w:r>
          </w:p>
        </w:tc>
      </w:tr>
      <w:tr>
        <w:trPr>
          <w:trHeight w:val="230"/>
        </w:trPr>
        <w:tc>
          <w:tcPr>
            <w:tcW w:w="780" w:type="dxa"/>
            <w:vAlign w:val="bottom"/>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deferred charges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614,551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Accrued inventory purchases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609,621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18,211</w:t>
            </w:r>
          </w:p>
        </w:tc>
      </w:tr>
      <w:tr>
        <w:trPr>
          <w:trHeight w:val="230"/>
        </w:trPr>
        <w:tc>
          <w:tcPr>
            <w:tcW w:w="780" w:type="dxa"/>
            <w:vAlign w:val="bottom"/>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1,342,631</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943,038</w:t>
            </w:r>
          </w:p>
        </w:tc>
      </w:tr>
      <w:tr>
        <w:trPr>
          <w:trHeight w:val="223"/>
        </w:trPr>
        <w:tc>
          <w:tcPr>
            <w:tcW w:w="78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Total other current liabilities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17,587,911</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8,668,303</w:t>
            </w:r>
          </w:p>
        </w:tc>
      </w:tr>
      <w:tr>
        <w:trPr>
          <w:trHeight w:val="21"/>
        </w:trPr>
        <w:tc>
          <w:tcPr>
            <w:tcW w:w="7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2021</w:t>
            </w:r>
          </w:p>
        </w:tc>
      </w:tr>
      <w:tr>
        <w:trPr>
          <w:trHeight w:val="75"/>
        </w:trPr>
        <w:tc>
          <w:tcPr>
            <w:tcW w:w="5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60" w:type="dxa"/>
            <w:vAlign w:val="bottom"/>
          </w:tcPr>
          <w:p>
            <w:pPr>
              <w:spacing w:after="0"/>
              <w:rPr>
                <w:sz w:val="6"/>
                <w:szCs w:val="6"/>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portion of accrued contingent consideration</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4,931,513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3,830,096</w:t>
            </w: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Deferred compensation</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2,522,506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3,433,962</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224,786</w:t>
            </w:r>
          </w:p>
        </w:tc>
      </w:tr>
      <w:tr>
        <w:trPr>
          <w:trHeight w:val="223"/>
        </w:trPr>
        <w:tc>
          <w:tcPr>
            <w:tcW w:w="5740" w:type="dxa"/>
            <w:vAlign w:val="bottom"/>
          </w:tcPr>
          <w:p>
            <w:pPr>
              <w:ind w:left="220"/>
              <w:spacing w:after="0"/>
              <w:rPr>
                <w:sz w:val="20"/>
                <w:szCs w:val="20"/>
                <w:color w:val="auto"/>
              </w:rPr>
            </w:pPr>
            <w:r>
              <w:rPr>
                <w:rFonts w:ascii="Arial" w:cs="Arial" w:eastAsia="Arial" w:hAnsi="Arial"/>
                <w:sz w:val="18"/>
                <w:szCs w:val="18"/>
                <w:color w:val="auto"/>
              </w:rPr>
              <w:t>Total other long-term liabilities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7,585,019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7,488,844</w:t>
            </w:r>
          </w:p>
        </w:tc>
      </w:tr>
      <w:tr>
        <w:trPr>
          <w:trHeight w:val="20"/>
        </w:trPr>
        <w:tc>
          <w:tcPr>
            <w:tcW w:w="5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364" w:right="109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0" w:hanging="392"/>
        <w:spacing w:after="0"/>
        <w:tabs>
          <w:tab w:leader="none" w:pos="4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4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31, 2021, the Company entered into a Fifth Amendment to the Revolving Credit Note and Sixth Amendment (the "Sixth Amendment") to Revolving Credit Loan Agreement with Pinnacle Bank (the "Pinnacle Agreement"). The Sixth Amendment increased the principal amount by $5 million to $20 million. On October 28, 2021, the Company entered into a Fourth Amendment to the Revolving Credit Note and Fifth Amendment to Revolving Credit Loan Agreement with Pinnacle Bank. Among other terms, the Fourth Amendment extended the maturity date to October 1, 2024. The Pinnacle Agreement includes specific financial covenants including Debt Ratio and Tangible Capital Ratio.</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2022, the Company and Pinnacle Bank agreed to modify the financial covenants to align with the current use of the line of credit. On September 29, 2022, the Company entered into the Ninth Amendment to the Revolving Credit Loan Agreement with Pinnacle Bank (as amended, the "Pinnacle Agreement") to update the Funded Debt Ratio to mean the ratio of (i) Funded Debt less the amount of Unrestricted Cash in excess of $8,500,000, to (ii) EBITDA, as determined at the end of each fiscal quarter on a rolling four (4) quarter basis. For the year ended December 31, 2022, we were in compliance with the Funded Debt Ratio financial covenant.</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$16.2 million and $15.0 million in borrowings outstanding under the Pinnacle Agreement at December 31, 2022 and 2021, respectively.</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interest rate on the Pinnacle Agreement is based on LIBOR plus an interest rate spread. The pricing under the Fourth Amendment provides for an interest rate spread of 1.75% to 2.75% above LIBOR with a minimum LIBOR of 0.90% (representing an interest rate of 6.875% at December 31, 2022). In addition, a fee of 0.25% per year is charged on the unused line of credit. Interest and the unused line fee are payable quarterly. In 2022, the LIBOR benchmark rate is expected to be discontinued. When the LIBOR rate is no longer available, the Pinnacle Agreement calls for a new Benchmark rate to be used to determine the interest rate for the Agreement. It is expected that SOFR will become the replacement benchmark.</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line of credit are collateralized by substantially all of our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 Loan</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20, 2020, Cumberland received the funding of a loan from Pinnacle Bank in the aggregate amount of $2,187,140 pursuant to the Paycheck Protection Program (the “PPP”) under the Federal Coronavirus Aid, Relief, and Economic Security Act ("CARES Act"), which was enacted March 27, 2020.</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PPP is administered by the U.S. Small Business Administration ("SBA"). The loan was scheduled to mature April 14, 2022, and bears interest at a rate of 1.0% per year, payable monthly. The loan could be prepaid at any time prior to maturity with no prepayment penalties. Funds from the loan are to be used to maintain payroll, continue group health care benefits and pay for rent and utilities.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Under the terms of the PPP, certain amounts of the loan may be forgiven if they are used for qualifying expenses as described in the CARES Act, including qualifying payroll costs, covered rent payments, and covered utilities. From the date of funding the Company has used the loan amount for such qualifying expenses. Cumberland has elected to account for the proceeds of the loan as a government grant under </w:t>
      </w:r>
      <w:r>
        <w:rPr>
          <w:rFonts w:ascii="Arial" w:cs="Arial" w:eastAsia="Arial" w:hAnsi="Arial"/>
          <w:sz w:val="17"/>
          <w:szCs w:val="17"/>
          <w:i w:val="1"/>
          <w:iCs w:val="1"/>
          <w:color w:val="auto"/>
        </w:rPr>
        <w:t>International Accounting Standard 20 ("IAS 20"),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Government Grants and Disclosure of Government Assistance. </w:t>
      </w:r>
      <w:r>
        <w:rPr>
          <w:rFonts w:ascii="Arial" w:cs="Arial" w:eastAsia="Arial" w:hAnsi="Arial"/>
          <w:sz w:val="17"/>
          <w:szCs w:val="17"/>
          <w:color w:val="auto"/>
        </w:rPr>
        <w:t>The permitted analogous use of IAS 20 outlines a model for the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for government assistance, including forgivable loans. As a result, the Company has recorded the $2,187,140 as a deferred income liability, which is included as a component of other current liabilities on the consolidated balance sheet as of December 31, 2021.</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Cumberland applied for this loan after carefully considering, with its bank, the eligibility criteria to participate in this program, and determining that Cumberland met these criteria. The Company evaluated and provided information on our payroll and other qualifying expenses to determine the amount of PPP funds to apply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0" w:name="page111"/>
    <w:bookmarkEnd w:id="110"/>
    <w:p>
      <w:pPr>
        <w:jc w:val="center"/>
        <w:ind w:right="-7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80"/>
        <w:spacing w:after="0" w:line="263" w:lineRule="auto"/>
        <w:rPr>
          <w:sz w:val="20"/>
          <w:szCs w:val="20"/>
          <w:color w:val="auto"/>
        </w:rPr>
      </w:pPr>
      <w:r>
        <w:rPr>
          <w:rFonts w:ascii="Arial" w:cs="Arial" w:eastAsia="Arial" w:hAnsi="Arial"/>
          <w:sz w:val="18"/>
          <w:szCs w:val="18"/>
          <w:color w:val="auto"/>
        </w:rPr>
        <w:t>Cumberland has not laid off or furloughed any employees as a result of the COVID-19 pandemic and, based on assistance from the PPP loan, the Company currently does not foresee doing so. In October 2020, the Company submitted a request for forgiveness of the PPP loan. The request was approved by the lender, Pinnacle Bank, who then submitted it to SBA for the SBA's review and approval.</w:t>
      </w:r>
    </w:p>
    <w:p>
      <w:pPr>
        <w:spacing w:after="0" w:line="103" w:lineRule="exact"/>
        <w:rPr>
          <w:sz w:val="20"/>
          <w:szCs w:val="20"/>
          <w:color w:val="auto"/>
        </w:rPr>
      </w:pPr>
    </w:p>
    <w:p>
      <w:pPr>
        <w:jc w:val="both"/>
        <w:ind w:left="80"/>
        <w:spacing w:after="0" w:line="277" w:lineRule="auto"/>
        <w:rPr>
          <w:sz w:val="20"/>
          <w:szCs w:val="20"/>
          <w:color w:val="auto"/>
        </w:rPr>
      </w:pPr>
      <w:r>
        <w:rPr>
          <w:rFonts w:ascii="Arial" w:cs="Arial" w:eastAsia="Arial" w:hAnsi="Arial"/>
          <w:sz w:val="18"/>
          <w:szCs w:val="18"/>
          <w:color w:val="auto"/>
        </w:rPr>
        <w:t>On June 11, 2021, the Company received a notice from the SBA that the full amount of the loan was forgiven. The Company accounted for the forgiveness of the loan under IAS 20 and recorded the $2,187,140 as other income during the year ended December 31, 2021.</w:t>
      </w:r>
    </w:p>
    <w:p>
      <w:pPr>
        <w:spacing w:after="0" w:line="9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Shareholders’ Equity</w:t>
      </w:r>
    </w:p>
    <w:p>
      <w:pPr>
        <w:spacing w:after="0" w:line="162" w:lineRule="exact"/>
        <w:rPr>
          <w:sz w:val="20"/>
          <w:szCs w:val="20"/>
          <w:color w:val="auto"/>
        </w:rPr>
      </w:pPr>
    </w:p>
    <w:p>
      <w:pPr>
        <w:ind w:left="800" w:hanging="388"/>
        <w:spacing w:after="0"/>
        <w:tabs>
          <w:tab w:leader="none" w:pos="80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Initial Public Offering</w:t>
      </w:r>
    </w:p>
    <w:p>
      <w:pPr>
        <w:spacing w:after="0" w:line="144" w:lineRule="exact"/>
        <w:rPr>
          <w:sz w:val="20"/>
          <w:szCs w:val="20"/>
          <w:color w:val="auto"/>
        </w:rPr>
      </w:pPr>
    </w:p>
    <w:p>
      <w:pPr>
        <w:jc w:val="both"/>
        <w:ind w:left="80"/>
        <w:spacing w:after="0" w:line="263" w:lineRule="auto"/>
        <w:rPr>
          <w:sz w:val="20"/>
          <w:szCs w:val="20"/>
          <w:color w:val="auto"/>
        </w:rPr>
      </w:pPr>
      <w:r>
        <w:rPr>
          <w:rFonts w:ascii="Arial" w:cs="Arial" w:eastAsia="Arial" w:hAnsi="Arial"/>
          <w:sz w:val="18"/>
          <w:szCs w:val="18"/>
          <w:color w:val="auto"/>
        </w:rPr>
        <w:t>On August 10, 2009, the Company completed its initial public offering of 5,000,000 shares of common stock at a price of $17.00 per share, raising gross proceeds of $85.0 million. After deducting underwriting discounts of approximately $6.0 million and offering costs incurred of approximately $4.2 million, the net proceeds to the Company were approximately $74.8 million.</w:t>
      </w:r>
    </w:p>
    <w:p>
      <w:pPr>
        <w:spacing w:after="0" w:line="116" w:lineRule="exact"/>
        <w:rPr>
          <w:sz w:val="20"/>
          <w:szCs w:val="20"/>
          <w:color w:val="auto"/>
        </w:rPr>
      </w:pPr>
    </w:p>
    <w:p>
      <w:pPr>
        <w:ind w:left="800" w:hanging="388"/>
        <w:spacing w:after="0"/>
        <w:tabs>
          <w:tab w:leader="none" w:pos="80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Preferred Stock</w:t>
      </w:r>
    </w:p>
    <w:p>
      <w:pPr>
        <w:spacing w:after="0" w:line="158" w:lineRule="exact"/>
        <w:rPr>
          <w:sz w:val="20"/>
          <w:szCs w:val="20"/>
          <w:color w:val="auto"/>
        </w:rPr>
      </w:pPr>
    </w:p>
    <w:p>
      <w:pPr>
        <w:jc w:val="both"/>
        <w:ind w:left="80"/>
        <w:spacing w:after="0" w:line="263" w:lineRule="auto"/>
        <w:rPr>
          <w:sz w:val="20"/>
          <w:szCs w:val="20"/>
          <w:color w:val="auto"/>
        </w:rPr>
      </w:pPr>
      <w:r>
        <w:rPr>
          <w:rFonts w:ascii="Arial" w:cs="Arial" w:eastAsia="Arial" w:hAnsi="Arial"/>
          <w:sz w:val="18"/>
          <w:szCs w:val="18"/>
          <w:color w:val="auto"/>
        </w:rPr>
        <w:t>The Company is authorized to issue 20,000,000 shares of preferred stock. The Board of Directors is authorized to divide these shares into classes or series, and to fix and determine the relative rights, preferences, qualifications and limitations of the shares of any class or series so established. At December 31, 2022 and 2021, there was no preferred stock outstanding.</w:t>
      </w:r>
    </w:p>
    <w:p>
      <w:pPr>
        <w:spacing w:after="0" w:line="89"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Common Stock</w:t>
      </w:r>
    </w:p>
    <w:p>
      <w:pPr>
        <w:spacing w:after="0" w:line="131" w:lineRule="exact"/>
        <w:rPr>
          <w:sz w:val="20"/>
          <w:szCs w:val="20"/>
          <w:color w:val="auto"/>
        </w:rPr>
      </w:pPr>
    </w:p>
    <w:p>
      <w:pPr>
        <w:jc w:val="both"/>
        <w:ind w:left="80"/>
        <w:spacing w:after="0" w:line="277" w:lineRule="auto"/>
        <w:rPr>
          <w:sz w:val="20"/>
          <w:szCs w:val="20"/>
          <w:color w:val="auto"/>
        </w:rPr>
      </w:pPr>
      <w:r>
        <w:rPr>
          <w:rFonts w:ascii="Arial" w:cs="Arial" w:eastAsia="Arial" w:hAnsi="Arial"/>
          <w:sz w:val="18"/>
          <w:szCs w:val="18"/>
          <w:color w:val="auto"/>
        </w:rPr>
        <w:t>During 2022 and 2021, the Company issued 171,655 shares and 192,684 shares of common stock, respectively, as a result of restricted shares vesting as well as other common share issuances. There were no option exercise transactions during 2022 and 2021.</w:t>
      </w:r>
    </w:p>
    <w:p>
      <w:pPr>
        <w:spacing w:after="0" w:line="103" w:lineRule="exact"/>
        <w:rPr>
          <w:sz w:val="20"/>
          <w:szCs w:val="20"/>
          <w:color w:val="auto"/>
        </w:rPr>
      </w:pPr>
    </w:p>
    <w:p>
      <w:pPr>
        <w:ind w:left="800" w:hanging="388"/>
        <w:spacing w:after="0"/>
        <w:tabs>
          <w:tab w:leader="none" w:pos="80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Share Repurchases</w:t>
      </w:r>
    </w:p>
    <w:p>
      <w:pPr>
        <w:spacing w:after="0" w:line="158" w:lineRule="exact"/>
        <w:rPr>
          <w:sz w:val="20"/>
          <w:szCs w:val="20"/>
          <w:color w:val="auto"/>
        </w:rPr>
      </w:pPr>
    </w:p>
    <w:p>
      <w:pPr>
        <w:jc w:val="both"/>
        <w:ind w:left="80"/>
        <w:spacing w:after="0" w:line="257" w:lineRule="auto"/>
        <w:rPr>
          <w:sz w:val="20"/>
          <w:szCs w:val="20"/>
          <w:color w:val="auto"/>
        </w:rPr>
      </w:pPr>
      <w:r>
        <w:rPr>
          <w:rFonts w:ascii="Arial" w:cs="Arial" w:eastAsia="Arial" w:hAnsi="Arial"/>
          <w:sz w:val="18"/>
          <w:szCs w:val="18"/>
          <w:color w:val="auto"/>
        </w:rPr>
        <w:t>The Company currently has a share repurchase program to repurchase up to $10 million of its common stock pursuant to Rule 10b-18 of the Securities Exchange Act, as amended. In January 2019, the Company's Board of Directors established the current $10 million repurchase program to replace the prior authorizations. The Company repurchased 367,793 shares and 438,359 shares of common stock for approximately $1.0 million and $1.4 million during the years ended December 31, 2022 and 2021, respectively. There remains $3.8 million available under the current repurchase program available for share repurchases at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111" w:name="page112"/>
    <w:bookmarkEnd w:id="111"/>
    <w:p>
      <w:pPr>
        <w:jc w:val="center"/>
        <w:ind w:right="-92"/>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92"/>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73" w:hanging="473"/>
        <w:spacing w:after="0"/>
        <w:tabs>
          <w:tab w:leader="none" w:pos="473"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162" w:lineRule="exact"/>
        <w:rPr>
          <w:sz w:val="20"/>
          <w:szCs w:val="20"/>
          <w:color w:val="auto"/>
        </w:rPr>
      </w:pPr>
    </w:p>
    <w:p>
      <w:pPr>
        <w:ind w:left="73"/>
        <w:spacing w:after="0"/>
        <w:rPr>
          <w:sz w:val="20"/>
          <w:szCs w:val="20"/>
          <w:color w:val="auto"/>
        </w:rPr>
      </w:pPr>
      <w:r>
        <w:rPr>
          <w:rFonts w:ascii="Arial" w:cs="Arial" w:eastAsia="Arial" w:hAnsi="Arial"/>
          <w:sz w:val="16"/>
          <w:szCs w:val="16"/>
          <w:color w:val="auto"/>
        </w:rPr>
        <w:t>The following table shows the computation of the numerator and the denominator used to calculate diluted earnings (loss) per share for the years ended</w:t>
      </w:r>
    </w:p>
    <w:p>
      <w:pPr>
        <w:spacing w:after="0" w:line="46" w:lineRule="exact"/>
        <w:rPr>
          <w:sz w:val="20"/>
          <w:szCs w:val="20"/>
          <w:color w:val="auto"/>
        </w:rPr>
      </w:pPr>
    </w:p>
    <w:p>
      <w:pPr>
        <w:ind w:left="73"/>
        <w:spacing w:after="0"/>
        <w:rPr>
          <w:sz w:val="20"/>
          <w:szCs w:val="20"/>
          <w:color w:val="auto"/>
        </w:rPr>
      </w:pPr>
      <w:r>
        <w:rPr>
          <w:rFonts w:ascii="Arial" w:cs="Arial" w:eastAsia="Arial" w:hAnsi="Arial"/>
          <w:sz w:val="18"/>
          <w:szCs w:val="18"/>
          <w:color w:val="auto"/>
        </w:rPr>
        <w:t>December 31:</w:t>
      </w:r>
    </w:p>
    <w:p>
      <w:pPr>
        <w:spacing w:after="0" w:line="184" w:lineRule="exact"/>
        <w:rPr>
          <w:sz w:val="20"/>
          <w:szCs w:val="20"/>
          <w:color w:val="auto"/>
        </w:rPr>
      </w:pPr>
    </w:p>
    <w:tbl>
      <w:tblPr>
        <w:tblLayout w:type="fixed"/>
        <w:tblInd w:w="73" w:type="dxa"/>
        <w:tblCellMar>
          <w:top w:w="0" w:type="dxa"/>
          <w:left w:w="0" w:type="dxa"/>
          <w:bottom w:w="0" w:type="dxa"/>
          <w:right w:w="0" w:type="dxa"/>
        </w:tblCellMar>
      </w:tblPr>
      <w:tr>
        <w:trPr>
          <w:trHeight w:val="213"/>
        </w:trPr>
        <w:tc>
          <w:tcPr>
            <w:tcW w:w="1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8"/>
                <w:szCs w:val="18"/>
                <w:color w:val="auto"/>
              </w:rPr>
            </w:pPr>
          </w:p>
        </w:tc>
      </w:tr>
      <w:tr>
        <w:trPr>
          <w:trHeight w:val="253"/>
        </w:trPr>
        <w:tc>
          <w:tcPr>
            <w:tcW w:w="120" w:type="dxa"/>
            <w:vAlign w:val="bottom"/>
          </w:tcPr>
          <w:p>
            <w:pPr>
              <w:spacing w:after="0"/>
              <w:rPr>
                <w:sz w:val="22"/>
                <w:szCs w:val="22"/>
                <w:color w:val="auto"/>
              </w:rPr>
            </w:pPr>
          </w:p>
        </w:tc>
        <w:tc>
          <w:tcPr>
            <w:tcW w:w="7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30"/>
        </w:trPr>
        <w:tc>
          <w:tcPr>
            <w:tcW w:w="120" w:type="dxa"/>
            <w:vAlign w:val="bottom"/>
          </w:tcPr>
          <w:p>
            <w:pPr>
              <w:spacing w:after="0"/>
              <w:rPr>
                <w:sz w:val="19"/>
                <w:szCs w:val="19"/>
                <w:color w:val="auto"/>
              </w:rPr>
            </w:pP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7600" w:type="dxa"/>
            <w:vAlign w:val="bottom"/>
            <w:gridSpan w:val="2"/>
          </w:tcPr>
          <w:p>
            <w:pPr>
              <w:ind w:left="240"/>
              <w:spacing w:after="0"/>
              <w:rPr>
                <w:sz w:val="20"/>
                <w:szCs w:val="20"/>
                <w:color w:val="auto"/>
              </w:rPr>
            </w:pPr>
            <w:r>
              <w:rPr>
                <w:rFonts w:ascii="Arial" w:cs="Arial" w:eastAsia="Arial" w:hAnsi="Arial"/>
                <w:sz w:val="18"/>
                <w:szCs w:val="18"/>
                <w:color w:val="auto"/>
              </w:rPr>
              <w:t>Net income (loss) from continuing operations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(5,650,039)</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(5,597,121)</w:t>
            </w:r>
          </w:p>
        </w:tc>
      </w:tr>
      <w:tr>
        <w:trPr>
          <w:trHeight w:val="230"/>
        </w:trPr>
        <w:tc>
          <w:tcPr>
            <w:tcW w:w="120" w:type="dxa"/>
            <w:vAlign w:val="bottom"/>
          </w:tcPr>
          <w:p>
            <w:pPr>
              <w:spacing w:after="0"/>
              <w:rPr>
                <w:sz w:val="19"/>
                <w:szCs w:val="19"/>
                <w:color w:val="auto"/>
              </w:rPr>
            </w:pPr>
          </w:p>
        </w:tc>
        <w:tc>
          <w:tcPr>
            <w:tcW w:w="7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Discontinued operations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1,994,322</w:t>
            </w:r>
          </w:p>
        </w:tc>
      </w:tr>
      <w:tr>
        <w:trPr>
          <w:trHeight w:val="223"/>
        </w:trPr>
        <w:tc>
          <w:tcPr>
            <w:tcW w:w="120" w:type="dxa"/>
            <w:vAlign w:val="bottom"/>
          </w:tcPr>
          <w:p>
            <w:pPr>
              <w:spacing w:after="0"/>
              <w:rPr>
                <w:sz w:val="19"/>
                <w:szCs w:val="19"/>
                <w:color w:val="auto"/>
              </w:rPr>
            </w:pPr>
          </w:p>
        </w:tc>
        <w:tc>
          <w:tcPr>
            <w:tcW w:w="760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(5,650,039)</w:t>
            </w: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(3,602,799)</w:t>
            </w:r>
          </w:p>
        </w:tc>
      </w:tr>
      <w:tr>
        <w:trPr>
          <w:trHeight w:val="230"/>
        </w:trPr>
        <w:tc>
          <w:tcPr>
            <w:tcW w:w="120" w:type="dxa"/>
            <w:vAlign w:val="bottom"/>
          </w:tcPr>
          <w:p>
            <w:pPr>
              <w:spacing w:after="0"/>
              <w:rPr>
                <w:sz w:val="19"/>
                <w:szCs w:val="19"/>
                <w:color w:val="auto"/>
              </w:rPr>
            </w:pP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at subsidiary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79,798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95,212</w:t>
            </w:r>
          </w:p>
        </w:tc>
      </w:tr>
      <w:tr>
        <w:trPr>
          <w:trHeight w:val="223"/>
        </w:trPr>
        <w:tc>
          <w:tcPr>
            <w:tcW w:w="120" w:type="dxa"/>
            <w:vAlign w:val="bottom"/>
          </w:tcPr>
          <w:p>
            <w:pPr>
              <w:spacing w:after="0"/>
              <w:rPr>
                <w:sz w:val="19"/>
                <w:szCs w:val="19"/>
                <w:color w:val="auto"/>
              </w:rPr>
            </w:pP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Net income (loss) attributable to common shareholders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(5,570,241)</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(3,507,587)</w:t>
            </w:r>
          </w:p>
        </w:tc>
      </w:tr>
      <w:tr>
        <w:trPr>
          <w:trHeight w:val="20"/>
        </w:trPr>
        <w:tc>
          <w:tcPr>
            <w:tcW w:w="120" w:type="dxa"/>
            <w:vAlign w:val="bottom"/>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76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29"/>
        </w:trPr>
        <w:tc>
          <w:tcPr>
            <w:tcW w:w="120" w:type="dxa"/>
            <w:vAlign w:val="bottom"/>
          </w:tcPr>
          <w:p>
            <w:pPr>
              <w:spacing w:after="0"/>
              <w:rPr>
                <w:sz w:val="19"/>
                <w:szCs w:val="19"/>
                <w:color w:val="auto"/>
              </w:rPr>
            </w:pPr>
          </w:p>
        </w:tc>
        <w:tc>
          <w:tcPr>
            <w:tcW w:w="760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Weighted-average shares outstanding – basic</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14,563,592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14,904,834</w:t>
            </w:r>
          </w:p>
        </w:tc>
      </w:tr>
      <w:tr>
        <w:trPr>
          <w:trHeight w:val="248"/>
        </w:trPr>
        <w:tc>
          <w:tcPr>
            <w:tcW w:w="120" w:type="dxa"/>
            <w:vAlign w:val="bottom"/>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Weighted-average shares outstanding – diluted</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14,563,592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14,904,834</w:t>
            </w:r>
          </w:p>
        </w:tc>
      </w:tr>
      <w:tr>
        <w:trPr>
          <w:trHeight w:val="20"/>
        </w:trPr>
        <w:tc>
          <w:tcPr>
            <w:tcW w:w="120" w:type="dxa"/>
            <w:vAlign w:val="bottom"/>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r>
      <w:tr>
        <w:trPr>
          <w:trHeight w:val="420"/>
        </w:trPr>
        <w:tc>
          <w:tcPr>
            <w:tcW w:w="9500" w:type="dxa"/>
            <w:vAlign w:val="bottom"/>
            <w:gridSpan w:val="8"/>
          </w:tcPr>
          <w:p>
            <w:pPr>
              <w:spacing w:after="0"/>
              <w:rPr>
                <w:sz w:val="20"/>
                <w:szCs w:val="20"/>
                <w:color w:val="auto"/>
              </w:rPr>
            </w:pPr>
            <w:r>
              <w:rPr>
                <w:rFonts w:ascii="Arial" w:cs="Arial" w:eastAsia="Arial" w:hAnsi="Arial"/>
                <w:sz w:val="18"/>
                <w:szCs w:val="18"/>
                <w:color w:val="auto"/>
                <w:w w:val="93"/>
              </w:rPr>
              <w:t>The Company's anti-dilutive restricted shares and stock options outstanding were as follows for the years ended December 31:</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88"/>
        </w:trPr>
        <w:tc>
          <w:tcPr>
            <w:tcW w:w="1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2021</w:t>
            </w:r>
          </w:p>
        </w:tc>
        <w:tc>
          <w:tcPr>
            <w:tcW w:w="320" w:type="dxa"/>
            <w:vAlign w:val="bottom"/>
          </w:tcPr>
          <w:p>
            <w:pPr>
              <w:spacing w:after="0"/>
              <w:rPr>
                <w:sz w:val="24"/>
                <w:szCs w:val="24"/>
                <w:color w:val="auto"/>
              </w:rPr>
            </w:pPr>
          </w:p>
        </w:tc>
      </w:tr>
      <w:tr>
        <w:trPr>
          <w:trHeight w:val="145"/>
        </w:trPr>
        <w:tc>
          <w:tcPr>
            <w:tcW w:w="1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49"/>
        </w:trPr>
        <w:tc>
          <w:tcPr>
            <w:tcW w:w="7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Anti-dilutive shares and options</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227,050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183,300</w:t>
            </w:r>
          </w:p>
        </w:tc>
        <w:tc>
          <w:tcPr>
            <w:tcW w:w="320" w:type="dxa"/>
            <w:vAlign w:val="bottom"/>
          </w:tcPr>
          <w:p>
            <w:pPr>
              <w:spacing w:after="0"/>
              <w:rPr>
                <w:sz w:val="21"/>
                <w:szCs w:val="2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92"/>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93"/>
          </w:cols>
          <w:pgMar w:left="247" w:top="364" w:right="359" w:bottom="1440" w:gutter="0" w:footer="0" w:header="0"/>
        </w:sectPr>
      </w:pPr>
    </w:p>
    <w:bookmarkStart w:id="112" w:name="page113"/>
    <w:bookmarkEnd w:id="112"/>
    <w:p>
      <w:pPr>
        <w:jc w:val="center"/>
        <w:ind w:right="-9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Income Taxes</w:t>
      </w:r>
    </w:p>
    <w:p>
      <w:pPr>
        <w:spacing w:after="0" w:line="148"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components of the Company's net deferred tax assets at December 31 are as follows:</w:t>
      </w:r>
    </w:p>
    <w:p>
      <w:pPr>
        <w:spacing w:after="0" w:line="199" w:lineRule="exact"/>
        <w:rPr>
          <w:sz w:val="20"/>
          <w:szCs w:val="20"/>
          <w:color w:val="auto"/>
        </w:rPr>
      </w:pPr>
    </w:p>
    <w:tbl>
      <w:tblPr>
        <w:tblLayout w:type="fixed"/>
        <w:tblInd w:w="620" w:type="dxa"/>
        <w:tblCellMar>
          <w:top w:w="0" w:type="dxa"/>
          <w:left w:w="0" w:type="dxa"/>
          <w:bottom w:w="0" w:type="dxa"/>
          <w:right w:w="0" w:type="dxa"/>
        </w:tblCellMar>
      </w:tblPr>
      <w:tr>
        <w:trPr>
          <w:trHeight w:val="213"/>
        </w:trPr>
        <w:tc>
          <w:tcPr>
            <w:tcW w:w="64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2021</w:t>
            </w:r>
          </w:p>
        </w:tc>
      </w:tr>
      <w:tr>
        <w:trPr>
          <w:trHeight w:val="145"/>
        </w:trPr>
        <w:tc>
          <w:tcPr>
            <w:tcW w:w="6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6400" w:type="dxa"/>
            <w:vAlign w:val="bottom"/>
          </w:tcPr>
          <w:p>
            <w:pPr>
              <w:ind w:left="240"/>
              <w:spacing w:after="0"/>
              <w:rPr>
                <w:sz w:val="20"/>
                <w:szCs w:val="20"/>
                <w:color w:val="auto"/>
              </w:rPr>
            </w:pPr>
            <w:r>
              <w:rPr>
                <w:rFonts w:ascii="Arial" w:cs="Arial" w:eastAsia="Arial" w:hAnsi="Arial"/>
                <w:sz w:val="18"/>
                <w:szCs w:val="18"/>
                <w:color w:val="auto"/>
              </w:rPr>
              <w:t>Net operating loss and tax credits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16,164,754</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16,817,070</w:t>
            </w:r>
          </w:p>
        </w:tc>
      </w:tr>
      <w:tr>
        <w:trPr>
          <w:trHeight w:val="229"/>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and equipment and intangibles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264,653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222,893</w:t>
            </w:r>
          </w:p>
        </w:tc>
      </w:tr>
      <w:tr>
        <w:trPr>
          <w:trHeight w:val="229"/>
        </w:trPr>
        <w:tc>
          <w:tcPr>
            <w:tcW w:w="6400" w:type="dxa"/>
            <w:vAlign w:val="bottom"/>
          </w:tcPr>
          <w:p>
            <w:pPr>
              <w:ind w:left="240"/>
              <w:spacing w:after="0"/>
              <w:rPr>
                <w:sz w:val="20"/>
                <w:szCs w:val="20"/>
                <w:color w:val="auto"/>
              </w:rPr>
            </w:pPr>
            <w:r>
              <w:rPr>
                <w:rFonts w:ascii="Arial" w:cs="Arial" w:eastAsia="Arial" w:hAnsi="Arial"/>
                <w:sz w:val="18"/>
                <w:szCs w:val="18"/>
                <w:color w:val="auto"/>
              </w:rPr>
              <w:t>Operating lease liabilities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1,121,800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Intangible assets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866,942</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00" w:type="dxa"/>
            <w:vAlign w:val="bottom"/>
          </w:tcPr>
          <w:p>
            <w:pPr>
              <w:ind w:left="240"/>
              <w:spacing w:after="0"/>
              <w:rPr>
                <w:sz w:val="20"/>
                <w:szCs w:val="20"/>
                <w:color w:val="auto"/>
              </w:rPr>
            </w:pPr>
            <w:r>
              <w:rPr>
                <w:rFonts w:ascii="Arial" w:cs="Arial" w:eastAsia="Arial" w:hAnsi="Arial"/>
                <w:sz w:val="18"/>
                <w:szCs w:val="18"/>
                <w:color w:val="auto"/>
              </w:rPr>
              <w:t>Capitalized research cost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1,481,455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Allowance for accounts receivable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145,803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83,931</w:t>
            </w:r>
          </w:p>
        </w:tc>
      </w:tr>
      <w:tr>
        <w:trPr>
          <w:trHeight w:val="229"/>
        </w:trPr>
        <w:tc>
          <w:tcPr>
            <w:tcW w:w="6400" w:type="dxa"/>
            <w:vAlign w:val="bottom"/>
          </w:tcPr>
          <w:p>
            <w:pPr>
              <w:ind w:left="240"/>
              <w:spacing w:after="0"/>
              <w:rPr>
                <w:sz w:val="20"/>
                <w:szCs w:val="20"/>
                <w:color w:val="auto"/>
              </w:rPr>
            </w:pPr>
            <w:r>
              <w:rPr>
                <w:rFonts w:ascii="Arial" w:cs="Arial" w:eastAsia="Arial" w:hAnsi="Arial"/>
                <w:sz w:val="18"/>
                <w:szCs w:val="18"/>
                <w:color w:val="auto"/>
              </w:rPr>
              <w:t>Reserve for expired product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654,148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457,723</w:t>
            </w:r>
          </w:p>
        </w:tc>
      </w:tr>
      <w:tr>
        <w:trPr>
          <w:trHeight w:val="229"/>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217,025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104,824</w:t>
            </w:r>
          </w:p>
        </w:tc>
      </w:tr>
      <w:tr>
        <w:trPr>
          <w:trHeight w:val="230"/>
        </w:trPr>
        <w:tc>
          <w:tcPr>
            <w:tcW w:w="6400" w:type="dxa"/>
            <w:vAlign w:val="bottom"/>
          </w:tcPr>
          <w:p>
            <w:pPr>
              <w:ind w:left="240"/>
              <w:spacing w:after="0"/>
              <w:rPr>
                <w:sz w:val="20"/>
                <w:szCs w:val="20"/>
                <w:color w:val="auto"/>
              </w:rPr>
            </w:pPr>
            <w:r>
              <w:rPr>
                <w:rFonts w:ascii="Arial" w:cs="Arial" w:eastAsia="Arial" w:hAnsi="Arial"/>
                <w:sz w:val="18"/>
                <w:szCs w:val="18"/>
                <w:color w:val="auto"/>
              </w:rPr>
              <w:t>Deferred charges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1,156,150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1,303,664</w:t>
            </w:r>
          </w:p>
        </w:tc>
      </w:tr>
      <w:tr>
        <w:trPr>
          <w:trHeight w:val="229"/>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Cumulative compensation costs incurred on deductible equity awards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635,989</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834,070</w:t>
            </w:r>
          </w:p>
        </w:tc>
      </w:tr>
      <w:tr>
        <w:trPr>
          <w:trHeight w:val="223"/>
        </w:trPr>
        <w:tc>
          <w:tcPr>
            <w:tcW w:w="6400" w:type="dxa"/>
            <w:vAlign w:val="bottom"/>
          </w:tcPr>
          <w:p>
            <w:pPr>
              <w:ind w:left="460"/>
              <w:spacing w:after="0"/>
              <w:rPr>
                <w:sz w:val="20"/>
                <w:szCs w:val="20"/>
                <w:color w:val="auto"/>
              </w:rPr>
            </w:pPr>
            <w:r>
              <w:rPr>
                <w:rFonts w:ascii="Arial" w:cs="Arial" w:eastAsia="Arial" w:hAnsi="Arial"/>
                <w:sz w:val="18"/>
                <w:szCs w:val="18"/>
                <w:color w:val="auto"/>
              </w:rPr>
              <w:t>Total deferred tax assets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22,708,719</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19,824,175</w:t>
            </w:r>
          </w:p>
        </w:tc>
      </w:tr>
      <w:tr>
        <w:trPr>
          <w:trHeight w:val="162"/>
        </w:trPr>
        <w:tc>
          <w:tcPr>
            <w:tcW w:w="64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right-of-use assets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(1,150,935)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0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42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(62,253)</w:t>
            </w:r>
          </w:p>
        </w:tc>
      </w:tr>
      <w:tr>
        <w:trPr>
          <w:trHeight w:val="223"/>
        </w:trPr>
        <w:tc>
          <w:tcPr>
            <w:tcW w:w="64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deferred tax assets, before valuation allowance</w:t>
            </w:r>
          </w:p>
        </w:tc>
        <w:tc>
          <w:tcPr>
            <w:tcW w:w="4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21,557,784</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19,761,922</w:t>
            </w:r>
          </w:p>
        </w:tc>
      </w:tr>
      <w:tr>
        <w:trPr>
          <w:trHeight w:val="22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deferred tax asset valuation allowance</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(21,557,784)</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(19,761,922)</w:t>
            </w:r>
          </w:p>
        </w:tc>
      </w:tr>
      <w:tr>
        <w:trPr>
          <w:trHeight w:val="248"/>
        </w:trPr>
        <w:tc>
          <w:tcPr>
            <w:tcW w:w="64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deferred tax assets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80"/>
        <w:spacing w:after="0" w:line="277" w:lineRule="auto"/>
        <w:rPr>
          <w:sz w:val="20"/>
          <w:szCs w:val="20"/>
          <w:color w:val="auto"/>
        </w:rPr>
      </w:pPr>
      <w:r>
        <w:rPr>
          <w:rFonts w:ascii="Arial" w:cs="Arial" w:eastAsia="Arial" w:hAnsi="Arial"/>
          <w:sz w:val="18"/>
          <w:szCs w:val="18"/>
          <w:color w:val="auto"/>
        </w:rPr>
        <w:t>The following table summarizes the amount and year of expiration of the Company's federal and state net operating loss carryforwards as of December 31, 2022:</w:t>
      </w:r>
    </w:p>
    <w:p>
      <w:pPr>
        <w:spacing w:after="0" w:line="144"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640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Years of expiration</w:t>
            </w:r>
          </w:p>
        </w:tc>
        <w:tc>
          <w:tcPr>
            <w:tcW w:w="380" w:type="dxa"/>
            <w:vAlign w:val="bottom"/>
          </w:tcPr>
          <w:p>
            <w:pPr>
              <w:spacing w:after="0"/>
              <w:rPr>
                <w:sz w:val="18"/>
                <w:szCs w:val="18"/>
                <w:color w:val="auto"/>
              </w:rPr>
            </w:pPr>
          </w:p>
        </w:tc>
        <w:tc>
          <w:tcPr>
            <w:tcW w:w="1580" w:type="dxa"/>
            <w:vAlign w:val="bottom"/>
            <w:gridSpan w:val="2"/>
          </w:tcPr>
          <w:p>
            <w:pPr>
              <w:ind w:left="260"/>
              <w:spacing w:after="0"/>
              <w:rPr>
                <w:sz w:val="20"/>
                <w:szCs w:val="20"/>
                <w:color w:val="auto"/>
              </w:rPr>
            </w:pPr>
            <w:r>
              <w:rPr>
                <w:rFonts w:ascii="Arial" w:cs="Arial" w:eastAsia="Arial" w:hAnsi="Arial"/>
                <w:sz w:val="16"/>
                <w:szCs w:val="16"/>
                <w:b w:val="1"/>
                <w:bCs w:val="1"/>
                <w:color w:val="auto"/>
              </w:rPr>
              <w:t>Federal</w:t>
            </w:r>
          </w:p>
        </w:tc>
        <w:tc>
          <w:tcPr>
            <w:tcW w:w="420" w:type="dxa"/>
            <w:vAlign w:val="bottom"/>
          </w:tcPr>
          <w:p>
            <w:pPr>
              <w:spacing w:after="0"/>
              <w:rPr>
                <w:sz w:val="18"/>
                <w:szCs w:val="18"/>
                <w:color w:val="auto"/>
              </w:rPr>
            </w:pPr>
          </w:p>
        </w:tc>
        <w:tc>
          <w:tcPr>
            <w:tcW w:w="1400" w:type="dxa"/>
            <w:vAlign w:val="bottom"/>
          </w:tcPr>
          <w:p>
            <w:pPr>
              <w:jc w:val="right"/>
              <w:ind w:right="652"/>
              <w:spacing w:after="0"/>
              <w:rPr>
                <w:sz w:val="20"/>
                <w:szCs w:val="20"/>
                <w:color w:val="auto"/>
              </w:rPr>
            </w:pPr>
            <w:r>
              <w:rPr>
                <w:rFonts w:ascii="Arial" w:cs="Arial" w:eastAsia="Arial" w:hAnsi="Arial"/>
                <w:sz w:val="16"/>
                <w:szCs w:val="16"/>
                <w:b w:val="1"/>
                <w:bCs w:val="1"/>
                <w:color w:val="auto"/>
              </w:rPr>
              <w:t>State</w:t>
            </w:r>
          </w:p>
        </w:tc>
        <w:tc>
          <w:tcPr>
            <w:tcW w:w="0" w:type="dxa"/>
            <w:vAlign w:val="bottom"/>
          </w:tcPr>
          <w:p>
            <w:pPr>
              <w:spacing w:after="0"/>
              <w:rPr>
                <w:sz w:val="1"/>
                <w:szCs w:val="1"/>
                <w:color w:val="auto"/>
              </w:rPr>
            </w:pPr>
          </w:p>
        </w:tc>
      </w:tr>
      <w:tr>
        <w:trPr>
          <w:trHeight w:val="145"/>
        </w:trPr>
        <w:tc>
          <w:tcPr>
            <w:tcW w:w="6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251,811</w:t>
            </w:r>
          </w:p>
        </w:tc>
        <w:tc>
          <w:tcPr>
            <w:tcW w:w="0" w:type="dxa"/>
            <w:vAlign w:val="bottom"/>
          </w:tcPr>
          <w:p>
            <w:pPr>
              <w:spacing w:after="0"/>
              <w:rPr>
                <w:sz w:val="1"/>
                <w:szCs w:val="1"/>
                <w:color w:val="auto"/>
              </w:rPr>
            </w:pPr>
          </w:p>
        </w:tc>
      </w:tr>
      <w:tr>
        <w:trPr>
          <w:trHeight w:val="229"/>
        </w:trPr>
        <w:tc>
          <w:tcPr>
            <w:tcW w:w="6280" w:type="dxa"/>
            <w:vAlign w:val="bottom"/>
          </w:tcPr>
          <w:p>
            <w:pPr>
              <w:ind w:left="240"/>
              <w:spacing w:after="0"/>
              <w:rPr>
                <w:sz w:val="20"/>
                <w:szCs w:val="20"/>
                <w:color w:val="auto"/>
              </w:rPr>
            </w:pPr>
            <w:r>
              <w:rPr>
                <w:rFonts w:ascii="Arial" w:cs="Arial" w:eastAsia="Arial" w:hAnsi="Arial"/>
                <w:sz w:val="18"/>
                <w:szCs w:val="18"/>
                <w:color w:val="auto"/>
              </w:rPr>
              <w:t>2024-2042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46,656,666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55,790,944</w:t>
            </w:r>
          </w:p>
        </w:tc>
        <w:tc>
          <w:tcPr>
            <w:tcW w:w="0" w:type="dxa"/>
            <w:vAlign w:val="bottom"/>
          </w:tcPr>
          <w:p>
            <w:pPr>
              <w:spacing w:after="0"/>
              <w:rPr>
                <w:sz w:val="1"/>
                <w:szCs w:val="1"/>
                <w:color w:val="auto"/>
              </w:rPr>
            </w:pPr>
          </w:p>
        </w:tc>
      </w:tr>
      <w:tr>
        <w:trPr>
          <w:trHeight w:val="228"/>
        </w:trPr>
        <w:tc>
          <w:tcPr>
            <w:tcW w:w="6400" w:type="dxa"/>
            <w:vAlign w:val="bottom"/>
            <w:tcBorders>
              <w:bottom w:val="single" w:sz="8" w:color="CCEEFF"/>
            </w:tcBorders>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Indefinite Period</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6,405,835</w:t>
            </w: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433,203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2"/>
            <w:vMerge w:val="restart"/>
          </w:tcPr>
          <w:p>
            <w:pPr>
              <w:ind w:left="240"/>
              <w:spacing w:after="0"/>
              <w:rPr>
                <w:sz w:val="20"/>
                <w:szCs w:val="20"/>
                <w:color w:val="auto"/>
              </w:rPr>
            </w:pPr>
            <w:r>
              <w:rPr>
                <w:rFonts w:ascii="Arial" w:cs="Arial" w:eastAsia="Arial" w:hAnsi="Arial"/>
                <w:sz w:val="18"/>
                <w:szCs w:val="18"/>
                <w:color w:val="auto"/>
              </w:rPr>
              <w:t>Total federal and state net operating loss carryforwards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00" w:type="dxa"/>
            <w:vAlign w:val="bottom"/>
            <w:gridSpan w:val="2"/>
            <w:vMerge w:val="continue"/>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53,062,501</w:t>
            </w:r>
          </w:p>
        </w:tc>
        <w:tc>
          <w:tcPr>
            <w:tcW w:w="14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56,475,958</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 includes the following components for the years ended December 31: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ind w:right="651"/>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r>
      <w:tr>
        <w:trPr>
          <w:trHeight w:val="236"/>
        </w:trPr>
        <w:tc>
          <w:tcPr>
            <w:tcW w:w="80" w:type="dxa"/>
            <w:vAlign w:val="bottom"/>
          </w:tcPr>
          <w:p>
            <w:pPr>
              <w:spacing w:after="0"/>
              <w:rPr>
                <w:sz w:val="20"/>
                <w:szCs w:val="20"/>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80" w:type="dxa"/>
            <w:vAlign w:val="bottom"/>
          </w:tcPr>
          <w:p>
            <w:pPr>
              <w:spacing w:after="0"/>
              <w:rPr>
                <w:sz w:val="19"/>
                <w:szCs w:val="19"/>
                <w:color w:val="auto"/>
              </w:rPr>
            </w:pPr>
          </w:p>
        </w:tc>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1140" w:type="dxa"/>
            <w:vAlign w:val="bottom"/>
            <w:shd w:val="clear" w:color="auto" w:fill="CCEEFF"/>
          </w:tcPr>
          <w:p>
            <w:pPr>
              <w:jc w:val="right"/>
              <w:ind w:right="955"/>
              <w:spacing w:after="0"/>
              <w:rPr>
                <w:sz w:val="20"/>
                <w:szCs w:val="20"/>
                <w:color w:val="auto"/>
              </w:rPr>
            </w:pPr>
            <w:r>
              <w:rPr>
                <w:rFonts w:ascii="Arial" w:cs="Arial" w:eastAsia="Arial" w:hAnsi="Arial"/>
                <w:sz w:val="18"/>
                <w:szCs w:val="18"/>
                <w:color w:val="auto"/>
                <w:w w:val="79"/>
              </w:rPr>
              <w:t>$</w:t>
            </w:r>
          </w:p>
        </w:tc>
        <w:tc>
          <w:tcPr>
            <w:tcW w:w="8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73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State and other</w:t>
            </w:r>
          </w:p>
        </w:tc>
        <w:tc>
          <w:tcPr>
            <w:tcW w:w="1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68,850</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34,891</w:t>
            </w:r>
          </w:p>
        </w:tc>
        <w:tc>
          <w:tcPr>
            <w:tcW w:w="2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7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current income tax (expense) benefit</w:t>
            </w:r>
          </w:p>
        </w:tc>
        <w:tc>
          <w:tcPr>
            <w:tcW w:w="1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68,850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34,891</w:t>
            </w:r>
          </w:p>
        </w:tc>
        <w:tc>
          <w:tcPr>
            <w:tcW w:w="20" w:type="dxa"/>
            <w:vAlign w:val="bottom"/>
          </w:tcPr>
          <w:p>
            <w:pPr>
              <w:spacing w:after="0"/>
              <w:rPr>
                <w:sz w:val="19"/>
                <w:szCs w:val="19"/>
                <w:color w:val="auto"/>
              </w:rPr>
            </w:pPr>
          </w:p>
        </w:tc>
      </w:tr>
      <w:tr>
        <w:trPr>
          <w:trHeight w:val="250"/>
        </w:trPr>
        <w:tc>
          <w:tcPr>
            <w:tcW w:w="80" w:type="dxa"/>
            <w:vAlign w:val="bottom"/>
          </w:tcPr>
          <w:p>
            <w:pPr>
              <w:spacing w:after="0"/>
              <w:rPr>
                <w:sz w:val="21"/>
                <w:szCs w:val="21"/>
                <w:color w:val="auto"/>
              </w:rPr>
            </w:pPr>
          </w:p>
        </w:tc>
        <w:tc>
          <w:tcPr>
            <w:tcW w:w="7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80" w:type="dxa"/>
            <w:vAlign w:val="bottom"/>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360" w:type="dxa"/>
            <w:vAlign w:val="bottom"/>
            <w:gridSpan w:val="2"/>
          </w:tcPr>
          <w:p>
            <w:pPr>
              <w:ind w:left="220"/>
              <w:spacing w:after="0"/>
              <w:rPr>
                <w:sz w:val="20"/>
                <w:szCs w:val="20"/>
                <w:color w:val="auto"/>
              </w:rPr>
            </w:pPr>
            <w:r>
              <w:rPr>
                <w:rFonts w:ascii="Arial" w:cs="Arial" w:eastAsia="Arial" w:hAnsi="Arial"/>
                <w:sz w:val="18"/>
                <w:szCs w:val="18"/>
                <w:color w:val="auto"/>
              </w:rPr>
              <w:t>Federal</w:t>
            </w:r>
          </w:p>
        </w:tc>
        <w:tc>
          <w:tcPr>
            <w:tcW w:w="1140" w:type="dxa"/>
            <w:vAlign w:val="bottom"/>
          </w:tcPr>
          <w:p>
            <w:pPr>
              <w:spacing w:after="0"/>
              <w:rPr>
                <w:sz w:val="19"/>
                <w:szCs w:val="19"/>
                <w:color w:val="auto"/>
              </w:rPr>
            </w:pPr>
          </w:p>
        </w:tc>
        <w:tc>
          <w:tcPr>
            <w:tcW w:w="8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61,678</w:t>
            </w:r>
          </w:p>
        </w:tc>
        <w:tc>
          <w:tcPr>
            <w:tcW w:w="2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14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(61,678)</w:t>
            </w:r>
          </w:p>
        </w:tc>
        <w:tc>
          <w:tcPr>
            <w:tcW w:w="2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736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deferred income tax (expense) benefit</w:t>
            </w:r>
          </w:p>
        </w:tc>
        <w:tc>
          <w:tcPr>
            <w:tcW w:w="1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48"/>
        </w:trPr>
        <w:tc>
          <w:tcPr>
            <w:tcW w:w="80" w:type="dxa"/>
            <w:vAlign w:val="bottom"/>
          </w:tcPr>
          <w:p>
            <w:pPr>
              <w:spacing w:after="0"/>
              <w:rPr>
                <w:sz w:val="21"/>
                <w:szCs w:val="21"/>
                <w:color w:val="auto"/>
              </w:rPr>
            </w:pPr>
          </w:p>
        </w:tc>
        <w:tc>
          <w:tcPr>
            <w:tcW w:w="73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income tax (expense) benefit</w:t>
            </w: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68,850</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34,891</w:t>
            </w:r>
          </w:p>
        </w:tc>
        <w:tc>
          <w:tcPr>
            <w:tcW w:w="2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7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76"/>
        </w:trPr>
        <w:tc>
          <w:tcPr>
            <w:tcW w:w="8580" w:type="dxa"/>
            <w:vAlign w:val="bottom"/>
            <w:gridSpan w:val="4"/>
          </w:tcPr>
          <w:p>
            <w:pPr>
              <w:jc w:val="right"/>
              <w:ind w:right="115"/>
              <w:spacing w:after="0"/>
              <w:rPr>
                <w:sz w:val="20"/>
                <w:szCs w:val="20"/>
                <w:color w:val="auto"/>
              </w:rPr>
            </w:pPr>
            <w:r>
              <w:rPr>
                <w:rFonts w:ascii="Arial" w:cs="Arial" w:eastAsia="Arial" w:hAnsi="Arial"/>
                <w:sz w:val="18"/>
                <w:szCs w:val="18"/>
                <w:color w:val="auto"/>
                <w:w w:val="91"/>
              </w:rPr>
              <w:t>The Company’s effective income tax rate for 2022 and 2021 reconciles with the federal statutory tax rate as follows: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5"/>
        </w:trPr>
        <w:tc>
          <w:tcPr>
            <w:tcW w:w="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24"/>
                <w:szCs w:val="24"/>
                <w:color w:val="auto"/>
              </w:rPr>
            </w:pPr>
          </w:p>
        </w:tc>
      </w:tr>
      <w:tr>
        <w:trPr>
          <w:trHeight w:val="145"/>
        </w:trPr>
        <w:tc>
          <w:tcPr>
            <w:tcW w:w="8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30"/>
        </w:trPr>
        <w:tc>
          <w:tcPr>
            <w:tcW w:w="80" w:type="dxa"/>
            <w:vAlign w:val="bottom"/>
          </w:tcPr>
          <w:p>
            <w:pPr>
              <w:spacing w:after="0"/>
              <w:rPr>
                <w:sz w:val="19"/>
                <w:szCs w:val="19"/>
                <w:color w:val="auto"/>
              </w:rPr>
            </w:pPr>
          </w:p>
        </w:tc>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Federal tax expense at statutory rate</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20" w:type="dxa"/>
            <w:vAlign w:val="bottom"/>
            <w:shd w:val="clear" w:color="auto" w:fill="CCEEFF"/>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State income tax expense (net of federal income tax benefit)</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2 %</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Permanent differences associated with general business credits</w:t>
            </w:r>
          </w:p>
        </w:tc>
        <w:tc>
          <w:tcPr>
            <w:tcW w:w="114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Change in valuation allowance</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permanent differences</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19"/>
                <w:szCs w:val="19"/>
                <w:color w:val="auto"/>
              </w:rPr>
            </w:pPr>
          </w:p>
        </w:tc>
        <w:tc>
          <w:tcPr>
            <w:tcW w:w="800" w:type="dxa"/>
            <w:vAlign w:val="bottom"/>
            <w:gridSpan w:val="4"/>
          </w:tcPr>
          <w:p>
            <w:pPr>
              <w:jc w:val="right"/>
              <w:ind w:right="240"/>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248"/>
        </w:trPr>
        <w:tc>
          <w:tcPr>
            <w:tcW w:w="80" w:type="dxa"/>
            <w:vAlign w:val="bottom"/>
          </w:tcPr>
          <w:p>
            <w:pPr>
              <w:spacing w:after="0"/>
              <w:rPr>
                <w:sz w:val="21"/>
                <w:szCs w:val="21"/>
                <w:color w:val="auto"/>
              </w:rPr>
            </w:pPr>
          </w:p>
        </w:tc>
        <w:tc>
          <w:tcPr>
            <w:tcW w:w="71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 tax expense</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7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believes that it is not more likely than not that its net deferred tax assets will be realized. As such, the net deferred tax assets are fully offset with a valuation allowance as of the periods ended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4" w:name="page115"/>
    <w:bookmarkEnd w:id="114"/>
    <w:p>
      <w:pPr>
        <w:jc w:val="center"/>
        <w:ind w:right="-7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0" w:firstLine="405"/>
        <w:spacing w:after="0" w:line="277" w:lineRule="auto"/>
        <w:rPr>
          <w:sz w:val="20"/>
          <w:szCs w:val="20"/>
          <w:color w:val="auto"/>
        </w:rPr>
      </w:pPr>
      <w:r>
        <w:rPr>
          <w:rFonts w:ascii="Arial" w:cs="Arial" w:eastAsia="Arial" w:hAnsi="Arial"/>
          <w:sz w:val="18"/>
          <w:szCs w:val="18"/>
          <w:color w:val="auto"/>
        </w:rPr>
        <w:t>As of December 31, 2022, the Company has general business credit carryforwards of $1.5 million. These credit carryforwards will expire in years 2023 through 2042.</w:t>
      </w:r>
    </w:p>
    <w:p>
      <w:pPr>
        <w:spacing w:after="0" w:line="126"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Years of expiration</w:t>
            </w:r>
          </w:p>
        </w:tc>
        <w:tc>
          <w:tcPr>
            <w:tcW w:w="440" w:type="dxa"/>
            <w:vAlign w:val="bottom"/>
          </w:tcPr>
          <w:p>
            <w:pPr>
              <w:spacing w:after="0"/>
              <w:rPr>
                <w:sz w:val="20"/>
                <w:szCs w:val="20"/>
                <w:color w:val="auto"/>
              </w:rPr>
            </w:pPr>
          </w:p>
        </w:tc>
        <w:tc>
          <w:tcPr>
            <w:tcW w:w="1720" w:type="dxa"/>
            <w:vAlign w:val="bottom"/>
          </w:tcPr>
          <w:p>
            <w:pPr>
              <w:jc w:val="right"/>
              <w:ind w:right="690"/>
              <w:spacing w:after="0"/>
              <w:rPr>
                <w:sz w:val="20"/>
                <w:szCs w:val="20"/>
                <w:color w:val="auto"/>
              </w:rPr>
            </w:pPr>
            <w:r>
              <w:rPr>
                <w:rFonts w:ascii="Arial" w:cs="Arial" w:eastAsia="Arial" w:hAnsi="Arial"/>
                <w:sz w:val="18"/>
                <w:szCs w:val="18"/>
                <w:b w:val="1"/>
                <w:bCs w:val="1"/>
                <w:color w:val="auto"/>
              </w:rPr>
              <w:t>Federal</w:t>
            </w:r>
          </w:p>
        </w:tc>
      </w:tr>
      <w:tr>
        <w:trPr>
          <w:trHeight w:val="223"/>
        </w:trPr>
        <w:tc>
          <w:tcPr>
            <w:tcW w:w="8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200,825</w:t>
            </w:r>
          </w:p>
        </w:tc>
      </w:tr>
      <w:tr>
        <w:trPr>
          <w:trHeight w:val="230"/>
        </w:trPr>
        <w:tc>
          <w:tcPr>
            <w:tcW w:w="8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2024-2042</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1,319,161</w:t>
            </w:r>
          </w:p>
        </w:tc>
      </w:tr>
      <w:tr>
        <w:trPr>
          <w:trHeight w:val="248"/>
        </w:trPr>
        <w:tc>
          <w:tcPr>
            <w:tcW w:w="8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federal and state credit carryforwards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1,519,986</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80" w:right="200"/>
        <w:spacing w:after="0" w:line="277" w:lineRule="auto"/>
        <w:rPr>
          <w:sz w:val="20"/>
          <w:szCs w:val="20"/>
          <w:color w:val="auto"/>
        </w:rPr>
      </w:pPr>
      <w:r>
        <w:rPr>
          <w:rFonts w:ascii="Arial" w:cs="Arial" w:eastAsia="Arial" w:hAnsi="Arial"/>
          <w:sz w:val="18"/>
          <w:szCs w:val="18"/>
          <w:color w:val="auto"/>
        </w:rPr>
        <w:t>The Company expects it will continue to pay minimal taxes in future periods through the continued utilization of net operating loss carryforwards, as it is able to achieve taxable income through its operations.</w:t>
      </w:r>
    </w:p>
    <w:p>
      <w:pPr>
        <w:spacing w:after="0" w:line="89" w:lineRule="exact"/>
        <w:rPr>
          <w:sz w:val="20"/>
          <w:szCs w:val="20"/>
          <w:color w:val="auto"/>
        </w:rPr>
      </w:pPr>
    </w:p>
    <w:p>
      <w:pPr>
        <w:jc w:val="both"/>
        <w:ind w:left="80"/>
        <w:spacing w:after="0" w:line="279" w:lineRule="auto"/>
        <w:rPr>
          <w:sz w:val="20"/>
          <w:szCs w:val="20"/>
          <w:color w:val="auto"/>
        </w:rPr>
      </w:pPr>
      <w:r>
        <w:rPr>
          <w:rFonts w:ascii="Arial" w:cs="Arial" w:eastAsia="Arial" w:hAnsi="Arial"/>
          <w:sz w:val="17"/>
          <w:szCs w:val="17"/>
          <w:color w:val="auto"/>
        </w:rPr>
        <w:t>The Company is no longer subject to U.S. federal tax examinations for tax years before 2019, and with few exceptions, the Company is not subject to examination by state tax authorities for tax years which ended before 2019. Loss carryforwards and credit carryforwards generated or utilized in years earlier than 2019 remain subject to examination and adjustment. During 2012, the 2009 federal tax return was examined by the Internal Revenue Service with no significant findings or adjustments. The Company has no unrecognized tax benefits at December 31, 2022 and 2021.</w:t>
      </w:r>
    </w:p>
    <w:p>
      <w:pPr>
        <w:spacing w:after="0" w:line="10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Stock-Based Compensation Plans</w:t>
      </w:r>
    </w:p>
    <w:p>
      <w:pPr>
        <w:spacing w:after="0" w:line="162" w:lineRule="exact"/>
        <w:rPr>
          <w:sz w:val="20"/>
          <w:szCs w:val="20"/>
          <w:color w:val="auto"/>
        </w:rPr>
      </w:pPr>
    </w:p>
    <w:p>
      <w:pPr>
        <w:jc w:val="both"/>
        <w:ind w:left="80"/>
        <w:spacing w:after="0" w:line="255" w:lineRule="auto"/>
        <w:rPr>
          <w:sz w:val="20"/>
          <w:szCs w:val="20"/>
          <w:color w:val="auto"/>
        </w:rPr>
      </w:pPr>
      <w:r>
        <w:rPr>
          <w:rFonts w:ascii="Arial" w:cs="Arial" w:eastAsia="Arial" w:hAnsi="Arial"/>
          <w:sz w:val="18"/>
          <w:szCs w:val="18"/>
          <w:color w:val="auto"/>
        </w:rPr>
        <w:t>The Company has grants outstanding under two equity compensation plans. The 2007 Long-Term Incentive Compensation Plan (the "2007 Plan") and the 2007 Directors’ Incentive Plan (the "Directors’ Plan"), which were approved by shareholders, superseded the 1999 Stock Option Plan. Both plans are available for future grants of equity compensation awards to employees, consultants and directors. The 2007 Plan and the Directors’ Plan provide for the issuance of stock options, stock appreciation rights and restricted stock. Vesting is determined on a grant-by-grant basis in accordance with the terms of the plans and the related grant agreements. The Company has reserved 2.4 million shares of common stock for issuance under the 2007 Plan and 250,000 shares for issuance under the Directors’ Plan.</w:t>
      </w:r>
    </w:p>
    <w:p>
      <w:pPr>
        <w:spacing w:after="0" w:line="111" w:lineRule="exact"/>
        <w:rPr>
          <w:sz w:val="20"/>
          <w:szCs w:val="20"/>
          <w:color w:val="auto"/>
        </w:rPr>
      </w:pPr>
    </w:p>
    <w:p>
      <w:pPr>
        <w:jc w:val="both"/>
        <w:ind w:left="80"/>
        <w:spacing w:after="0" w:line="342" w:lineRule="auto"/>
        <w:rPr>
          <w:sz w:val="20"/>
          <w:szCs w:val="20"/>
          <w:color w:val="auto"/>
        </w:rPr>
      </w:pPr>
      <w:r>
        <w:rPr>
          <w:rFonts w:ascii="Arial" w:cs="Arial" w:eastAsia="Arial" w:hAnsi="Arial"/>
          <w:sz w:val="16"/>
          <w:szCs w:val="16"/>
          <w:color w:val="auto"/>
        </w:rPr>
        <w:t>The exercise price of stock options is generally 100% of the fair market value of the underlying common stock on the grant date. The maximum contractual term of stock options is ten years from the date of grant, except for incentive stock options granted to 10% shareholders, which is five years.</w:t>
      </w:r>
    </w:p>
    <w:p>
      <w:pPr>
        <w:spacing w:after="0" w:line="56" w:lineRule="exact"/>
        <w:rPr>
          <w:sz w:val="20"/>
          <w:szCs w:val="20"/>
          <w:color w:val="auto"/>
        </w:rPr>
      </w:pPr>
    </w:p>
    <w:p>
      <w:pPr>
        <w:jc w:val="both"/>
        <w:ind w:left="80" w:right="20"/>
        <w:spacing w:after="0" w:line="342" w:lineRule="auto"/>
        <w:rPr>
          <w:sz w:val="20"/>
          <w:szCs w:val="20"/>
          <w:color w:val="auto"/>
        </w:rPr>
      </w:pPr>
      <w:r>
        <w:rPr>
          <w:rFonts w:ascii="Arial" w:cs="Arial" w:eastAsia="Arial" w:hAnsi="Arial"/>
          <w:sz w:val="16"/>
          <w:szCs w:val="16"/>
          <w:color w:val="auto"/>
        </w:rPr>
        <w:t>During 2011, the Company began issuing shares of restricted stock with no exercise price to employees and directors. Restricted stock issued to employees generally cliff-vests on the fourth anniversary of the date of grant. Restricted stock issued to directors vests on the one year anniversary of the date of grant.</w:t>
      </w:r>
    </w:p>
    <w:p>
      <w:pPr>
        <w:spacing w:after="0" w:line="56" w:lineRule="exact"/>
        <w:rPr>
          <w:sz w:val="20"/>
          <w:szCs w:val="20"/>
          <w:color w:val="auto"/>
        </w:rPr>
      </w:pPr>
    </w:p>
    <w:p>
      <w:pPr>
        <w:jc w:val="both"/>
        <w:ind w:left="80" w:right="20"/>
        <w:spacing w:after="0" w:line="277" w:lineRule="auto"/>
        <w:rPr>
          <w:sz w:val="20"/>
          <w:szCs w:val="20"/>
          <w:color w:val="auto"/>
        </w:rPr>
      </w:pPr>
      <w:r>
        <w:rPr>
          <w:rFonts w:ascii="Arial" w:cs="Arial" w:eastAsia="Arial" w:hAnsi="Arial"/>
          <w:sz w:val="18"/>
          <w:szCs w:val="18"/>
          <w:color w:val="auto"/>
        </w:rPr>
        <w:t>Stock compensation expense is presented as a component of general and administrative expense in the consolidated statements of operations. Stock compensation expense consisted of the following for the years ended December 31:</w:t>
      </w:r>
    </w:p>
    <w:p>
      <w:pPr>
        <w:spacing w:after="0" w:line="130"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2021</w:t>
            </w:r>
          </w:p>
        </w:tc>
      </w:tr>
      <w:tr>
        <w:trPr>
          <w:trHeight w:val="145"/>
        </w:trPr>
        <w:tc>
          <w:tcPr>
            <w:tcW w:w="7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 employees</w:t>
            </w:r>
          </w:p>
        </w:tc>
        <w:tc>
          <w:tcPr>
            <w:tcW w:w="1100" w:type="dxa"/>
            <w:vAlign w:val="bottom"/>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449,467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730,412</w:t>
            </w:r>
          </w:p>
        </w:tc>
      </w:tr>
      <w:tr>
        <w:trPr>
          <w:trHeight w:val="230"/>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Share-based compensation - nonemployees</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11,455</w:t>
            </w:r>
          </w:p>
        </w:tc>
      </w:tr>
      <w:tr>
        <w:trPr>
          <w:trHeight w:val="248"/>
        </w:trPr>
        <w:tc>
          <w:tcPr>
            <w:tcW w:w="7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share-based compensation</w:t>
            </w:r>
          </w:p>
        </w:tc>
        <w:tc>
          <w:tcPr>
            <w:tcW w:w="1100" w:type="dxa"/>
            <w:vAlign w:val="bottom"/>
            <w:tcBorders>
              <w:bottom w:val="single" w:sz="8" w:color="auto"/>
            </w:tcBorders>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447,503</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741,867</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80"/>
        <w:spacing w:after="0" w:line="263" w:lineRule="auto"/>
        <w:rPr>
          <w:sz w:val="20"/>
          <w:szCs w:val="20"/>
          <w:color w:val="auto"/>
        </w:rPr>
      </w:pPr>
      <w:r>
        <w:rPr>
          <w:rFonts w:ascii="Arial" w:cs="Arial" w:eastAsia="Arial" w:hAnsi="Arial"/>
          <w:sz w:val="18"/>
          <w:szCs w:val="18"/>
          <w:color w:val="auto"/>
        </w:rPr>
        <w:t>At December 31, 2022, there was approximately $0.8 million of unrecognized compensation cost related to share-based payments, which is expected to be recognized over a weighted-average period of 1.81 years. This amount relates primarily to unrecognized compensation cost for employee restricted stock and stock options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4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granted 178,950 and 186,900 incentive stock options during 2022 and 2021, respectively, which vest in four years. There were no options exercised during 2022 and 2021. As such, there was no intrinsic value of options or weighted-average fair value of options exercised for the periods.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Stock Options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Incentive stock options activity was as follows:</w:t>
      </w:r>
    </w:p>
    <w:p>
      <w:pPr>
        <w:spacing w:after="0" w:line="28"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9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5"/>
              </w:rPr>
              <w:t>Number</w:t>
            </w:r>
          </w:p>
        </w:tc>
        <w:tc>
          <w:tcPr>
            <w:tcW w:w="1400" w:type="dxa"/>
            <w:vAlign w:val="bottom"/>
          </w:tcPr>
          <w:p>
            <w:pPr>
              <w:jc w:val="center"/>
              <w:ind w:left="315"/>
              <w:spacing w:after="0"/>
              <w:rPr>
                <w:sz w:val="20"/>
                <w:szCs w:val="20"/>
                <w:color w:val="auto"/>
              </w:rPr>
            </w:pPr>
            <w:r>
              <w:rPr>
                <w:rFonts w:ascii="Arial" w:cs="Arial" w:eastAsia="Arial" w:hAnsi="Arial"/>
                <w:sz w:val="16"/>
                <w:szCs w:val="16"/>
                <w:b w:val="1"/>
                <w:bCs w:val="1"/>
                <w:color w:val="auto"/>
                <w:w w:val="93"/>
              </w:rPr>
              <w:t>Weighted-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89"/>
              </w:rPr>
              <w:t>Weighted-average</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400" w:type="dxa"/>
            <w:vAlign w:val="bottom"/>
          </w:tcPr>
          <w:p>
            <w:pPr>
              <w:jc w:val="center"/>
              <w:ind w:left="335"/>
              <w:spacing w:after="0" w:line="162" w:lineRule="exact"/>
              <w:rPr>
                <w:sz w:val="20"/>
                <w:szCs w:val="20"/>
                <w:color w:val="auto"/>
              </w:rPr>
            </w:pPr>
            <w:r>
              <w:rPr>
                <w:rFonts w:ascii="Arial" w:cs="Arial" w:eastAsia="Arial" w:hAnsi="Arial"/>
                <w:sz w:val="16"/>
                <w:szCs w:val="16"/>
                <w:b w:val="1"/>
                <w:bCs w:val="1"/>
                <w:color w:val="auto"/>
                <w:w w:val="89"/>
              </w:rPr>
              <w:t>average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remaining contractual</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18"/>
                <w:szCs w:val="18"/>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of option shares</w:t>
            </w:r>
          </w:p>
        </w:tc>
        <w:tc>
          <w:tcPr>
            <w:tcW w:w="1400" w:type="dxa"/>
            <w:vAlign w:val="bottom"/>
          </w:tcPr>
          <w:p>
            <w:pPr>
              <w:jc w:val="center"/>
              <w:ind w:left="335"/>
              <w:spacing w:after="0"/>
              <w:rPr>
                <w:sz w:val="20"/>
                <w:szCs w:val="20"/>
                <w:color w:val="auto"/>
              </w:rPr>
            </w:pPr>
            <w:r>
              <w:rPr>
                <w:rFonts w:ascii="Arial" w:cs="Arial" w:eastAsia="Arial" w:hAnsi="Arial"/>
                <w:sz w:val="16"/>
                <w:szCs w:val="16"/>
                <w:b w:val="1"/>
                <w:bCs w:val="1"/>
                <w:color w:val="auto"/>
                <w:w w:val="88"/>
              </w:rPr>
              <w:t>exercise price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2"/>
              </w:rPr>
              <w:t>term</w:t>
            </w:r>
          </w:p>
        </w:tc>
        <w:tc>
          <w:tcPr>
            <w:tcW w:w="0" w:type="dxa"/>
            <w:vAlign w:val="bottom"/>
          </w:tcPr>
          <w:p>
            <w:pPr>
              <w:spacing w:after="0"/>
              <w:rPr>
                <w:sz w:val="1"/>
                <w:szCs w:val="1"/>
                <w:color w:val="auto"/>
              </w:rPr>
            </w:pPr>
          </w:p>
        </w:tc>
      </w:tr>
      <w:tr>
        <w:trPr>
          <w:trHeight w:val="145"/>
        </w:trPr>
        <w:tc>
          <w:tcPr>
            <w:tcW w:w="4120" w:type="dxa"/>
            <w:vAlign w:val="bottom"/>
            <w:tcBorders>
              <w:bottom w:val="single" w:sz="8" w:color="CCEEFF"/>
            </w:tcBorders>
          </w:tcPr>
          <w:p>
            <w:pPr>
              <w:spacing w:after="0"/>
              <w:rPr>
                <w:sz w:val="12"/>
                <w:szCs w:val="12"/>
                <w:color w:val="auto"/>
              </w:rPr>
            </w:pPr>
          </w:p>
        </w:tc>
        <w:tc>
          <w:tcPr>
            <w:tcW w:w="178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2020</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1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20"/>
              <w:spacing w:after="0"/>
              <w:rPr>
                <w:sz w:val="20"/>
                <w:szCs w:val="20"/>
                <w:color w:val="auto"/>
              </w:rPr>
            </w:pPr>
            <w:r>
              <w:rPr>
                <w:rFonts w:ascii="Arial" w:cs="Arial" w:eastAsia="Arial" w:hAnsi="Arial"/>
                <w:sz w:val="18"/>
                <w:szCs w:val="18"/>
                <w:color w:val="auto"/>
              </w:rPr>
              <w:t>Options shares granted</w:t>
            </w:r>
          </w:p>
        </w:tc>
        <w:tc>
          <w:tcPr>
            <w:tcW w:w="1780" w:type="dxa"/>
            <w:vAlign w:val="bottom"/>
          </w:tcPr>
          <w:p>
            <w:pPr>
              <w:jc w:val="right"/>
              <w:spacing w:after="0"/>
              <w:rPr>
                <w:sz w:val="20"/>
                <w:szCs w:val="20"/>
                <w:color w:val="auto"/>
              </w:rPr>
            </w:pPr>
            <w:r>
              <w:rPr>
                <w:rFonts w:ascii="Arial" w:cs="Arial" w:eastAsia="Arial" w:hAnsi="Arial"/>
                <w:sz w:val="18"/>
                <w:szCs w:val="18"/>
                <w:color w:val="auto"/>
              </w:rPr>
              <w:t>186,900</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3.32</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shares vested</w:t>
            </w: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Option shares forfeited</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(16,300)</w:t>
            </w: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3.22</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2021</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170,600</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3.33</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20"/>
              <w:spacing w:after="0"/>
              <w:rPr>
                <w:sz w:val="20"/>
                <w:szCs w:val="20"/>
                <w:color w:val="auto"/>
              </w:rPr>
            </w:pPr>
            <w:r>
              <w:rPr>
                <w:rFonts w:ascii="Arial" w:cs="Arial" w:eastAsia="Arial" w:hAnsi="Arial"/>
                <w:sz w:val="18"/>
                <w:szCs w:val="18"/>
                <w:color w:val="auto"/>
              </w:rPr>
              <w:t>Options shares granted</w:t>
            </w:r>
          </w:p>
        </w:tc>
        <w:tc>
          <w:tcPr>
            <w:tcW w:w="1780" w:type="dxa"/>
            <w:vAlign w:val="bottom"/>
          </w:tcPr>
          <w:p>
            <w:pPr>
              <w:jc w:val="right"/>
              <w:spacing w:after="0"/>
              <w:rPr>
                <w:sz w:val="20"/>
                <w:szCs w:val="20"/>
                <w:color w:val="auto"/>
              </w:rPr>
            </w:pPr>
            <w:r>
              <w:rPr>
                <w:rFonts w:ascii="Arial" w:cs="Arial" w:eastAsia="Arial" w:hAnsi="Arial"/>
                <w:sz w:val="18"/>
                <w:szCs w:val="18"/>
                <w:color w:val="auto"/>
              </w:rPr>
              <w:t>178,950</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2.68</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shares vested</w:t>
            </w: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Option shares forfeited</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(29,900)</w:t>
            </w: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2.98</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2022</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319,650</w:t>
            </w:r>
          </w:p>
        </w:tc>
        <w:tc>
          <w:tcPr>
            <w:tcW w:w="14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21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3.00</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grant-date fair value of options granted during the years 2022 and 2021 was $1.29 and $1.10, respectively.</w:t>
      </w:r>
    </w:p>
    <w:p>
      <w:pPr>
        <w:spacing w:after="0" w:line="15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fair value of stock options is calculated using the Black-Scholes (“Black-Scholes-Merton”, or “BSM”) option-pricing model on the date of grant. Since 2012, the Company had been issuing RSA’s (Restricted Share Awards) where the grant date Fair Value (“FV”) equaled the closing share price. The ISO’s required a BSM valuation to approximate FV. The following inputs were used in the creation of the valuation.</w:t>
      </w:r>
    </w:p>
    <w:p>
      <w:pPr>
        <w:spacing w:after="0" w:line="99" w:lineRule="exact"/>
        <w:rPr>
          <w:sz w:val="20"/>
          <w:szCs w:val="20"/>
          <w:color w:val="auto"/>
        </w:rPr>
      </w:pPr>
    </w:p>
    <w:p>
      <w:pPr>
        <w:jc w:val="both"/>
        <w:ind w:left="660" w:hanging="328"/>
        <w:spacing w:after="0" w:line="255"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Volatility </w:t>
      </w:r>
      <w:r>
        <w:rPr>
          <w:rFonts w:ascii="Arial" w:cs="Arial" w:eastAsia="Arial" w:hAnsi="Arial"/>
          <w:sz w:val="18"/>
          <w:szCs w:val="18"/>
          <w:color w:val="auto"/>
        </w:rPr>
        <w:t>- We estimate volatility in accordance with SAB No. 107, as amended by SAB No. 110. We have been publicly traded since August</w:t>
      </w:r>
      <w:r>
        <w:rPr>
          <w:rFonts w:ascii="Arial" w:cs="Arial" w:eastAsia="Arial" w:hAnsi="Arial"/>
          <w:sz w:val="18"/>
          <w:szCs w:val="18"/>
          <w:b w:val="1"/>
          <w:bCs w:val="1"/>
          <w:color w:val="auto"/>
        </w:rPr>
        <w:t xml:space="preserve"> </w:t>
      </w:r>
      <w:r>
        <w:rPr>
          <w:rFonts w:ascii="Arial" w:cs="Arial" w:eastAsia="Arial" w:hAnsi="Arial"/>
          <w:sz w:val="18"/>
          <w:szCs w:val="18"/>
          <w:color w:val="auto"/>
        </w:rPr>
        <w:t>2009, so we have sufficient years of trading history and volatility to appropriately evaluate this component of the BSM model. As such, we are using our own historical volatility to value stock options. We have noted no conditions that would indicate the historical volatility would not be an indicator of future volatility, as such we are using historical volatility over the same period as the expected term of the awards (7 years) back to 2015 and believe it to be sufficient. Calculated volatility for the grants issued in 2022 ranges from 44% to 45%. Our average volatility over the life of stock being public is 42% and 45% over the last 6 months. Based on the similar amounts, we believe our volatility estimate for the ISO’s are appropriate.</w:t>
      </w:r>
    </w:p>
    <w:p>
      <w:pPr>
        <w:spacing w:after="0" w:line="121" w:lineRule="exact"/>
        <w:rPr>
          <w:rFonts w:ascii="Arial" w:cs="Arial" w:eastAsia="Arial" w:hAnsi="Arial"/>
          <w:sz w:val="18"/>
          <w:szCs w:val="18"/>
          <w:color w:val="auto"/>
        </w:rPr>
      </w:pPr>
    </w:p>
    <w:p>
      <w:pPr>
        <w:jc w:val="both"/>
        <w:ind w:left="660" w:hanging="328"/>
        <w:spacing w:after="0" w:line="314" w:lineRule="auto"/>
        <w:tabs>
          <w:tab w:leader="none" w:pos="655"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 xml:space="preserve">Expected Term </w:t>
      </w:r>
      <w:r>
        <w:rPr>
          <w:rFonts w:ascii="Arial" w:cs="Arial" w:eastAsia="Arial" w:hAnsi="Arial"/>
          <w:sz w:val="16"/>
          <w:szCs w:val="16"/>
          <w:color w:val="auto"/>
        </w:rPr>
        <w:t>- We estimate the expected life of employee share options based on the simplified method allowed by SAB No. 107, as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by SAB No. 110. Under this approach, the expected term is presumed to be the average between the weighted-average vesting period and the contractual term. The ISO’s have a 10-year contractual term and the vesting period is 4 years. This results in a calculated expected term of 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660" w:hanging="328"/>
        <w:spacing w:after="0" w:line="266"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Risk Free rate </w:t>
      </w:r>
      <w:r>
        <w:rPr>
          <w:rFonts w:ascii="Arial" w:cs="Arial" w:eastAsia="Arial" w:hAnsi="Arial"/>
          <w:sz w:val="18"/>
          <w:szCs w:val="18"/>
          <w:color w:val="auto"/>
        </w:rPr>
        <w:t>- The risk-free interest rate is based on the U.S. Treasury Note, on the date of grant with a term equal to the corresponding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term. So, in this case, we are using the 7 year treasury note as of the date of grant, which ranges from 2.22% and 3.92% at the date of the grants.</w:t>
      </w:r>
    </w:p>
    <w:p>
      <w:pPr>
        <w:spacing w:after="0" w:line="94"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Dividend yield </w:t>
      </w:r>
      <w:r>
        <w:rPr>
          <w:rFonts w:ascii="Arial" w:cs="Arial" w:eastAsia="Arial" w:hAnsi="Arial"/>
          <w:sz w:val="18"/>
          <w:szCs w:val="18"/>
          <w:color w:val="auto"/>
        </w:rPr>
        <w:t>- We have never declared or paid any cash dividends and there is currently no expected cash dividend payments as of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grant. As such, dividend yield is zero.</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activity was as follows:</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jc w:val="center"/>
              <w:ind w:right="233"/>
              <w:spacing w:after="0"/>
              <w:rPr>
                <w:sz w:val="20"/>
                <w:szCs w:val="20"/>
                <w:color w:val="auto"/>
              </w:rPr>
            </w:pPr>
            <w:r>
              <w:rPr>
                <w:rFonts w:ascii="Arial" w:cs="Arial" w:eastAsia="Arial" w:hAnsi="Arial"/>
                <w:sz w:val="16"/>
                <w:szCs w:val="16"/>
                <w:b w:val="1"/>
                <w:bCs w:val="1"/>
                <w:color w:val="auto"/>
                <w:w w:val="90"/>
              </w:rPr>
              <w:t>Weighted-</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920" w:type="dxa"/>
            <w:vAlign w:val="bottom"/>
            <w:gridSpan w:val="2"/>
            <w:vMerge w:val="restart"/>
          </w:tcPr>
          <w:p>
            <w:pPr>
              <w:ind w:left="600"/>
              <w:spacing w:after="0"/>
              <w:rPr>
                <w:sz w:val="20"/>
                <w:szCs w:val="20"/>
                <w:color w:val="auto"/>
              </w:rPr>
            </w:pPr>
            <w:r>
              <w:rPr>
                <w:rFonts w:ascii="Arial" w:cs="Arial" w:eastAsia="Arial" w:hAnsi="Arial"/>
                <w:sz w:val="16"/>
                <w:szCs w:val="16"/>
                <w:b w:val="1"/>
                <w:bCs w:val="1"/>
                <w:color w:val="auto"/>
              </w:rPr>
              <w:t>Number</w:t>
            </w:r>
          </w:p>
        </w:tc>
        <w:tc>
          <w:tcPr>
            <w:tcW w:w="320" w:type="dxa"/>
            <w:vAlign w:val="bottom"/>
          </w:tcPr>
          <w:p>
            <w:pPr>
              <w:spacing w:after="0"/>
              <w:rPr>
                <w:sz w:val="14"/>
                <w:szCs w:val="14"/>
                <w:color w:val="auto"/>
              </w:rPr>
            </w:pPr>
          </w:p>
        </w:tc>
        <w:tc>
          <w:tcPr>
            <w:tcW w:w="1500" w:type="dxa"/>
            <w:vAlign w:val="bottom"/>
          </w:tcPr>
          <w:p>
            <w:pPr>
              <w:jc w:val="center"/>
              <w:ind w:right="233"/>
              <w:spacing w:after="0" w:line="162" w:lineRule="exact"/>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jc w:val="center"/>
              <w:ind w:right="233"/>
              <w:spacing w:after="0" w:line="162" w:lineRule="exact"/>
              <w:rPr>
                <w:sz w:val="20"/>
                <w:szCs w:val="20"/>
                <w:color w:val="auto"/>
              </w:rPr>
            </w:pPr>
            <w:r>
              <w:rPr>
                <w:rFonts w:ascii="Arial" w:cs="Arial" w:eastAsia="Arial" w:hAnsi="Arial"/>
                <w:sz w:val="16"/>
                <w:szCs w:val="16"/>
                <w:b w:val="1"/>
                <w:bCs w:val="1"/>
                <w:color w:val="auto"/>
                <w:w w:val="94"/>
              </w:rPr>
              <w:t>grant-date</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18"/>
                <w:szCs w:val="18"/>
                <w:color w:val="auto"/>
              </w:rPr>
            </w:pPr>
          </w:p>
        </w:tc>
        <w:tc>
          <w:tcPr>
            <w:tcW w:w="1920" w:type="dxa"/>
            <w:vAlign w:val="bottom"/>
            <w:gridSpan w:val="2"/>
          </w:tcPr>
          <w:p>
            <w:pPr>
              <w:ind w:left="580"/>
              <w:spacing w:after="0"/>
              <w:rPr>
                <w:sz w:val="20"/>
                <w:szCs w:val="20"/>
                <w:color w:val="auto"/>
              </w:rPr>
            </w:pPr>
            <w:r>
              <w:rPr>
                <w:rFonts w:ascii="Arial" w:cs="Arial" w:eastAsia="Arial" w:hAnsi="Arial"/>
                <w:sz w:val="16"/>
                <w:szCs w:val="16"/>
                <w:b w:val="1"/>
                <w:bCs w:val="1"/>
                <w:color w:val="auto"/>
              </w:rPr>
              <w:t>of shares</w:t>
            </w:r>
          </w:p>
        </w:tc>
        <w:tc>
          <w:tcPr>
            <w:tcW w:w="320" w:type="dxa"/>
            <w:vAlign w:val="bottom"/>
          </w:tcPr>
          <w:p>
            <w:pPr>
              <w:spacing w:after="0"/>
              <w:rPr>
                <w:sz w:val="18"/>
                <w:szCs w:val="18"/>
                <w:color w:val="auto"/>
              </w:rPr>
            </w:pPr>
          </w:p>
        </w:tc>
        <w:tc>
          <w:tcPr>
            <w:tcW w:w="1500" w:type="dxa"/>
            <w:vAlign w:val="bottom"/>
          </w:tcPr>
          <w:p>
            <w:pPr>
              <w:jc w:val="center"/>
              <w:ind w:right="233"/>
              <w:spacing w:after="0"/>
              <w:rPr>
                <w:sz w:val="20"/>
                <w:szCs w:val="20"/>
                <w:color w:val="auto"/>
              </w:rPr>
            </w:pPr>
            <w:r>
              <w:rPr>
                <w:rFonts w:ascii="Arial" w:cs="Arial" w:eastAsia="Arial" w:hAnsi="Arial"/>
                <w:sz w:val="16"/>
                <w:szCs w:val="16"/>
                <w:b w:val="1"/>
                <w:bCs w:val="1"/>
                <w:color w:val="auto"/>
                <w:w w:val="93"/>
              </w:rPr>
              <w:t>fair value</w:t>
            </w:r>
          </w:p>
        </w:tc>
        <w:tc>
          <w:tcPr>
            <w:tcW w:w="0" w:type="dxa"/>
            <w:vAlign w:val="bottom"/>
          </w:tcPr>
          <w:p>
            <w:pPr>
              <w:spacing w:after="0"/>
              <w:rPr>
                <w:sz w:val="1"/>
                <w:szCs w:val="1"/>
                <w:color w:val="auto"/>
              </w:rPr>
            </w:pPr>
          </w:p>
        </w:tc>
      </w:tr>
      <w:tr>
        <w:trPr>
          <w:trHeight w:val="145"/>
        </w:trPr>
        <w:tc>
          <w:tcPr>
            <w:tcW w:w="4120" w:type="dxa"/>
            <w:vAlign w:val="bottom"/>
            <w:tcBorders>
              <w:bottom w:val="single" w:sz="8" w:color="CCEEFF"/>
            </w:tcBorders>
          </w:tcPr>
          <w:p>
            <w:pPr>
              <w:spacing w:after="0"/>
              <w:rPr>
                <w:sz w:val="12"/>
                <w:szCs w:val="12"/>
                <w:color w:val="auto"/>
              </w:rPr>
            </w:pPr>
          </w:p>
        </w:tc>
        <w:tc>
          <w:tcPr>
            <w:tcW w:w="178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2020</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779,415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29"/>
        </w:trPr>
        <w:tc>
          <w:tcPr>
            <w:tcW w:w="4120" w:type="dxa"/>
            <w:vAlign w:val="bottom"/>
          </w:tcPr>
          <w:p>
            <w:pPr>
              <w:ind w:left="220"/>
              <w:spacing w:after="0"/>
              <w:rPr>
                <w:sz w:val="20"/>
                <w:szCs w:val="20"/>
                <w:color w:val="auto"/>
              </w:rPr>
            </w:pPr>
            <w:r>
              <w:rPr>
                <w:rFonts w:ascii="Arial" w:cs="Arial" w:eastAsia="Arial" w:hAnsi="Arial"/>
                <w:sz w:val="18"/>
                <w:szCs w:val="18"/>
                <w:color w:val="auto"/>
              </w:rPr>
              <w:t>Shares granted</w:t>
            </w:r>
          </w:p>
        </w:tc>
        <w:tc>
          <w:tcPr>
            <w:tcW w:w="1780" w:type="dxa"/>
            <w:vAlign w:val="bottom"/>
          </w:tcPr>
          <w:p>
            <w:pPr>
              <w:jc w:val="right"/>
              <w:spacing w:after="0"/>
              <w:rPr>
                <w:sz w:val="20"/>
                <w:szCs w:val="20"/>
                <w:color w:val="auto"/>
              </w:rPr>
            </w:pPr>
            <w:r>
              <w:rPr>
                <w:rFonts w:ascii="Arial" w:cs="Arial" w:eastAsia="Arial" w:hAnsi="Arial"/>
                <w:sz w:val="18"/>
                <w:szCs w:val="18"/>
                <w:color w:val="auto"/>
              </w:rPr>
              <w:t>36,850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vested</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(192,684)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 forfeited</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(55,400)</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2021</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568,181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9"/>
        </w:trPr>
        <w:tc>
          <w:tcPr>
            <w:tcW w:w="4120" w:type="dxa"/>
            <w:vAlign w:val="bottom"/>
          </w:tcPr>
          <w:p>
            <w:pPr>
              <w:ind w:left="220"/>
              <w:spacing w:after="0"/>
              <w:rPr>
                <w:sz w:val="20"/>
                <w:szCs w:val="20"/>
                <w:color w:val="auto"/>
              </w:rPr>
            </w:pPr>
            <w:r>
              <w:rPr>
                <w:rFonts w:ascii="Arial" w:cs="Arial" w:eastAsia="Arial" w:hAnsi="Arial"/>
                <w:sz w:val="18"/>
                <w:szCs w:val="18"/>
                <w:color w:val="auto"/>
              </w:rPr>
              <w:t>Shares granted</w:t>
            </w:r>
          </w:p>
        </w:tc>
        <w:tc>
          <w:tcPr>
            <w:tcW w:w="1780" w:type="dxa"/>
            <w:vAlign w:val="bottom"/>
          </w:tcPr>
          <w:p>
            <w:pPr>
              <w:jc w:val="right"/>
              <w:spacing w:after="0"/>
              <w:rPr>
                <w:sz w:val="20"/>
                <w:szCs w:val="20"/>
                <w:color w:val="auto"/>
              </w:rPr>
            </w:pPr>
            <w:r>
              <w:rPr>
                <w:rFonts w:ascii="Arial" w:cs="Arial" w:eastAsia="Arial" w:hAnsi="Arial"/>
                <w:sz w:val="18"/>
                <w:szCs w:val="18"/>
                <w:color w:val="auto"/>
              </w:rPr>
              <w:t>65,225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vested</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(171,655)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 forfeited</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(66,000)</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2022</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395,751</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restricted stock granted was based on the closing market price of the Company’s common stock on the date of grant. The restricted stock grants are included in the diluted weighted shares outstanding computation until they cliff-vest. Once vested they are included in the basic weighted shares outstanding computation.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7" w:name="page118"/>
    <w:bookmarkEnd w:id="117"/>
    <w:p>
      <w:pPr>
        <w:jc w:val="center"/>
        <w:ind w:right="-9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Employee Benefit Plans</w:t>
      </w:r>
    </w:p>
    <w:p>
      <w:pPr>
        <w:spacing w:after="0" w:line="148" w:lineRule="exact"/>
        <w:rPr>
          <w:sz w:val="20"/>
          <w:szCs w:val="20"/>
          <w:color w:val="auto"/>
        </w:rPr>
      </w:pPr>
    </w:p>
    <w:p>
      <w:pPr>
        <w:jc w:val="both"/>
        <w:ind w:left="80"/>
        <w:spacing w:after="0" w:line="255" w:lineRule="auto"/>
        <w:rPr>
          <w:sz w:val="20"/>
          <w:szCs w:val="20"/>
          <w:color w:val="auto"/>
        </w:rPr>
      </w:pPr>
      <w:r>
        <w:rPr>
          <w:rFonts w:ascii="Arial" w:cs="Arial" w:eastAsia="Arial" w:hAnsi="Arial"/>
          <w:sz w:val="18"/>
          <w:szCs w:val="18"/>
          <w:color w:val="auto"/>
        </w:rPr>
        <w:t>The Company sponsors an employee benefit plan that was established on January 1, 2006, the Cumberland Pharmaceuticals 401(k) Plan (the "Plan"), under Section 401(k) of the Internal Revenue Code of 1986, as amended, for the benefit of all employees over the age of 21, having been employed by the Company for at least six months. The Plan provides that participants may contribute up to the maximum amount of their compensation as set forth by the Internal Revenue Service each year. Employee contributions are invested in various investment funds based upon elections made by the employees. During 2022 and 2021, the Company contributed approximately $60,000 and 50,000, respectively, in each year to the Plan as an employer match of participant contributions.</w:t>
      </w:r>
    </w:p>
    <w:p>
      <w:pPr>
        <w:spacing w:after="0" w:line="125" w:lineRule="exact"/>
        <w:rPr>
          <w:sz w:val="20"/>
          <w:szCs w:val="20"/>
          <w:color w:val="auto"/>
        </w:rPr>
      </w:pPr>
    </w:p>
    <w:p>
      <w:pPr>
        <w:jc w:val="both"/>
        <w:ind w:left="80"/>
        <w:spacing w:after="0" w:line="257" w:lineRule="auto"/>
        <w:rPr>
          <w:sz w:val="20"/>
          <w:szCs w:val="20"/>
          <w:color w:val="auto"/>
        </w:rPr>
      </w:pPr>
      <w:r>
        <w:rPr>
          <w:rFonts w:ascii="Arial" w:cs="Arial" w:eastAsia="Arial" w:hAnsi="Arial"/>
          <w:sz w:val="18"/>
          <w:szCs w:val="18"/>
          <w:color w:val="auto"/>
        </w:rPr>
        <w:t>In 2012 and 2013, the Company established non-qualified unfunded deferred compensation plans that allow participants to defer receipt of a portion of their compensation. The liability under the plans, reflected in other long term liabilities in the consolidated balance sheets, was $2.5 million and $3.4 million as of December 31, 2022 and 2021, respectively. The Company had assets consisting of company-owned life insurance contracts generally designated to pay benefits of the deferred compensation plans reflected in other assets in the consolidated balance sheet of $2.3 million and $3.2 million as of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118" w:name="page119"/>
    <w:bookmarkEnd w:id="118"/>
    <w:p>
      <w:pPr>
        <w:jc w:val="center"/>
        <w:ind w:right="-7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Leases</w:t>
      </w:r>
    </w:p>
    <w:p>
      <w:pPr>
        <w:spacing w:after="0" w:line="148" w:lineRule="exact"/>
        <w:rPr>
          <w:sz w:val="20"/>
          <w:szCs w:val="20"/>
          <w:color w:val="auto"/>
        </w:rPr>
      </w:pPr>
    </w:p>
    <w:p>
      <w:pPr>
        <w:jc w:val="both"/>
        <w:ind w:left="80"/>
        <w:spacing w:after="0" w:line="279" w:lineRule="auto"/>
        <w:rPr>
          <w:sz w:val="20"/>
          <w:szCs w:val="20"/>
          <w:color w:val="auto"/>
        </w:rPr>
      </w:pPr>
      <w:r>
        <w:rPr>
          <w:rFonts w:ascii="Arial" w:cs="Arial" w:eastAsia="Arial" w:hAnsi="Arial"/>
          <w:sz w:val="17"/>
          <w:szCs w:val="17"/>
          <w:color w:val="auto"/>
        </w:rPr>
        <w:t>On November 15, 2021, Cumberland entered into a lease, pursuant to which the Company leases approximately 16,903 rentable square feet of space at the new development Broadwest located in Nashville, Tennessee with 1600 West End Avenue Partners, LLC. The Leased Premise serves as the Company's new corporate headquarters. The initial term of the Lease is one hundred fifty-seven (157) months, with two consecutive options to renew for a period of five years each, with the commencement date of October 25, 2022. This lease currently expires in November 2035.</w:t>
      </w:r>
    </w:p>
    <w:p>
      <w:pPr>
        <w:spacing w:after="0" w:line="104" w:lineRule="exact"/>
        <w:rPr>
          <w:sz w:val="20"/>
          <w:szCs w:val="20"/>
          <w:color w:val="auto"/>
        </w:rPr>
      </w:pPr>
    </w:p>
    <w:p>
      <w:pPr>
        <w:jc w:val="both"/>
        <w:ind w:left="80"/>
        <w:spacing w:after="0" w:line="259" w:lineRule="auto"/>
        <w:rPr>
          <w:sz w:val="20"/>
          <w:szCs w:val="20"/>
          <w:color w:val="auto"/>
        </w:rPr>
      </w:pPr>
      <w:r>
        <w:rPr>
          <w:rFonts w:ascii="Arial" w:cs="Arial" w:eastAsia="Arial" w:hAnsi="Arial"/>
          <w:sz w:val="18"/>
          <w:szCs w:val="18"/>
          <w:color w:val="auto"/>
        </w:rPr>
        <w:t>The Company is responsible for paying rent to the Landlord under the Lease beginning three months after the Commencement Date. The Company pays a base rent of $33.06 per square foot of rentable space with a gradual rental rate increase of 2.5% for each year period thereafter of the prior year's base rental. In addition to the monthly base rent, the Company is responsible for its percentage share of the operating expenses of the Building. The Lease also provides for a tenant improvement allowance for the space.</w:t>
      </w:r>
    </w:p>
    <w:p>
      <w:pPr>
        <w:spacing w:after="0" w:line="119" w:lineRule="exact"/>
        <w:rPr>
          <w:sz w:val="20"/>
          <w:szCs w:val="20"/>
          <w:color w:val="auto"/>
        </w:rPr>
      </w:pPr>
    </w:p>
    <w:p>
      <w:pPr>
        <w:jc w:val="both"/>
        <w:ind w:left="80"/>
        <w:spacing w:after="0" w:line="259" w:lineRule="auto"/>
        <w:rPr>
          <w:sz w:val="20"/>
          <w:szCs w:val="20"/>
          <w:color w:val="auto"/>
        </w:rPr>
      </w:pPr>
      <w:r>
        <w:rPr>
          <w:rFonts w:ascii="Arial" w:cs="Arial" w:eastAsia="Arial" w:hAnsi="Arial"/>
          <w:sz w:val="18"/>
          <w:szCs w:val="18"/>
          <w:color w:val="auto"/>
        </w:rPr>
        <w:t>In addition, the operating leases also include the lease of approximately 14,200 square feet of wet laboratory and office space in Nashville, Tennessee by CET, our majority-owned subsidiary, where it operates the CET Life Sciences Center. The research lab space at CET, under an agreement amended in July 2012, is leased through April 2023, with an option to extend the lease through April 2028. The Company also subleases a portion of the space under these leases.</w:t>
      </w:r>
    </w:p>
    <w:p>
      <w:pPr>
        <w:spacing w:after="0" w:line="106" w:lineRule="exact"/>
        <w:rPr>
          <w:sz w:val="20"/>
          <w:szCs w:val="20"/>
          <w:color w:val="auto"/>
        </w:rPr>
      </w:pPr>
    </w:p>
    <w:p>
      <w:pPr>
        <w:jc w:val="both"/>
        <w:ind w:left="80"/>
        <w:spacing w:after="0" w:line="277" w:lineRule="auto"/>
        <w:rPr>
          <w:sz w:val="20"/>
          <w:szCs w:val="20"/>
          <w:color w:val="auto"/>
        </w:rPr>
      </w:pPr>
      <w:r>
        <w:rPr>
          <w:rFonts w:ascii="Arial" w:cs="Arial" w:eastAsia="Arial" w:hAnsi="Arial"/>
          <w:sz w:val="18"/>
          <w:szCs w:val="18"/>
          <w:color w:val="auto"/>
        </w:rPr>
        <w:t>Rent expense is recognized over the expected term of the lease, including renewal option periods, if applicable, on a straight-line basis as a component of general and administrative expense. Rent expense and sublease income as follows for the years ended December 31:</w:t>
      </w:r>
    </w:p>
    <w:p>
      <w:pPr>
        <w:spacing w:after="0" w:line="139"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r>
      <w:tr>
        <w:trPr>
          <w:trHeight w:val="142"/>
        </w:trPr>
        <w:tc>
          <w:tcPr>
            <w:tcW w:w="7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55"/>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 expense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1,159,695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1,209,102</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4"/>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529,411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699,889</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80"/>
        <w:spacing w:after="0" w:line="263" w:lineRule="auto"/>
        <w:rPr>
          <w:sz w:val="20"/>
          <w:szCs w:val="20"/>
          <w:color w:val="auto"/>
        </w:rPr>
      </w:pPr>
      <w:r>
        <w:rPr>
          <w:rFonts w:ascii="Arial" w:cs="Arial" w:eastAsia="Arial" w:hAnsi="Arial"/>
          <w:sz w:val="18"/>
          <w:szCs w:val="18"/>
          <w:color w:val="auto"/>
        </w:rPr>
        <w:t>In March 2016, the FASB issued ASU 2016-02. ASU 2016-02’s core principle is to increase transparency and comparability among organizations by recognizing lease assets and liabilities on the balance sheet and disclosing key information. The primary effect of adopting ASU 2016-02 to the Company was to record right-of-use assets and obligations for the leases currently classified as operating leases.</w:t>
      </w:r>
    </w:p>
    <w:p>
      <w:pPr>
        <w:spacing w:after="0" w:line="116" w:lineRule="exact"/>
        <w:rPr>
          <w:sz w:val="20"/>
          <w:szCs w:val="20"/>
          <w:color w:val="auto"/>
        </w:rPr>
      </w:pPr>
    </w:p>
    <w:p>
      <w:pPr>
        <w:jc w:val="both"/>
        <w:ind w:left="80"/>
        <w:spacing w:after="0" w:line="254" w:lineRule="auto"/>
        <w:rPr>
          <w:sz w:val="20"/>
          <w:szCs w:val="20"/>
          <w:color w:val="auto"/>
        </w:rPr>
      </w:pPr>
      <w:r>
        <w:rPr>
          <w:rFonts w:ascii="Arial" w:cs="Arial" w:eastAsia="Arial" w:hAnsi="Arial"/>
          <w:sz w:val="18"/>
          <w:szCs w:val="18"/>
          <w:color w:val="auto"/>
        </w:rPr>
        <w:t>Operating lease liabilities were recorded as the present value of remaining lease payments not yet paid for the lease term discounted using the incremental borrowing rate associated with each lease. Operating lease right-of-use assets represent operating lease liabilities adjusted for lease incentives and initial direct costs. As the Company’s leases do not contain implicit borrowing rates, the incremental borrowing rates were calculated based on information available at January 1, 2019 and October 25, 2022. Incremental borrowing rates reflect the Company’s estimated interest rates for collateralized borrowings over similar lease terms. The weighted-average remaining lease term for the Broadwest lease is 12.7 years and for the CET lease is 0.1 years. The weighted-average incremental borrowing rate used to discount the present value of the remaining CPI lease payments is 9.28% and remaining CET lease payments is 7.42%.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gridSpan w:val="2"/>
          </w:tcPr>
          <w:p>
            <w:pPr>
              <w:ind w:left="180"/>
              <w:spacing w:after="0"/>
              <w:rPr>
                <w:sz w:val="20"/>
                <w:szCs w:val="20"/>
                <w:color w:val="auto"/>
              </w:rPr>
            </w:pPr>
            <w:r>
              <w:rPr>
                <w:rFonts w:ascii="Arial" w:cs="Arial" w:eastAsia="Arial" w:hAnsi="Arial"/>
                <w:sz w:val="18"/>
                <w:szCs w:val="18"/>
                <w:i w:val="1"/>
                <w:iCs w:val="1"/>
                <w:color w:val="auto"/>
              </w:rPr>
              <w:t>Lease Position</w:t>
            </w: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51"/>
        </w:trPr>
        <w:tc>
          <w:tcPr>
            <w:tcW w:w="9080" w:type="dxa"/>
            <w:vAlign w:val="bottom"/>
            <w:gridSpan w:val="5"/>
          </w:tcPr>
          <w:p>
            <w:pPr>
              <w:spacing w:after="0"/>
              <w:rPr>
                <w:sz w:val="20"/>
                <w:szCs w:val="20"/>
                <w:color w:val="auto"/>
              </w:rPr>
            </w:pPr>
            <w:r>
              <w:rPr>
                <w:rFonts w:ascii="Arial" w:cs="Arial" w:eastAsia="Arial" w:hAnsi="Arial"/>
                <w:sz w:val="18"/>
                <w:szCs w:val="18"/>
                <w:color w:val="auto"/>
              </w:rPr>
              <w:t>At December 31, 2022 and 2021, the Company recorded the following on the Consolidated Balance Sheet:</w:t>
            </w: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05"/>
        </w:trPr>
        <w:tc>
          <w:tcPr>
            <w:tcW w:w="6660" w:type="dxa"/>
            <w:vAlign w:val="bottom"/>
            <w:gridSpan w:val="2"/>
          </w:tcPr>
          <w:p>
            <w:pPr>
              <w:ind w:left="2460"/>
              <w:spacing w:after="0"/>
              <w:rPr>
                <w:sz w:val="20"/>
                <w:szCs w:val="20"/>
                <w:color w:val="auto"/>
              </w:rPr>
            </w:pPr>
            <w:r>
              <w:rPr>
                <w:rFonts w:ascii="Arial" w:cs="Arial" w:eastAsia="Arial" w:hAnsi="Arial"/>
                <w:sz w:val="18"/>
                <w:szCs w:val="18"/>
                <w:b w:val="1"/>
                <w:bCs w:val="1"/>
                <w:color w:val="auto"/>
              </w:rPr>
              <w:t>Right-of-Use Assets</w:t>
            </w:r>
          </w:p>
        </w:tc>
        <w:tc>
          <w:tcPr>
            <w:tcW w:w="240" w:type="dxa"/>
            <w:vAlign w:val="bottom"/>
          </w:tcPr>
          <w:p>
            <w:pPr>
              <w:spacing w:after="0"/>
              <w:rPr>
                <w:sz w:val="24"/>
                <w:szCs w:val="24"/>
                <w:color w:val="auto"/>
              </w:rPr>
            </w:pPr>
          </w:p>
        </w:tc>
        <w:tc>
          <w:tcPr>
            <w:tcW w:w="218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 2022</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2021</w:t>
            </w:r>
          </w:p>
        </w:tc>
      </w:tr>
      <w:tr>
        <w:trPr>
          <w:trHeight w:val="223"/>
        </w:trPr>
        <w:tc>
          <w:tcPr>
            <w:tcW w:w="6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5,218,403</w:t>
            </w: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1,024,200</w:t>
            </w:r>
          </w:p>
        </w:tc>
      </w:tr>
      <w:tr>
        <w:trPr>
          <w:trHeight w:val="479"/>
        </w:trPr>
        <w:tc>
          <w:tcPr>
            <w:tcW w:w="6660" w:type="dxa"/>
            <w:vAlign w:val="bottom"/>
            <w:gridSpan w:val="2"/>
          </w:tcPr>
          <w:p>
            <w:pPr>
              <w:ind w:left="2580"/>
              <w:spacing w:after="0"/>
              <w:rPr>
                <w:sz w:val="20"/>
                <w:szCs w:val="20"/>
                <w:color w:val="auto"/>
              </w:rPr>
            </w:pPr>
            <w:r>
              <w:rPr>
                <w:rFonts w:ascii="Arial" w:cs="Arial" w:eastAsia="Arial" w:hAnsi="Arial"/>
                <w:sz w:val="18"/>
                <w:szCs w:val="18"/>
                <w:b w:val="1"/>
                <w:bCs w:val="1"/>
                <w:color w:val="auto"/>
              </w:rPr>
              <w:t>Lease Liabilities</w:t>
            </w:r>
          </w:p>
        </w:tc>
        <w:tc>
          <w:tcPr>
            <w:tcW w:w="240" w:type="dxa"/>
            <w:vAlign w:val="bottom"/>
          </w:tcPr>
          <w:p>
            <w:pPr>
              <w:spacing w:after="0"/>
              <w:rPr>
                <w:sz w:val="24"/>
                <w:szCs w:val="24"/>
                <w:color w:val="auto"/>
              </w:rPr>
            </w:pPr>
          </w:p>
        </w:tc>
        <w:tc>
          <w:tcPr>
            <w:tcW w:w="218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 2022</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2021</w:t>
            </w:r>
          </w:p>
        </w:tc>
      </w:tr>
      <w:tr>
        <w:trPr>
          <w:trHeight w:val="223"/>
        </w:trPr>
        <w:tc>
          <w:tcPr>
            <w:tcW w:w="6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Operating lease current liabilities</w:t>
            </w: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172,910</w:t>
            </w: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969,677</w:t>
            </w:r>
          </w:p>
        </w:tc>
      </w:tr>
      <w:tr>
        <w:trPr>
          <w:trHeight w:val="230"/>
        </w:trPr>
        <w:tc>
          <w:tcPr>
            <w:tcW w:w="66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Operating lease non-current liabilities</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4,586,301</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90,016</w:t>
            </w:r>
          </w:p>
        </w:tc>
      </w:tr>
      <w:tr>
        <w:trPr>
          <w:trHeight w:val="248"/>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4,759,211</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1,059,693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Cumulative future minimum sublease income under non-cancelable operating subleases totals approximately $0.1 million and will be paid through the leases ending in April 2023. Future minimum lease payments under non-cancelable operating leases (with initial or remaining lease terms in excess of one year)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80" w:type="dxa"/>
            <w:vAlign w:val="bottom"/>
            <w:gridSpan w:val="2"/>
          </w:tcPr>
          <w:p>
            <w:pPr>
              <w:ind w:left="2440"/>
              <w:spacing w:after="0"/>
              <w:rPr>
                <w:sz w:val="20"/>
                <w:szCs w:val="20"/>
                <w:color w:val="auto"/>
              </w:rPr>
            </w:pPr>
            <w:r>
              <w:rPr>
                <w:rFonts w:ascii="Arial" w:cs="Arial" w:eastAsia="Arial" w:hAnsi="Arial"/>
                <w:sz w:val="18"/>
                <w:szCs w:val="18"/>
                <w:b w:val="1"/>
                <w:bCs w:val="1"/>
                <w:color w:val="auto"/>
              </w:rPr>
              <w:t>Maturity of Leases Liabilities at December 31, 2022</w:t>
            </w:r>
          </w:p>
        </w:tc>
        <w:tc>
          <w:tcPr>
            <w:tcW w:w="260" w:type="dxa"/>
            <w:vAlign w:val="bottom"/>
          </w:tcPr>
          <w:p>
            <w:pPr>
              <w:spacing w:after="0"/>
              <w:rPr>
                <w:sz w:val="20"/>
                <w:szCs w:val="20"/>
                <w:color w:val="auto"/>
              </w:rPr>
            </w:pPr>
          </w:p>
        </w:tc>
        <w:tc>
          <w:tcPr>
            <w:tcW w:w="1900" w:type="dxa"/>
            <w:vAlign w:val="bottom"/>
          </w:tcPr>
          <w:p>
            <w:pPr>
              <w:jc w:val="right"/>
              <w:ind w:right="310"/>
              <w:spacing w:after="0"/>
              <w:rPr>
                <w:sz w:val="20"/>
                <w:szCs w:val="20"/>
                <w:color w:val="auto"/>
              </w:rPr>
            </w:pPr>
            <w:r>
              <w:rPr>
                <w:rFonts w:ascii="Arial" w:cs="Arial" w:eastAsia="Arial" w:hAnsi="Arial"/>
                <w:sz w:val="18"/>
                <w:szCs w:val="18"/>
                <w:b w:val="1"/>
                <w:bCs w:val="1"/>
                <w:color w:val="auto"/>
                <w:w w:val="97"/>
              </w:rPr>
              <w:t>Operating Leases</w:t>
            </w:r>
          </w:p>
        </w:tc>
      </w:tr>
      <w:tr>
        <w:trPr>
          <w:trHeight w:val="223"/>
        </w:trPr>
        <w:tc>
          <w:tcPr>
            <w:tcW w:w="88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2023</w:t>
            </w: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607,061</w:t>
            </w:r>
          </w:p>
        </w:tc>
      </w:tr>
      <w:tr>
        <w:trPr>
          <w:trHeight w:val="230"/>
        </w:trPr>
        <w:tc>
          <w:tcPr>
            <w:tcW w:w="8820" w:type="dxa"/>
            <w:vAlign w:val="bottom"/>
          </w:tcPr>
          <w:p>
            <w:pPr>
              <w:ind w:left="36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575,209</w:t>
            </w:r>
          </w:p>
        </w:tc>
      </w:tr>
      <w:tr>
        <w:trPr>
          <w:trHeight w:val="230"/>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539,347</w:t>
            </w:r>
          </w:p>
        </w:tc>
      </w:tr>
      <w:tr>
        <w:trPr>
          <w:trHeight w:val="230"/>
        </w:trPr>
        <w:tc>
          <w:tcPr>
            <w:tcW w:w="8820" w:type="dxa"/>
            <w:vAlign w:val="bottom"/>
          </w:tcPr>
          <w:p>
            <w:pPr>
              <w:ind w:left="36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604,254</w:t>
            </w:r>
          </w:p>
        </w:tc>
      </w:tr>
      <w:tr>
        <w:trPr>
          <w:trHeight w:val="230"/>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619,354</w:t>
            </w:r>
          </w:p>
        </w:tc>
      </w:tr>
      <w:tr>
        <w:trPr>
          <w:trHeight w:val="229"/>
        </w:trPr>
        <w:tc>
          <w:tcPr>
            <w:tcW w:w="90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After 2027</w:t>
            </w:r>
          </w:p>
        </w:tc>
        <w:tc>
          <w:tcPr>
            <w:tcW w:w="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5,482,220</w:t>
            </w:r>
          </w:p>
        </w:tc>
      </w:tr>
      <w:tr>
        <w:trPr>
          <w:trHeight w:val="223"/>
        </w:trPr>
        <w:tc>
          <w:tcPr>
            <w:tcW w:w="9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minimum lease payments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8,427,445</w:t>
            </w:r>
          </w:p>
        </w:tc>
      </w:tr>
      <w:tr>
        <w:trPr>
          <w:trHeight w:val="223"/>
        </w:trPr>
        <w:tc>
          <w:tcPr>
            <w:tcW w:w="90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(3,668,234)</w:t>
            </w:r>
          </w:p>
        </w:tc>
      </w:tr>
      <w:tr>
        <w:trPr>
          <w:trHeight w:val="248"/>
        </w:trPr>
        <w:tc>
          <w:tcPr>
            <w:tcW w:w="90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4,759,211</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0" w:name="page121"/>
    <w:bookmarkEnd w:id="120"/>
    <w:p>
      <w:pPr>
        <w:jc w:val="center"/>
        <w:ind w:right="-7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Market Concentrations</w:t>
      </w:r>
    </w:p>
    <w:p>
      <w:pPr>
        <w:spacing w:after="0" w:line="148" w:lineRule="exact"/>
        <w:rPr>
          <w:sz w:val="20"/>
          <w:szCs w:val="20"/>
          <w:color w:val="auto"/>
        </w:rPr>
      </w:pPr>
    </w:p>
    <w:p>
      <w:pPr>
        <w:jc w:val="both"/>
        <w:ind w:left="80"/>
        <w:spacing w:after="0" w:line="263" w:lineRule="auto"/>
        <w:rPr>
          <w:sz w:val="20"/>
          <w:szCs w:val="20"/>
          <w:color w:val="auto"/>
        </w:rPr>
      </w:pPr>
      <w:r>
        <w:rPr>
          <w:rFonts w:ascii="Arial" w:cs="Arial" w:eastAsia="Arial" w:hAnsi="Arial"/>
          <w:sz w:val="18"/>
          <w:szCs w:val="18"/>
          <w:color w:val="auto"/>
        </w:rPr>
        <w:t>The Company’s principal financial instruments subject to potential concentration of credit risk are accounts receivable, which are unsecured, and cash equivalents. The Company’s cash equivalents consist primarily of money market funds. Certain bank deposits may be in excess of the insurance limits provided by the Federal Deposit Insurance Corporation.</w:t>
      </w:r>
    </w:p>
    <w:p>
      <w:pPr>
        <w:spacing w:after="0" w:line="116" w:lineRule="exact"/>
        <w:rPr>
          <w:sz w:val="20"/>
          <w:szCs w:val="20"/>
          <w:color w:val="auto"/>
        </w:rPr>
      </w:pPr>
    </w:p>
    <w:p>
      <w:pPr>
        <w:jc w:val="both"/>
        <w:ind w:left="80"/>
        <w:spacing w:after="0" w:line="274" w:lineRule="auto"/>
        <w:rPr>
          <w:sz w:val="20"/>
          <w:szCs w:val="20"/>
          <w:color w:val="auto"/>
        </w:rPr>
      </w:pPr>
      <w:r>
        <w:rPr>
          <w:rFonts w:ascii="Arial" w:cs="Arial" w:eastAsia="Arial" w:hAnsi="Arial"/>
          <w:sz w:val="18"/>
          <w:szCs w:val="18"/>
          <w:color w:val="auto"/>
        </w:rPr>
        <w:t>The Company’s primary customers are wholesale pharmaceutical distributors in the U.S. Total revenues by customer for each customer representing 10% or more of consolidated revenues are summarized below for the years ended December 31:</w:t>
      </w:r>
    </w:p>
    <w:tbl>
      <w:tblPr>
        <w:tblLayout w:type="fixed"/>
        <w:tblInd w:w="2260" w:type="dxa"/>
        <w:tblCellMar>
          <w:top w:w="0" w:type="dxa"/>
          <w:left w:w="0" w:type="dxa"/>
          <w:bottom w:w="0" w:type="dxa"/>
          <w:right w:w="0" w:type="dxa"/>
        </w:tblCellMar>
      </w:tblPr>
      <w:tr>
        <w:trPr>
          <w:trHeight w:val="213"/>
        </w:trPr>
        <w:tc>
          <w:tcPr>
            <w:tcW w:w="3480" w:type="dxa"/>
            <w:vAlign w:val="bottom"/>
          </w:tcPr>
          <w:p>
            <w:pPr>
              <w:spacing w:after="0"/>
              <w:rPr>
                <w:sz w:val="18"/>
                <w:szCs w:val="18"/>
                <w:color w:val="auto"/>
              </w:rPr>
            </w:pPr>
          </w:p>
        </w:tc>
        <w:tc>
          <w:tcPr>
            <w:tcW w:w="17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158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2021</w:t>
            </w:r>
          </w:p>
        </w:tc>
      </w:tr>
      <w:tr>
        <w:trPr>
          <w:trHeight w:val="145"/>
        </w:trPr>
        <w:tc>
          <w:tcPr>
            <w:tcW w:w="34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1</w:t>
            </w:r>
          </w:p>
        </w:tc>
        <w:tc>
          <w:tcPr>
            <w:tcW w:w="17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27%</w:t>
            </w: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Customer 2</w:t>
            </w:r>
          </w:p>
        </w:tc>
        <w:tc>
          <w:tcPr>
            <w:tcW w:w="1700" w:type="dxa"/>
            <w:vAlign w:val="bottom"/>
          </w:tcPr>
          <w:p>
            <w:pPr>
              <w:jc w:val="right"/>
              <w:ind w:right="532"/>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1580" w:type="dxa"/>
            <w:vAlign w:val="bottom"/>
          </w:tcPr>
          <w:p>
            <w:pPr>
              <w:jc w:val="right"/>
              <w:ind w:right="552"/>
              <w:spacing w:after="0"/>
              <w:rPr>
                <w:sz w:val="20"/>
                <w:szCs w:val="20"/>
                <w:color w:val="auto"/>
              </w:rPr>
            </w:pPr>
            <w:r>
              <w:rPr>
                <w:rFonts w:ascii="Arial" w:cs="Arial" w:eastAsia="Arial" w:hAnsi="Arial"/>
                <w:sz w:val="18"/>
                <w:szCs w:val="18"/>
                <w:color w:val="auto"/>
              </w:rPr>
              <w:t>24%</w:t>
            </w: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3</w:t>
            </w:r>
          </w:p>
        </w:tc>
        <w:tc>
          <w:tcPr>
            <w:tcW w:w="17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20%</w:t>
            </w:r>
          </w:p>
        </w:tc>
      </w:tr>
    </w:tbl>
    <w:p>
      <w:pPr>
        <w:spacing w:after="0" w:line="215" w:lineRule="exact"/>
        <w:rPr>
          <w:sz w:val="20"/>
          <w:szCs w:val="20"/>
          <w:color w:val="auto"/>
        </w:rPr>
      </w:pPr>
    </w:p>
    <w:p>
      <w:pPr>
        <w:jc w:val="both"/>
        <w:ind w:left="80"/>
        <w:spacing w:after="0" w:line="277" w:lineRule="auto"/>
        <w:rPr>
          <w:sz w:val="20"/>
          <w:szCs w:val="20"/>
          <w:color w:val="auto"/>
        </w:rPr>
      </w:pPr>
      <w:r>
        <w:rPr>
          <w:rFonts w:ascii="Arial" w:cs="Arial" w:eastAsia="Arial" w:hAnsi="Arial"/>
          <w:sz w:val="18"/>
          <w:szCs w:val="18"/>
          <w:color w:val="auto"/>
        </w:rPr>
        <w:t>The Company’s accounts receivable, net of allowances, due from the customers representing 10% or more of consolidated revenue was 51.77% and 51.1% at December 31, 2022 and 2021, respectively.</w:t>
      </w:r>
    </w:p>
    <w:p>
      <w:pPr>
        <w:spacing w:after="0" w:line="9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Manufacturing and Supply Agreements</w:t>
      </w:r>
    </w:p>
    <w:p>
      <w:pPr>
        <w:spacing w:after="0" w:line="162" w:lineRule="exact"/>
        <w:rPr>
          <w:sz w:val="20"/>
          <w:szCs w:val="20"/>
          <w:color w:val="auto"/>
        </w:rPr>
      </w:pPr>
    </w:p>
    <w:p>
      <w:pPr>
        <w:jc w:val="both"/>
        <w:ind w:left="80"/>
        <w:spacing w:after="0" w:line="301" w:lineRule="auto"/>
        <w:rPr>
          <w:sz w:val="20"/>
          <w:szCs w:val="20"/>
          <w:color w:val="auto"/>
        </w:rPr>
      </w:pPr>
      <w:r>
        <w:rPr>
          <w:rFonts w:ascii="Arial" w:cs="Arial" w:eastAsia="Arial" w:hAnsi="Arial"/>
          <w:sz w:val="16"/>
          <w:szCs w:val="16"/>
          <w:color w:val="auto"/>
        </w:rPr>
        <w:t>The Company utilizes one or two primary suppliers to manufacture each of its products and product candidates. Although there are a limited number of manufacturers of pharmaceutical products, the Company believes it could utilize other suppliers to manufacture its prescription products on comparable terms. A change in suppliers, problems with its third-party manufacturing operations or related production capacity, or contract disputes with suppliers could cause a delay in manufacturing or shipment of finished goods and possible loss of sales, which could adversely affect operating results.</w:t>
      </w:r>
    </w:p>
    <w:p>
      <w:pPr>
        <w:spacing w:after="0" w:line="7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Employment Agreements</w:t>
      </w:r>
    </w:p>
    <w:p>
      <w:pPr>
        <w:spacing w:after="0" w:line="162" w:lineRule="exact"/>
        <w:rPr>
          <w:sz w:val="20"/>
          <w:szCs w:val="20"/>
          <w:color w:val="auto"/>
        </w:rPr>
      </w:pPr>
    </w:p>
    <w:p>
      <w:pPr>
        <w:jc w:val="both"/>
        <w:ind w:left="80"/>
        <w:spacing w:after="0" w:line="263" w:lineRule="auto"/>
        <w:rPr>
          <w:sz w:val="20"/>
          <w:szCs w:val="20"/>
          <w:color w:val="auto"/>
        </w:rPr>
      </w:pPr>
      <w:r>
        <w:rPr>
          <w:rFonts w:ascii="Arial" w:cs="Arial" w:eastAsia="Arial" w:hAnsi="Arial"/>
          <w:sz w:val="18"/>
          <w:szCs w:val="18"/>
          <w:color w:val="auto"/>
        </w:rPr>
        <w:t>The Company has entered into employment agreements with all its full-time employees. Each employment agreement provides for a salary for services performed, a potential annual bonus and, if applicable, a grant of restricted common shares pursuant to a restricted stock and incentive stock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121" w:name="page122"/>
    <w:bookmarkEnd w:id="121"/>
    <w:p>
      <w:pPr>
        <w:jc w:val="center"/>
        <w:ind w:right="-7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Discontinued Operations</w:t>
      </w:r>
    </w:p>
    <w:p>
      <w:pPr>
        <w:spacing w:after="0" w:line="162" w:lineRule="exact"/>
        <w:rPr>
          <w:sz w:val="20"/>
          <w:szCs w:val="20"/>
          <w:color w:val="auto"/>
        </w:rPr>
      </w:pPr>
    </w:p>
    <w:p>
      <w:pPr>
        <w:jc w:val="both"/>
        <w:ind w:left="80"/>
        <w:spacing w:after="0" w:line="311" w:lineRule="auto"/>
        <w:rPr>
          <w:sz w:val="20"/>
          <w:szCs w:val="20"/>
          <w:color w:val="auto"/>
        </w:rPr>
      </w:pPr>
      <w:r>
        <w:rPr>
          <w:rFonts w:ascii="Arial" w:cs="Arial" w:eastAsia="Arial" w:hAnsi="Arial"/>
          <w:sz w:val="16"/>
          <w:szCs w:val="16"/>
          <w:color w:val="auto"/>
        </w:rPr>
        <w:t>In 2016, Cumberland entered into an agreement with Clinigen Group Plc ("Clinigen") for the rights and responsibilities associated with the commercialization of Ethyol in the United States. In 2017, the Company entered into another agreement with Clinigen for the rights and responsibilities associated with the commercialization of Totect in the United States. Ethyol and Totect are collectively referred to herein as the "Products."</w:t>
      </w:r>
    </w:p>
    <w:p>
      <w:pPr>
        <w:spacing w:after="0" w:line="68" w:lineRule="exact"/>
        <w:rPr>
          <w:sz w:val="20"/>
          <w:szCs w:val="20"/>
          <w:color w:val="auto"/>
        </w:rPr>
      </w:pPr>
    </w:p>
    <w:p>
      <w:pPr>
        <w:jc w:val="both"/>
        <w:ind w:left="80"/>
        <w:spacing w:after="0" w:line="269" w:lineRule="auto"/>
        <w:rPr>
          <w:sz w:val="20"/>
          <w:szCs w:val="20"/>
          <w:color w:val="auto"/>
        </w:rPr>
      </w:pPr>
      <w:r>
        <w:rPr>
          <w:rFonts w:ascii="Arial" w:cs="Arial" w:eastAsia="Arial" w:hAnsi="Arial"/>
          <w:sz w:val="17"/>
          <w:szCs w:val="17"/>
          <w:color w:val="auto"/>
        </w:rPr>
        <w:t>Early in 2019, Cumberland announced a strategic review of the Company's brands, capabilities, and international partners. This review followed an accelerated business development initiative, which resulted in a series of transactions. Because of that progress, Cumberland felt that it was prudent to take a fresh look at our product portfolio, partners, and organization to ensure proper focus and capabilities. During May 2019, Cumberland entered into the Dissolution Agreement with Clinigen in which the Company returned the exclusive rights to commercialize Ethyol and Totect (“the Products”) in the United States to Clinigen. This Dissolution Agreement originally targeted a transition from the Company's arrangements with Clinigen effective September 30, 2019, but was then amended to change the transition date to December 31, 2019. Under the terms of the Dissolution Agreement, Cumberland was no longer responsible for the distribution, marketing and promotion of either the Products or any competing products after December 31, 2019. In exchange for the return of these product license rights and the non-compete provisions of the Dissolution Agreement, Cumberland received $5 million in financial consideration paid in quarterly installments over the two-years following the transition date. Cumberland recorded the last four quarterly installments totaling $2.0 million during the year ended December 31, 2021.</w:t>
      </w:r>
    </w:p>
    <w:p>
      <w:pPr>
        <w:spacing w:after="0" w:line="118" w:lineRule="exact"/>
        <w:rPr>
          <w:sz w:val="20"/>
          <w:szCs w:val="20"/>
          <w:color w:val="auto"/>
        </w:rPr>
      </w:pPr>
    </w:p>
    <w:p>
      <w:pPr>
        <w:jc w:val="both"/>
        <w:ind w:left="80" w:right="20"/>
        <w:spacing w:after="0" w:line="277" w:lineRule="auto"/>
        <w:rPr>
          <w:sz w:val="20"/>
          <w:szCs w:val="20"/>
          <w:color w:val="auto"/>
        </w:rPr>
      </w:pPr>
      <w:r>
        <w:rPr>
          <w:rFonts w:ascii="Arial" w:cs="Arial" w:eastAsia="Arial" w:hAnsi="Arial"/>
          <w:sz w:val="18"/>
          <w:szCs w:val="18"/>
          <w:color w:val="auto"/>
        </w:rPr>
        <w:t>The exit from the Ethyol and Totect products meets the accounting criteria to be reported as discontinued operations. As a result, January 1, 2020, was the first day of discontinued operations for the Products.</w:t>
      </w:r>
    </w:p>
    <w:p>
      <w:pPr>
        <w:spacing w:after="0" w:line="103" w:lineRule="exact"/>
        <w:rPr>
          <w:sz w:val="20"/>
          <w:szCs w:val="20"/>
          <w:color w:val="auto"/>
        </w:rPr>
      </w:pPr>
    </w:p>
    <w:p>
      <w:pPr>
        <w:jc w:val="both"/>
        <w:ind w:left="80"/>
        <w:spacing w:after="0" w:line="257" w:lineRule="auto"/>
        <w:rPr>
          <w:sz w:val="20"/>
          <w:szCs w:val="20"/>
          <w:color w:val="auto"/>
        </w:rPr>
      </w:pPr>
      <w:r>
        <w:rPr>
          <w:rFonts w:ascii="Arial" w:cs="Arial" w:eastAsia="Arial" w:hAnsi="Arial"/>
          <w:sz w:val="18"/>
          <w:szCs w:val="18"/>
          <w:color w:val="auto"/>
        </w:rPr>
        <w:t>The Products provided revenue, incurred direct expenses and resulted in discontinued operations income during the periods presented. The following amounts have been separated from continuing operations, as discontinued operations, for all periods presented. The direct expenses separated for discontinued operations do not reflect the direct selling and marketing costs attributable to the individuals at Cumberland responsible for promotion of the Products. Subsequent to the transaction date, those sales and marketing individuals who supported the Products shifted their efforts from the Products and continue to support other Cumberland brands.</w:t>
      </w:r>
    </w:p>
    <w:p>
      <w:pPr>
        <w:spacing w:after="0" w:line="34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Commitments and Contingencies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Commitments</w:t>
      </w:r>
    </w:p>
    <w:p>
      <w:pPr>
        <w:spacing w:after="0" w:line="158" w:lineRule="exact"/>
        <w:rPr>
          <w:sz w:val="20"/>
          <w:szCs w:val="20"/>
          <w:color w:val="auto"/>
        </w:rPr>
      </w:pPr>
    </w:p>
    <w:p>
      <w:pPr>
        <w:jc w:val="both"/>
        <w:ind w:left="80" w:right="20"/>
        <w:spacing w:after="0" w:line="277" w:lineRule="auto"/>
        <w:rPr>
          <w:sz w:val="20"/>
          <w:szCs w:val="20"/>
          <w:color w:val="auto"/>
        </w:rPr>
      </w:pPr>
      <w:r>
        <w:rPr>
          <w:rFonts w:ascii="Arial" w:cs="Arial" w:eastAsia="Arial" w:hAnsi="Arial"/>
          <w:sz w:val="18"/>
          <w:szCs w:val="18"/>
          <w:color w:val="auto"/>
        </w:rPr>
        <w:t>In connection with its licensing agreements for Caldolor, the Company is required to pay royalties based on net sales over the life of the product. Royalty expense is recognized as a component of selling and marketing expense in the period that revenue is recognized.</w:t>
      </w:r>
    </w:p>
    <w:p>
      <w:pPr>
        <w:spacing w:after="0" w:line="89" w:lineRule="exact"/>
        <w:rPr>
          <w:sz w:val="20"/>
          <w:szCs w:val="20"/>
          <w:color w:val="auto"/>
        </w:rPr>
      </w:pPr>
    </w:p>
    <w:p>
      <w:pPr>
        <w:jc w:val="both"/>
        <w:ind w:left="80"/>
        <w:spacing w:after="0" w:line="263" w:lineRule="auto"/>
        <w:rPr>
          <w:sz w:val="20"/>
          <w:szCs w:val="20"/>
          <w:color w:val="auto"/>
        </w:rPr>
      </w:pPr>
      <w:r>
        <w:rPr>
          <w:rFonts w:ascii="Arial" w:cs="Arial" w:eastAsia="Arial" w:hAnsi="Arial"/>
          <w:sz w:val="18"/>
          <w:szCs w:val="18"/>
          <w:color w:val="auto"/>
        </w:rPr>
        <w:t>In connection with the acquisition of Vibativ, the Company is required to pay royalties based on net sales of the product. At the purchase date, Cumberland recorded the fair value of this liability and will continue to evaluate the liability each period and the royalty expense is recognized as a component of selling and marketing expense in the period that the change in fair value is recognized.</w:t>
      </w:r>
    </w:p>
    <w:p>
      <w:pPr>
        <w:spacing w:after="0" w:line="116" w:lineRule="exact"/>
        <w:rPr>
          <w:sz w:val="20"/>
          <w:szCs w:val="20"/>
          <w:color w:val="auto"/>
        </w:rPr>
      </w:pPr>
    </w:p>
    <w:p>
      <w:pPr>
        <w:jc w:val="both"/>
        <w:ind w:left="80"/>
        <w:spacing w:after="0" w:line="277" w:lineRule="auto"/>
        <w:rPr>
          <w:sz w:val="20"/>
          <w:szCs w:val="20"/>
          <w:color w:val="auto"/>
        </w:rPr>
      </w:pPr>
      <w:r>
        <w:rPr>
          <w:rFonts w:ascii="Arial" w:cs="Arial" w:eastAsia="Arial" w:hAnsi="Arial"/>
          <w:sz w:val="18"/>
          <w:szCs w:val="18"/>
          <w:color w:val="auto"/>
        </w:rPr>
        <w:t>In connection with the acquisition of Sancuso, the Company is required to pay up to $3.5 million in milestones and tiered royalties ranging from 10% to 5% on U.S. net product sales for ten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Cumberland has a number of patents issued through the United States Patent and Trademark Office (the “USPTO”) including U.S. Patent number 8,148,356 (the “356 Acetadote Patent”) which is assigned to the Company. The claims of the 356 Acetadote Patent encompass the new Acetadote formulation and include composition of matter claims. Following its issuance, the 356 Acetadote Patent was listed in the FDA Orange Book. The 356 Acetadote Patent is scheduled to expire in May 2026, which time period includes a 270-day patent term adjustment granted by the USPTO.</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2012, Cumberland has continued to vigorously defend and protect its Acetadote product and related intellectual property rights including the use of all its legal options.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Melinta Litigation</w:t>
      </w:r>
    </w:p>
    <w:p>
      <w:pPr>
        <w:spacing w:after="0" w:line="14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February 2, 2022, the Company filed an action for breach of contract against Melinta Therapeutics, LLC and Targanta Therapeutics Corporation (collectively, the “Defendants”) in the United States District Court for the Southern District of New York (Case No. 1:22-cv-00915-VM). The Company and the Defendants are parties to an agreement (the “Agreement”), pursuant to which the Defendants have a license to develop and commercialize products under certain Company patents, in exchange for the Defendants paying the Company certain milestone payments and royalties on net sales of the licensed products.</w:t>
      </w:r>
    </w:p>
    <w:p>
      <w:pPr>
        <w:spacing w:after="0" w:line="12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Specifically, the Agreement requires the Defendants to, among other things, make a $500,000 payment to the Company within 30 days following the first filing of an sNDA in relation to the Product (as defined the Agreement) and a $500,000 payment to the Company following the approval of the first sNDA in relation to the Product.</w:t>
      </w:r>
    </w:p>
    <w:p>
      <w:pPr>
        <w:spacing w:after="0" w:line="116"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After Defendants disclosed the domiciles of its limited partners to the Company, as required by the Court, on October 24, 2022, the action for breach of contract was refiled in the Supreme Court of the State of New York, County of New York (Index No. 654234/2022) on November 7, 2022.</w:t>
      </w:r>
    </w:p>
    <w:p>
      <w:pPr>
        <w:spacing w:after="0" w:line="43"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complaint alleges that, despite the Defendants filing an NDA and sNDA for the Product and receiving FDA approval for both applications, the Defendants failed to make the required total of $1 million in milestone payments to the Company. The Company is seeking damages in the amount of no less than $1 million, pre- and post-judgment interest under N.Y. C.P.L.R. § 5001, costs, and such further relief as the court deems just and proper.</w:t>
      </w:r>
    </w:p>
    <w:p>
      <w:pPr>
        <w:spacing w:after="0" w:line="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is a party to various other legal proceedings in the ordinary course of its business. In the opinion of management, the liability associated with these matters, will not have a material adverse effect on the Company's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3" w:name="page124"/>
    <w:bookmarkEnd w:id="123"/>
    <w:p>
      <w:pPr>
        <w:jc w:val="center"/>
        <w:ind w:right="-7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9"/>
          </w:tcPr>
          <w:p>
            <w:pPr>
              <w:jc w:val="right"/>
              <w:ind w:right="639"/>
              <w:spacing w:after="0"/>
              <w:rPr>
                <w:sz w:val="20"/>
                <w:szCs w:val="20"/>
                <w:color w:val="auto"/>
              </w:rPr>
            </w:pPr>
            <w:r>
              <w:rPr>
                <w:rFonts w:ascii="Arial" w:cs="Arial" w:eastAsia="Arial" w:hAnsi="Arial"/>
                <w:sz w:val="18"/>
                <w:szCs w:val="18"/>
                <w:b w:val="1"/>
                <w:bCs w:val="1"/>
                <w:color w:val="auto"/>
                <w:w w:val="95"/>
              </w:rPr>
              <w:t>(21)  Quarterly Financial Information (Unaudited)</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The</w:t>
            </w:r>
          </w:p>
        </w:tc>
        <w:tc>
          <w:tcPr>
            <w:tcW w:w="920" w:type="dxa"/>
            <w:vAlign w:val="bottom"/>
          </w:tcPr>
          <w:p>
            <w:pPr>
              <w:ind w:left="80"/>
              <w:spacing w:after="0"/>
              <w:rPr>
                <w:sz w:val="20"/>
                <w:szCs w:val="20"/>
                <w:color w:val="auto"/>
              </w:rPr>
            </w:pPr>
            <w:r>
              <w:rPr>
                <w:rFonts w:ascii="Arial" w:cs="Arial" w:eastAsia="Arial" w:hAnsi="Arial"/>
                <w:sz w:val="18"/>
                <w:szCs w:val="18"/>
                <w:color w:val="auto"/>
              </w:rPr>
              <w:t>following</w:t>
            </w:r>
          </w:p>
        </w:tc>
        <w:tc>
          <w:tcPr>
            <w:tcW w:w="760" w:type="dxa"/>
            <w:vAlign w:val="bottom"/>
          </w:tcPr>
          <w:p>
            <w:pPr>
              <w:ind w:left="140"/>
              <w:spacing w:after="0"/>
              <w:rPr>
                <w:sz w:val="20"/>
                <w:szCs w:val="20"/>
                <w:color w:val="auto"/>
              </w:rPr>
            </w:pPr>
            <w:r>
              <w:rPr>
                <w:rFonts w:ascii="Arial" w:cs="Arial" w:eastAsia="Arial" w:hAnsi="Arial"/>
                <w:sz w:val="18"/>
                <w:szCs w:val="18"/>
                <w:color w:val="auto"/>
              </w:rPr>
              <w:t>table</w:t>
            </w:r>
          </w:p>
        </w:tc>
        <w:tc>
          <w:tcPr>
            <w:tcW w:w="420" w:type="dxa"/>
            <w:vAlign w:val="bottom"/>
          </w:tcPr>
          <w:p>
            <w:pPr>
              <w:ind w:left="20"/>
              <w:spacing w:after="0"/>
              <w:rPr>
                <w:sz w:val="20"/>
                <w:szCs w:val="20"/>
                <w:color w:val="auto"/>
              </w:rPr>
            </w:pPr>
            <w:r>
              <w:rPr>
                <w:rFonts w:ascii="Arial" w:cs="Arial" w:eastAsia="Arial" w:hAnsi="Arial"/>
                <w:sz w:val="18"/>
                <w:szCs w:val="18"/>
                <w:color w:val="auto"/>
              </w:rPr>
              <w:t>sets</w:t>
            </w:r>
          </w:p>
        </w:tc>
        <w:tc>
          <w:tcPr>
            <w:tcW w:w="740" w:type="dxa"/>
            <w:vAlign w:val="bottom"/>
          </w:tcPr>
          <w:p>
            <w:pPr>
              <w:ind w:left="160"/>
              <w:spacing w:after="0"/>
              <w:rPr>
                <w:sz w:val="20"/>
                <w:szCs w:val="20"/>
                <w:color w:val="auto"/>
              </w:rPr>
            </w:pPr>
            <w:r>
              <w:rPr>
                <w:rFonts w:ascii="Arial" w:cs="Arial" w:eastAsia="Arial" w:hAnsi="Arial"/>
                <w:sz w:val="18"/>
                <w:szCs w:val="18"/>
                <w:color w:val="auto"/>
              </w:rPr>
              <w:t>forth</w:t>
            </w:r>
          </w:p>
        </w:tc>
        <w:tc>
          <w:tcPr>
            <w:tcW w:w="420" w:type="dxa"/>
            <w:vAlign w:val="bottom"/>
          </w:tcPr>
          <w:p>
            <w:pPr>
              <w:ind w:left="40"/>
              <w:spacing w:after="0"/>
              <w:rPr>
                <w:sz w:val="20"/>
                <w:szCs w:val="20"/>
                <w:color w:val="auto"/>
              </w:rPr>
            </w:pPr>
            <w:r>
              <w:rPr>
                <w:rFonts w:ascii="Arial" w:cs="Arial" w:eastAsia="Arial" w:hAnsi="Arial"/>
                <w:sz w:val="18"/>
                <w:szCs w:val="18"/>
                <w:color w:val="auto"/>
              </w:rPr>
              <w:t>the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unaudited</w:t>
            </w:r>
          </w:p>
        </w:tc>
        <w:tc>
          <w:tcPr>
            <w:tcW w:w="980" w:type="dxa"/>
            <w:vAlign w:val="bottom"/>
            <w:gridSpan w:val="2"/>
          </w:tcPr>
          <w:p>
            <w:pPr>
              <w:ind w:left="280"/>
              <w:spacing w:after="0"/>
              <w:rPr>
                <w:sz w:val="20"/>
                <w:szCs w:val="20"/>
                <w:color w:val="auto"/>
              </w:rPr>
            </w:pPr>
            <w:r>
              <w:rPr>
                <w:rFonts w:ascii="Arial" w:cs="Arial" w:eastAsia="Arial" w:hAnsi="Arial"/>
                <w:sz w:val="18"/>
                <w:szCs w:val="18"/>
                <w:color w:val="auto"/>
                <w:w w:val="90"/>
              </w:rPr>
              <w:t>operating</w:t>
            </w:r>
          </w:p>
        </w:tc>
        <w:tc>
          <w:tcPr>
            <w:tcW w:w="180" w:type="dxa"/>
            <w:vAlign w:val="bottom"/>
          </w:tcPr>
          <w:p>
            <w:pPr>
              <w:spacing w:after="0"/>
              <w:rPr>
                <w:sz w:val="24"/>
                <w:szCs w:val="24"/>
                <w:color w:val="auto"/>
              </w:rPr>
            </w:pPr>
          </w:p>
        </w:tc>
        <w:tc>
          <w:tcPr>
            <w:tcW w:w="620" w:type="dxa"/>
            <w:vAlign w:val="bottom"/>
          </w:tcPr>
          <w:p>
            <w:pPr>
              <w:ind w:left="80"/>
              <w:spacing w:after="0"/>
              <w:rPr>
                <w:sz w:val="20"/>
                <w:szCs w:val="20"/>
                <w:color w:val="auto"/>
              </w:rPr>
            </w:pPr>
            <w:r>
              <w:rPr>
                <w:rFonts w:ascii="Arial" w:cs="Arial" w:eastAsia="Arial" w:hAnsi="Arial"/>
                <w:sz w:val="18"/>
                <w:szCs w:val="18"/>
                <w:color w:val="auto"/>
                <w:w w:val="98"/>
              </w:rPr>
              <w:t>results</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for</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each</w:t>
            </w:r>
          </w:p>
        </w:tc>
        <w:tc>
          <w:tcPr>
            <w:tcW w:w="900" w:type="dxa"/>
            <w:vAlign w:val="bottom"/>
          </w:tcPr>
          <w:p>
            <w:pPr>
              <w:jc w:val="right"/>
              <w:ind w:right="159"/>
              <w:spacing w:after="0"/>
              <w:rPr>
                <w:sz w:val="20"/>
                <w:szCs w:val="20"/>
                <w:color w:val="auto"/>
              </w:rPr>
            </w:pPr>
            <w:r>
              <w:rPr>
                <w:rFonts w:ascii="Arial" w:cs="Arial" w:eastAsia="Arial" w:hAnsi="Arial"/>
                <w:sz w:val="18"/>
                <w:szCs w:val="18"/>
                <w:color w:val="auto"/>
              </w:rPr>
              <w:t>fiscal</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1"/>
              </w:rPr>
              <w:t>quarter</w:t>
            </w:r>
          </w:p>
        </w:tc>
        <w:tc>
          <w:tcPr>
            <w:tcW w:w="400" w:type="dxa"/>
            <w:vAlign w:val="bottom"/>
          </w:tcPr>
          <w:p>
            <w:pPr>
              <w:ind w:left="240"/>
              <w:spacing w:after="0"/>
              <w:rPr>
                <w:sz w:val="20"/>
                <w:szCs w:val="20"/>
                <w:color w:val="auto"/>
              </w:rPr>
            </w:pPr>
            <w:r>
              <w:rPr>
                <w:rFonts w:ascii="Arial" w:cs="Arial" w:eastAsia="Arial" w:hAnsi="Arial"/>
                <w:sz w:val="18"/>
                <w:szCs w:val="18"/>
                <w:color w:val="auto"/>
                <w:w w:val="92"/>
              </w:rPr>
              <w:t>of</w:t>
            </w:r>
          </w:p>
        </w:tc>
        <w:tc>
          <w:tcPr>
            <w:tcW w:w="800" w:type="dxa"/>
            <w:vAlign w:val="bottom"/>
            <w:gridSpan w:val="3"/>
          </w:tcPr>
          <w:p>
            <w:pPr>
              <w:jc w:val="right"/>
              <w:ind w:right="84"/>
              <w:spacing w:after="0"/>
              <w:rPr>
                <w:sz w:val="20"/>
                <w:szCs w:val="20"/>
                <w:color w:val="auto"/>
              </w:rPr>
            </w:pPr>
            <w:r>
              <w:rPr>
                <w:rFonts w:ascii="Arial" w:cs="Arial" w:eastAsia="Arial" w:hAnsi="Arial"/>
                <w:sz w:val="18"/>
                <w:szCs w:val="18"/>
                <w:color w:val="auto"/>
              </w:rPr>
              <w:t>2022</w:t>
            </w:r>
          </w:p>
        </w:tc>
        <w:tc>
          <w:tcPr>
            <w:tcW w:w="640" w:type="dxa"/>
            <w:vAlign w:val="bottom"/>
          </w:tcPr>
          <w:p>
            <w:pPr>
              <w:ind w:left="120"/>
              <w:spacing w:after="0"/>
              <w:rPr>
                <w:sz w:val="20"/>
                <w:szCs w:val="20"/>
                <w:color w:val="auto"/>
              </w:rPr>
            </w:pPr>
            <w:r>
              <w:rPr>
                <w:rFonts w:ascii="Arial" w:cs="Arial" w:eastAsia="Arial" w:hAnsi="Arial"/>
                <w:sz w:val="18"/>
                <w:szCs w:val="18"/>
                <w:color w:val="auto"/>
              </w:rPr>
              <w:t>and</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2021:</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600"/>
              <w:spacing w:after="0" w:line="162" w:lineRule="exact"/>
              <w:rPr>
                <w:sz w:val="20"/>
                <w:szCs w:val="20"/>
                <w:color w:val="auto"/>
              </w:rPr>
            </w:pPr>
            <w:r>
              <w:rPr>
                <w:rFonts w:ascii="Arial" w:cs="Arial" w:eastAsia="Arial" w:hAnsi="Arial"/>
                <w:sz w:val="16"/>
                <w:szCs w:val="16"/>
                <w:b w:val="1"/>
                <w:bCs w:val="1"/>
                <w:color w:val="auto"/>
                <w:w w:val="97"/>
              </w:rPr>
              <w:t>First</w:t>
            </w:r>
          </w:p>
        </w:tc>
        <w:tc>
          <w:tcPr>
            <w:tcW w:w="18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center"/>
              <w:ind w:right="320"/>
              <w:spacing w:after="0" w:line="162" w:lineRule="exact"/>
              <w:rPr>
                <w:sz w:val="20"/>
                <w:szCs w:val="20"/>
                <w:color w:val="auto"/>
              </w:rPr>
            </w:pPr>
            <w:r>
              <w:rPr>
                <w:rFonts w:ascii="Arial" w:cs="Arial" w:eastAsia="Arial" w:hAnsi="Arial"/>
                <w:sz w:val="16"/>
                <w:szCs w:val="16"/>
                <w:b w:val="1"/>
                <w:bCs w:val="1"/>
                <w:color w:val="auto"/>
                <w:w w:val="86"/>
              </w:rPr>
              <w:t>Second</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79"/>
              <w:spacing w:after="0" w:line="162" w:lineRule="exact"/>
              <w:rPr>
                <w:sz w:val="20"/>
                <w:szCs w:val="20"/>
                <w:color w:val="auto"/>
              </w:rPr>
            </w:pPr>
            <w:r>
              <w:rPr>
                <w:rFonts w:ascii="Arial" w:cs="Arial" w:eastAsia="Arial" w:hAnsi="Arial"/>
                <w:sz w:val="16"/>
                <w:szCs w:val="16"/>
                <w:b w:val="1"/>
                <w:bCs w:val="1"/>
                <w:color w:val="auto"/>
              </w:rPr>
              <w:t>Third</w:t>
            </w:r>
          </w:p>
        </w:tc>
        <w:tc>
          <w:tcPr>
            <w:tcW w:w="120" w:type="dxa"/>
            <w:vAlign w:val="bottom"/>
            <w:shd w:val="clear" w:color="auto" w:fill="CCEEFF"/>
          </w:tcPr>
          <w:p>
            <w:pPr>
              <w:spacing w:after="0"/>
              <w:rPr>
                <w:sz w:val="14"/>
                <w:szCs w:val="14"/>
                <w:color w:val="auto"/>
              </w:rPr>
            </w:pPr>
          </w:p>
        </w:tc>
        <w:tc>
          <w:tcPr>
            <w:tcW w:w="1460" w:type="dxa"/>
            <w:vAlign w:val="bottom"/>
            <w:gridSpan w:val="4"/>
            <w:shd w:val="clear" w:color="auto" w:fill="CCEEFF"/>
          </w:tcPr>
          <w:p>
            <w:pPr>
              <w:jc w:val="center"/>
              <w:ind w:right="140"/>
              <w:spacing w:after="0" w:line="162" w:lineRule="exact"/>
              <w:rPr>
                <w:sz w:val="20"/>
                <w:szCs w:val="20"/>
                <w:color w:val="auto"/>
              </w:rPr>
            </w:pPr>
            <w:r>
              <w:rPr>
                <w:rFonts w:ascii="Arial" w:cs="Arial" w:eastAsia="Arial" w:hAnsi="Arial"/>
                <w:sz w:val="16"/>
                <w:szCs w:val="16"/>
                <w:b w:val="1"/>
                <w:bCs w:val="1"/>
                <w:color w:val="auto"/>
                <w:w w:val="94"/>
              </w:rPr>
              <w:t>Fourth</w:t>
            </w:r>
          </w:p>
        </w:tc>
        <w:tc>
          <w:tcPr>
            <w:tcW w:w="2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ind w:left="240"/>
              <w:spacing w:after="0"/>
              <w:rPr>
                <w:sz w:val="20"/>
                <w:szCs w:val="20"/>
                <w:color w:val="auto"/>
              </w:rPr>
            </w:pPr>
            <w:r>
              <w:rPr>
                <w:rFonts w:ascii="Arial" w:cs="Arial" w:eastAsia="Arial" w:hAnsi="Arial"/>
                <w:sz w:val="16"/>
                <w:szCs w:val="16"/>
                <w:b w:val="1"/>
                <w:bCs w:val="1"/>
                <w:color w:val="auto"/>
                <w:w w:val="99"/>
              </w:rPr>
              <w:t>Total</w:t>
            </w: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center"/>
              <w:ind w:right="140"/>
              <w:spacing w:after="0"/>
              <w:rPr>
                <w:sz w:val="20"/>
                <w:szCs w:val="20"/>
                <w:color w:val="auto"/>
              </w:rPr>
            </w:pPr>
            <w:r>
              <w:rPr>
                <w:rFonts w:ascii="Arial" w:cs="Arial" w:eastAsia="Arial" w:hAnsi="Arial"/>
                <w:sz w:val="16"/>
                <w:szCs w:val="16"/>
                <w:b w:val="1"/>
                <w:bCs w:val="1"/>
                <w:color w:val="auto"/>
              </w:rPr>
              <w:t>Quarter</w:t>
            </w: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rPr>
              <w:t>Quarter</w:t>
            </w:r>
          </w:p>
        </w:tc>
        <w:tc>
          <w:tcPr>
            <w:tcW w:w="132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Quarter</w:t>
            </w:r>
          </w:p>
        </w:tc>
        <w:tc>
          <w:tcPr>
            <w:tcW w:w="12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center"/>
              <w:ind w:right="140"/>
              <w:spacing w:after="0"/>
              <w:rPr>
                <w:sz w:val="20"/>
                <w:szCs w:val="20"/>
                <w:color w:val="auto"/>
              </w:rPr>
            </w:pPr>
            <w:r>
              <w:rPr>
                <w:rFonts w:ascii="Arial" w:cs="Arial" w:eastAsia="Arial" w:hAnsi="Arial"/>
                <w:sz w:val="16"/>
                <w:szCs w:val="16"/>
                <w:b w:val="1"/>
                <w:bCs w:val="1"/>
                <w:color w:val="auto"/>
                <w:w w:val="96"/>
              </w:rPr>
              <w:t>Quarter</w:t>
            </w:r>
          </w:p>
        </w:tc>
        <w:tc>
          <w:tcPr>
            <w:tcW w:w="2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80" w:type="dxa"/>
            <w:vAlign w:val="bottom"/>
            <w:vMerge w:val="restart"/>
          </w:tcPr>
          <w:p>
            <w:pPr>
              <w:spacing w:after="0"/>
              <w:rPr>
                <w:sz w:val="6"/>
                <w:szCs w:val="6"/>
                <w:color w:val="auto"/>
              </w:rPr>
            </w:pPr>
          </w:p>
        </w:tc>
        <w:tc>
          <w:tcPr>
            <w:tcW w:w="5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80" w:type="dxa"/>
            <w:vAlign w:val="bottom"/>
            <w:vMerge w:val="continue"/>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9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Net revenues</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w w:val="94"/>
              </w:rPr>
              <w:t>11,175,045</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10,299,152</w:t>
            </w:r>
          </w:p>
        </w:tc>
        <w:tc>
          <w:tcPr>
            <w:tcW w:w="140" w:type="dxa"/>
            <w:vAlign w:val="bottom"/>
          </w:tcPr>
          <w:p>
            <w:pPr>
              <w:spacing w:after="0"/>
              <w:rPr>
                <w:sz w:val="19"/>
                <w:szCs w:val="19"/>
                <w:color w:val="auto"/>
              </w:rPr>
            </w:pPr>
          </w:p>
        </w:tc>
        <w:tc>
          <w:tcPr>
            <w:tcW w:w="420" w:type="dxa"/>
            <w:vAlign w:val="bottom"/>
          </w:tcPr>
          <w:p>
            <w:pPr>
              <w:jc w:val="right"/>
              <w:ind w:right="238"/>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w w:val="99"/>
              </w:rPr>
              <w:t>11,413,072</w:t>
            </w:r>
          </w:p>
        </w:tc>
        <w:tc>
          <w:tcPr>
            <w:tcW w:w="600" w:type="dxa"/>
            <w:vAlign w:val="bottom"/>
            <w:gridSpan w:val="2"/>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9,123,680</w:t>
            </w:r>
          </w:p>
        </w:tc>
        <w:tc>
          <w:tcPr>
            <w:tcW w:w="14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42,010,949</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(1,291,999)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(1,846,538)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(288,588)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5"/>
              </w:rPr>
              <w:t>(2,277,804)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(5,704,929)</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340" w:type="dxa"/>
            <w:vAlign w:val="bottom"/>
            <w:gridSpan w:val="5"/>
          </w:tcPr>
          <w:p>
            <w:pPr>
              <w:ind w:left="20"/>
              <w:spacing w:after="0"/>
              <w:rPr>
                <w:sz w:val="20"/>
                <w:szCs w:val="20"/>
                <w:color w:val="auto"/>
              </w:rPr>
            </w:pPr>
            <w:r>
              <w:rPr>
                <w:rFonts w:ascii="Arial" w:cs="Arial" w:eastAsia="Arial" w:hAnsi="Arial"/>
                <w:sz w:val="18"/>
                <w:szCs w:val="18"/>
                <w:color w:val="auto"/>
                <w:w w:val="92"/>
              </w:rPr>
              <w:t>Net income (loss) from continuing operations</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7"/>
              </w:rPr>
              <w:t>(1,402,433)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(1,364,666)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(423,226)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w w:val="95"/>
              </w:rPr>
              <w:t>(2,459,714)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(5,650,039)</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62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(1,385,253)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(1,335,620)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(408,639)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5"/>
              </w:rPr>
              <w:t>(2,440,729)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(5,570,241)</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3760" w:type="dxa"/>
            <w:vAlign w:val="bottom"/>
            <w:gridSpan w:val="6"/>
          </w:tcPr>
          <w:p>
            <w:pPr>
              <w:ind w:left="20"/>
              <w:spacing w:after="0" w:line="182" w:lineRule="exact"/>
              <w:rPr>
                <w:sz w:val="20"/>
                <w:szCs w:val="20"/>
                <w:color w:val="auto"/>
              </w:rPr>
            </w:pPr>
            <w:r>
              <w:rPr>
                <w:rFonts w:ascii="Arial" w:cs="Arial" w:eastAsia="Arial" w:hAnsi="Arial"/>
                <w:sz w:val="18"/>
                <w:szCs w:val="18"/>
                <w:color w:val="auto"/>
                <w:w w:val="95"/>
              </w:rPr>
              <w:t>Earnings (loss) per share attributable to common</w:t>
            </w: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1420" w:type="dxa"/>
            <w:vAlign w:val="bottom"/>
            <w:gridSpan w:val="2"/>
          </w:tcPr>
          <w:p>
            <w:pPr>
              <w:ind w:left="20"/>
              <w:spacing w:after="0" w:line="235" w:lineRule="exact"/>
              <w:rPr>
                <w:sz w:val="20"/>
                <w:szCs w:val="20"/>
                <w:color w:val="auto"/>
              </w:rPr>
            </w:pPr>
            <w:r>
              <w:rPr>
                <w:rFonts w:ascii="Arial" w:cs="Arial" w:eastAsia="Arial" w:hAnsi="Arial"/>
                <w:sz w:val="18"/>
                <w:szCs w:val="18"/>
                <w:color w:val="auto"/>
              </w:rPr>
              <w:t xml:space="preserve">shareholders </w:t>
            </w:r>
            <w:r>
              <w:rPr>
                <w:rFonts w:ascii="Arial" w:cs="Arial" w:eastAsia="Arial" w:hAnsi="Arial"/>
                <w:sz w:val="23"/>
                <w:szCs w:val="23"/>
                <w:color w:val="auto"/>
                <w:vertAlign w:val="superscript"/>
              </w:rPr>
              <w:t>(1)</w:t>
            </w: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1"/>
              </w:rPr>
              <w:t>Continuing operations - basic</w:t>
            </w: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60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(0.17)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(0.38)</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6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Discontinued operations - basic</w:t>
            </w:r>
          </w:p>
        </w:tc>
        <w:tc>
          <w:tcPr>
            <w:tcW w:w="7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60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(0.17)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(0.38)</w:t>
            </w: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2600" w:type="dxa"/>
            <w:vAlign w:val="bottom"/>
            <w:gridSpan w:val="4"/>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6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Continuing operations - diluted</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60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(0.17)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(0.38)</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60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w w:val="97"/>
              </w:rPr>
              <w:t>Discontinued operations - diluted</w:t>
            </w:r>
          </w:p>
        </w:tc>
        <w:tc>
          <w:tcPr>
            <w:tcW w:w="7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1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60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(0.17)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(0.38)</w:t>
            </w:r>
          </w:p>
        </w:tc>
        <w:tc>
          <w:tcPr>
            <w:tcW w:w="0" w:type="dxa"/>
            <w:vAlign w:val="bottom"/>
          </w:tcPr>
          <w:p>
            <w:pPr>
              <w:spacing w:after="0"/>
              <w:rPr>
                <w:sz w:val="1"/>
                <w:szCs w:val="1"/>
                <w:color w:val="auto"/>
              </w:rPr>
            </w:pPr>
          </w:p>
        </w:tc>
      </w:tr>
      <w:tr>
        <w:trPr>
          <w:trHeight w:val="95"/>
        </w:trPr>
        <w:tc>
          <w:tcPr>
            <w:tcW w:w="8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80" w:type="dxa"/>
            <w:vAlign w:val="bottom"/>
            <w:vMerge w:val="continue"/>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9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Net revenues</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w w:val="94"/>
              </w:rPr>
              <w:t>10,537,159</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9,055,483</w:t>
            </w:r>
          </w:p>
        </w:tc>
        <w:tc>
          <w:tcPr>
            <w:tcW w:w="140" w:type="dxa"/>
            <w:vAlign w:val="bottom"/>
          </w:tcPr>
          <w:p>
            <w:pPr>
              <w:spacing w:after="0"/>
              <w:rPr>
                <w:sz w:val="19"/>
                <w:szCs w:val="19"/>
                <w:color w:val="auto"/>
              </w:rPr>
            </w:pPr>
          </w:p>
        </w:tc>
        <w:tc>
          <w:tcPr>
            <w:tcW w:w="420" w:type="dxa"/>
            <w:vAlign w:val="bottom"/>
          </w:tcPr>
          <w:p>
            <w:pPr>
              <w:jc w:val="right"/>
              <w:ind w:right="238"/>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8,072,540</w:t>
            </w:r>
          </w:p>
        </w:tc>
        <w:tc>
          <w:tcPr>
            <w:tcW w:w="600" w:type="dxa"/>
            <w:vAlign w:val="bottom"/>
            <w:gridSpan w:val="2"/>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8,319,861</w:t>
            </w:r>
          </w:p>
        </w:tc>
        <w:tc>
          <w:tcPr>
            <w:tcW w:w="14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35,985,043</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(324,300)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(1,435,729)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(1,563,395)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5"/>
              </w:rPr>
              <w:t>(4,353,996)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(7,677,420)</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340" w:type="dxa"/>
            <w:vAlign w:val="bottom"/>
            <w:gridSpan w:val="5"/>
          </w:tcPr>
          <w:p>
            <w:pPr>
              <w:ind w:left="20"/>
              <w:spacing w:after="0"/>
              <w:rPr>
                <w:sz w:val="20"/>
                <w:szCs w:val="20"/>
                <w:color w:val="auto"/>
              </w:rPr>
            </w:pPr>
            <w:r>
              <w:rPr>
                <w:rFonts w:ascii="Arial" w:cs="Arial" w:eastAsia="Arial" w:hAnsi="Arial"/>
                <w:sz w:val="18"/>
                <w:szCs w:val="18"/>
                <w:color w:val="auto"/>
                <w:w w:val="92"/>
              </w:rPr>
              <w:t>Net income (loss) from continuing operations</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(350,749)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724,684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(1,583,480)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w w:val="95"/>
              </w:rPr>
              <w:t>(4,387,576)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(5,597,121)</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76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w w:val="98"/>
              </w:rPr>
              <w:t>Net income (loss) from discontinued operations</w:t>
            </w: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495,410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498,807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496,787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503,318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1,994,322</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620" w:type="dxa"/>
            <w:vAlign w:val="bottom"/>
            <w:gridSpan w:val="8"/>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840" w:type="dxa"/>
            <w:vAlign w:val="bottom"/>
          </w:tcPr>
          <w:p>
            <w:pPr>
              <w:jc w:val="right"/>
              <w:spacing w:after="0"/>
              <w:rPr>
                <w:sz w:val="20"/>
                <w:szCs w:val="20"/>
                <w:color w:val="auto"/>
              </w:rPr>
            </w:pPr>
            <w:r>
              <w:rPr>
                <w:rFonts w:ascii="Arial" w:cs="Arial" w:eastAsia="Arial" w:hAnsi="Arial"/>
                <w:sz w:val="16"/>
                <w:szCs w:val="16"/>
                <w:color w:val="auto"/>
              </w:rPr>
              <w:t>166,828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1,228,560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(1,055,278)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w w:val="95"/>
              </w:rPr>
              <w:t>(3,847,697)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(3,507,587)</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3760" w:type="dxa"/>
            <w:vAlign w:val="bottom"/>
            <w:gridSpan w:val="6"/>
            <w:shd w:val="clear" w:color="auto" w:fill="CCEEFF"/>
          </w:tcPr>
          <w:p>
            <w:pPr>
              <w:ind w:left="20"/>
              <w:spacing w:after="0" w:line="182" w:lineRule="exact"/>
              <w:rPr>
                <w:sz w:val="20"/>
                <w:szCs w:val="20"/>
                <w:color w:val="auto"/>
              </w:rPr>
            </w:pPr>
            <w:r>
              <w:rPr>
                <w:rFonts w:ascii="Arial" w:cs="Arial" w:eastAsia="Arial" w:hAnsi="Arial"/>
                <w:sz w:val="18"/>
                <w:szCs w:val="18"/>
                <w:color w:val="auto"/>
                <w:w w:val="95"/>
              </w:rPr>
              <w:t>Earnings (loss) per share attributable to common</w:t>
            </w:r>
          </w:p>
        </w:tc>
        <w:tc>
          <w:tcPr>
            <w:tcW w:w="4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1420" w:type="dxa"/>
            <w:vAlign w:val="bottom"/>
            <w:gridSpan w:val="2"/>
            <w:shd w:val="clear" w:color="auto" w:fill="CCEEFF"/>
          </w:tcPr>
          <w:p>
            <w:pPr>
              <w:ind w:left="20"/>
              <w:spacing w:after="0" w:line="235" w:lineRule="exact"/>
              <w:rPr>
                <w:sz w:val="20"/>
                <w:szCs w:val="20"/>
                <w:color w:val="auto"/>
              </w:rPr>
            </w:pPr>
            <w:r>
              <w:rPr>
                <w:rFonts w:ascii="Arial" w:cs="Arial" w:eastAsia="Arial" w:hAnsi="Arial"/>
                <w:sz w:val="18"/>
                <w:szCs w:val="18"/>
                <w:color w:val="auto"/>
              </w:rPr>
              <w:t xml:space="preserve">shareholders </w:t>
            </w:r>
            <w:r>
              <w:rPr>
                <w:rFonts w:ascii="Arial" w:cs="Arial" w:eastAsia="Arial" w:hAnsi="Arial"/>
                <w:sz w:val="23"/>
                <w:szCs w:val="23"/>
                <w:color w:val="auto"/>
                <w:vertAlign w:val="superscript"/>
              </w:rPr>
              <w:t>(1)</w:t>
            </w:r>
          </w:p>
        </w:tc>
        <w:tc>
          <w:tcPr>
            <w:tcW w:w="7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180" w:type="dxa"/>
            <w:vAlign w:val="bottom"/>
            <w:gridSpan w:val="3"/>
          </w:tcPr>
          <w:p>
            <w:pPr>
              <w:ind w:left="20"/>
              <w:spacing w:after="0"/>
              <w:rPr>
                <w:sz w:val="20"/>
                <w:szCs w:val="20"/>
                <w:color w:val="auto"/>
              </w:rPr>
            </w:pPr>
            <w:r>
              <w:rPr>
                <w:rFonts w:ascii="Arial" w:cs="Arial" w:eastAsia="Arial" w:hAnsi="Arial"/>
                <w:sz w:val="18"/>
                <w:szCs w:val="18"/>
                <w:color w:val="auto"/>
                <w:w w:val="91"/>
              </w:rPr>
              <w:t>Continuing operations - basic</w:t>
            </w: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(0.02)</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0.05</w:t>
            </w:r>
          </w:p>
        </w:tc>
        <w:tc>
          <w:tcPr>
            <w:tcW w:w="140" w:type="dxa"/>
            <w:vAlign w:val="bottom"/>
          </w:tcPr>
          <w:p>
            <w:pPr>
              <w:spacing w:after="0"/>
              <w:rPr>
                <w:sz w:val="19"/>
                <w:szCs w:val="19"/>
                <w:color w:val="auto"/>
              </w:rPr>
            </w:pPr>
          </w:p>
        </w:tc>
        <w:tc>
          <w:tcPr>
            <w:tcW w:w="420" w:type="dxa"/>
            <w:vAlign w:val="bottom"/>
          </w:tcPr>
          <w:p>
            <w:pPr>
              <w:jc w:val="right"/>
              <w:ind w:right="238"/>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(0.10)</w:t>
            </w:r>
          </w:p>
        </w:tc>
        <w:tc>
          <w:tcPr>
            <w:tcW w:w="600" w:type="dxa"/>
            <w:vAlign w:val="bottom"/>
            <w:gridSpan w:val="2"/>
          </w:tcPr>
          <w:p>
            <w:pPr>
              <w:jc w:val="right"/>
              <w:ind w:right="29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0"/>
              </w:rPr>
              <w:t>(0.29)</w:t>
            </w:r>
          </w:p>
        </w:tc>
        <w:tc>
          <w:tcPr>
            <w:tcW w:w="14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5"/>
              </w:rPr>
              <w:t>(0.37)</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Discontinued operations - basic</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rPr>
              <w:t>Basic</w:t>
            </w: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0.01</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0.08</w:t>
            </w:r>
          </w:p>
        </w:tc>
        <w:tc>
          <w:tcPr>
            <w:tcW w:w="140" w:type="dxa"/>
            <w:vAlign w:val="bottom"/>
          </w:tcPr>
          <w:p>
            <w:pPr>
              <w:spacing w:after="0"/>
              <w:rPr>
                <w:sz w:val="18"/>
                <w:szCs w:val="18"/>
                <w:color w:val="auto"/>
              </w:rPr>
            </w:pPr>
          </w:p>
        </w:tc>
        <w:tc>
          <w:tcPr>
            <w:tcW w:w="420" w:type="dxa"/>
            <w:vAlign w:val="bottom"/>
          </w:tcPr>
          <w:p>
            <w:pPr>
              <w:jc w:val="right"/>
              <w:ind w:right="238"/>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(0.07)</w:t>
            </w:r>
          </w:p>
        </w:tc>
        <w:tc>
          <w:tcPr>
            <w:tcW w:w="600" w:type="dxa"/>
            <w:vAlign w:val="bottom"/>
            <w:gridSpan w:val="2"/>
          </w:tcPr>
          <w:p>
            <w:pPr>
              <w:jc w:val="right"/>
              <w:ind w:right="29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0"/>
              </w:rPr>
              <w:t>(0.26)</w:t>
            </w:r>
          </w:p>
        </w:tc>
        <w:tc>
          <w:tcPr>
            <w:tcW w:w="14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5"/>
              </w:rPr>
              <w:t>(0.24)</w:t>
            </w: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2600" w:type="dxa"/>
            <w:vAlign w:val="bottom"/>
            <w:gridSpan w:val="4"/>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600" w:type="dxa"/>
            <w:vAlign w:val="bottom"/>
            <w:gridSpan w:val="4"/>
          </w:tcPr>
          <w:p>
            <w:pPr>
              <w:ind w:left="20"/>
              <w:spacing w:after="0"/>
              <w:rPr>
                <w:sz w:val="20"/>
                <w:szCs w:val="20"/>
                <w:color w:val="auto"/>
              </w:rPr>
            </w:pPr>
            <w:r>
              <w:rPr>
                <w:rFonts w:ascii="Arial" w:cs="Arial" w:eastAsia="Arial" w:hAnsi="Arial"/>
                <w:sz w:val="18"/>
                <w:szCs w:val="18"/>
                <w:color w:val="auto"/>
              </w:rPr>
              <w:t>Continuing operations - diluted</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(0.02)</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0.05</w:t>
            </w:r>
          </w:p>
        </w:tc>
        <w:tc>
          <w:tcPr>
            <w:tcW w:w="140" w:type="dxa"/>
            <w:vAlign w:val="bottom"/>
          </w:tcPr>
          <w:p>
            <w:pPr>
              <w:spacing w:after="0"/>
              <w:rPr>
                <w:sz w:val="19"/>
                <w:szCs w:val="19"/>
                <w:color w:val="auto"/>
              </w:rPr>
            </w:pPr>
          </w:p>
        </w:tc>
        <w:tc>
          <w:tcPr>
            <w:tcW w:w="420" w:type="dxa"/>
            <w:vAlign w:val="bottom"/>
          </w:tcPr>
          <w:p>
            <w:pPr>
              <w:jc w:val="right"/>
              <w:ind w:right="238"/>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(0.10)</w:t>
            </w:r>
          </w:p>
        </w:tc>
        <w:tc>
          <w:tcPr>
            <w:tcW w:w="600" w:type="dxa"/>
            <w:vAlign w:val="bottom"/>
            <w:gridSpan w:val="2"/>
          </w:tcPr>
          <w:p>
            <w:pPr>
              <w:jc w:val="right"/>
              <w:ind w:right="29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0"/>
              </w:rPr>
              <w:t>(0.29)</w:t>
            </w:r>
          </w:p>
        </w:tc>
        <w:tc>
          <w:tcPr>
            <w:tcW w:w="14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5"/>
              </w:rPr>
              <w:t>(0.37)</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6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7"/>
              </w:rPr>
              <w:t>Discontinued operations - diluted</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rPr>
              <w:t>Diluted</w:t>
            </w: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0.01</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0.08</w:t>
            </w:r>
          </w:p>
        </w:tc>
        <w:tc>
          <w:tcPr>
            <w:tcW w:w="140" w:type="dxa"/>
            <w:vAlign w:val="bottom"/>
          </w:tcPr>
          <w:p>
            <w:pPr>
              <w:spacing w:after="0"/>
              <w:rPr>
                <w:sz w:val="18"/>
                <w:szCs w:val="18"/>
                <w:color w:val="auto"/>
              </w:rPr>
            </w:pPr>
          </w:p>
        </w:tc>
        <w:tc>
          <w:tcPr>
            <w:tcW w:w="420" w:type="dxa"/>
            <w:vAlign w:val="bottom"/>
          </w:tcPr>
          <w:p>
            <w:pPr>
              <w:jc w:val="right"/>
              <w:ind w:right="238"/>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(0.07)</w:t>
            </w:r>
          </w:p>
        </w:tc>
        <w:tc>
          <w:tcPr>
            <w:tcW w:w="600" w:type="dxa"/>
            <w:vAlign w:val="bottom"/>
            <w:gridSpan w:val="2"/>
          </w:tcPr>
          <w:p>
            <w:pPr>
              <w:jc w:val="right"/>
              <w:ind w:right="29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0"/>
              </w:rPr>
              <w:t>(0.26)</w:t>
            </w:r>
          </w:p>
        </w:tc>
        <w:tc>
          <w:tcPr>
            <w:tcW w:w="14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5"/>
              </w:rPr>
              <w:t>(0.24)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20" w:hanging="327"/>
        <w:spacing w:after="0" w:line="293" w:lineRule="auto"/>
        <w:tabs>
          <w:tab w:leader="none" w:pos="850" w:val="left"/>
        </w:tabs>
        <w:numPr>
          <w:ilvl w:val="0"/>
          <w:numId w:val="56"/>
        </w:numPr>
        <w:rPr>
          <w:rFonts w:ascii="Arial" w:cs="Arial" w:eastAsia="Arial" w:hAnsi="Arial"/>
          <w:sz w:val="16"/>
          <w:szCs w:val="16"/>
          <w:color w:val="auto"/>
        </w:rPr>
      </w:pPr>
      <w:r>
        <w:rPr>
          <w:rFonts w:ascii="Arial" w:cs="Arial" w:eastAsia="Arial" w:hAnsi="Arial"/>
          <w:sz w:val="16"/>
          <w:szCs w:val="16"/>
          <w:color w:val="auto"/>
        </w:rPr>
        <w:t>Due to the nature of interim earnings per share calculations, the sum of the quarterly earnings (loss) per share amounts may not equal the reported earnings (loss) per share for the full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124" w:name="page125"/>
    <w:bookmarkEnd w:id="124"/>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40" w:type="dxa"/>
            <w:vAlign w:val="bottom"/>
          </w:tcPr>
          <w:p>
            <w:pPr>
              <w:ind w:left="500"/>
              <w:spacing w:after="0"/>
              <w:rPr>
                <w:sz w:val="20"/>
                <w:szCs w:val="20"/>
                <w:color w:val="auto"/>
              </w:rPr>
            </w:pPr>
            <w:r>
              <w:rPr>
                <w:rFonts w:ascii="Arial" w:cs="Arial" w:eastAsia="Arial" w:hAnsi="Arial"/>
                <w:sz w:val="18"/>
                <w:szCs w:val="18"/>
                <w:b w:val="1"/>
                <w:bCs w:val="1"/>
                <w:color w:val="auto"/>
                <w:w w:val="96"/>
              </w:rPr>
              <w:t>Schedule II</w:t>
            </w: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6920" w:type="dxa"/>
            <w:vAlign w:val="bottom"/>
            <w:gridSpan w:val="10"/>
          </w:tcPr>
          <w:p>
            <w:pPr>
              <w:jc w:val="center"/>
              <w:ind w:right="1420"/>
              <w:spacing w:after="0"/>
              <w:rPr>
                <w:sz w:val="20"/>
                <w:szCs w:val="20"/>
                <w:color w:val="auto"/>
              </w:rPr>
            </w:pPr>
            <w:r>
              <w:rPr>
                <w:rFonts w:ascii="Arial" w:cs="Arial" w:eastAsia="Arial" w:hAnsi="Arial"/>
                <w:sz w:val="18"/>
                <w:szCs w:val="18"/>
                <w:b w:val="1"/>
                <w:bCs w:val="1"/>
                <w:color w:val="auto"/>
              </w:rPr>
              <w:t>CUMBERLAND PHARMACEUTICALS INC. AND SUBSIDIARIES</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0" w:type="dxa"/>
            <w:vAlign w:val="bottom"/>
            <w:gridSpan w:val="6"/>
          </w:tcPr>
          <w:p>
            <w:pPr>
              <w:jc w:val="center"/>
              <w:ind w:right="820"/>
              <w:spacing w:after="0"/>
              <w:rPr>
                <w:sz w:val="20"/>
                <w:szCs w:val="20"/>
                <w:color w:val="auto"/>
              </w:rPr>
            </w:pPr>
            <w:r>
              <w:rPr>
                <w:rFonts w:ascii="Arial" w:cs="Arial" w:eastAsia="Arial" w:hAnsi="Arial"/>
                <w:sz w:val="18"/>
                <w:szCs w:val="18"/>
                <w:color w:val="auto"/>
                <w:w w:val="92"/>
              </w:rPr>
              <w:t>Valuation and Qualifying Accounts</w:t>
            </w: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20" w:type="dxa"/>
            <w:vAlign w:val="bottom"/>
            <w:gridSpan w:val="7"/>
          </w:tcPr>
          <w:p>
            <w:pPr>
              <w:jc w:val="center"/>
              <w:ind w:left="317"/>
              <w:spacing w:after="0"/>
              <w:rPr>
                <w:sz w:val="20"/>
                <w:szCs w:val="20"/>
                <w:color w:val="auto"/>
              </w:rPr>
            </w:pPr>
            <w:r>
              <w:rPr>
                <w:rFonts w:ascii="Arial" w:cs="Arial" w:eastAsia="Arial" w:hAnsi="Arial"/>
                <w:sz w:val="18"/>
                <w:szCs w:val="18"/>
                <w:color w:val="auto"/>
                <w:w w:val="88"/>
              </w:rPr>
              <w:t>Years ended December 31, 2022, 2021 and 2020</w:t>
            </w: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left="97"/>
              <w:spacing w:after="0"/>
              <w:rPr>
                <w:sz w:val="20"/>
                <w:szCs w:val="20"/>
                <w:color w:val="auto"/>
              </w:rPr>
            </w:pPr>
            <w:r>
              <w:rPr>
                <w:rFonts w:ascii="Arial" w:cs="Arial" w:eastAsia="Arial" w:hAnsi="Arial"/>
                <w:sz w:val="16"/>
                <w:szCs w:val="16"/>
                <w:b w:val="1"/>
                <w:bCs w:val="1"/>
                <w:color w:val="auto"/>
                <w:w w:val="89"/>
              </w:rPr>
              <w:t>Balance at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2"/>
              </w:rPr>
              <w:t>Charged to</w:t>
            </w: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Charged to</w:t>
            </w:r>
          </w:p>
        </w:tc>
        <w:tc>
          <w:tcPr>
            <w:tcW w:w="1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Balance at</w:t>
            </w:r>
          </w:p>
        </w:tc>
        <w:tc>
          <w:tcPr>
            <w:tcW w:w="0" w:type="dxa"/>
            <w:vAlign w:val="bottom"/>
          </w:tcPr>
          <w:p>
            <w:pPr>
              <w:spacing w:after="0"/>
              <w:rPr>
                <w:sz w:val="1"/>
                <w:szCs w:val="1"/>
                <w:color w:val="auto"/>
              </w:rPr>
            </w:pPr>
          </w:p>
        </w:tc>
      </w:tr>
      <w:tr>
        <w:trPr>
          <w:trHeight w:val="162"/>
        </w:trPr>
        <w:tc>
          <w:tcPr>
            <w:tcW w:w="2880" w:type="dxa"/>
            <w:vAlign w:val="bottom"/>
            <w:vMerge w:val="restart"/>
          </w:tcPr>
          <w:p>
            <w:pPr>
              <w:ind w:left="1040"/>
              <w:spacing w:after="0"/>
              <w:rPr>
                <w:sz w:val="20"/>
                <w:szCs w:val="20"/>
                <w:color w:val="auto"/>
              </w:rPr>
            </w:pPr>
            <w:r>
              <w:rPr>
                <w:rFonts w:ascii="Arial" w:cs="Arial" w:eastAsia="Arial" w:hAnsi="Arial"/>
                <w:sz w:val="16"/>
                <w:szCs w:val="16"/>
                <w:b w:val="1"/>
                <w:bCs w:val="1"/>
                <w:color w:val="auto"/>
              </w:rPr>
              <w:t>Description</w:t>
            </w:r>
          </w:p>
        </w:tc>
        <w:tc>
          <w:tcPr>
            <w:tcW w:w="140" w:type="dxa"/>
            <w:vAlign w:val="bottom"/>
          </w:tcPr>
          <w:p>
            <w:pPr>
              <w:spacing w:after="0"/>
              <w:rPr>
                <w:sz w:val="14"/>
                <w:szCs w:val="14"/>
                <w:color w:val="auto"/>
              </w:rPr>
            </w:pPr>
          </w:p>
        </w:tc>
        <w:tc>
          <w:tcPr>
            <w:tcW w:w="1220" w:type="dxa"/>
            <w:vAlign w:val="bottom"/>
          </w:tcPr>
          <w:p>
            <w:pPr>
              <w:jc w:val="center"/>
              <w:ind w:left="77"/>
              <w:spacing w:after="0" w:line="162" w:lineRule="exact"/>
              <w:rPr>
                <w:sz w:val="20"/>
                <w:szCs w:val="20"/>
                <w:color w:val="auto"/>
              </w:rPr>
            </w:pPr>
            <w:r>
              <w:rPr>
                <w:rFonts w:ascii="Arial" w:cs="Arial" w:eastAsia="Arial" w:hAnsi="Arial"/>
                <w:sz w:val="16"/>
                <w:szCs w:val="16"/>
                <w:b w:val="1"/>
                <w:bCs w:val="1"/>
                <w:color w:val="auto"/>
                <w:w w:val="89"/>
              </w:rPr>
              <w:t>beginning of</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500"/>
              <w:spacing w:after="0" w:line="162" w:lineRule="exact"/>
              <w:rPr>
                <w:sz w:val="20"/>
                <w:szCs w:val="20"/>
                <w:color w:val="auto"/>
              </w:rPr>
            </w:pPr>
            <w:r>
              <w:rPr>
                <w:rFonts w:ascii="Arial" w:cs="Arial" w:eastAsia="Arial" w:hAnsi="Arial"/>
                <w:sz w:val="16"/>
                <w:szCs w:val="16"/>
                <w:b w:val="1"/>
                <w:bCs w:val="1"/>
                <w:color w:val="auto"/>
                <w:w w:val="85"/>
              </w:rPr>
              <w:t>costs and</w:t>
            </w:r>
          </w:p>
        </w:tc>
        <w:tc>
          <w:tcPr>
            <w:tcW w:w="15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4"/>
              </w:rPr>
              <w:t>other</w:t>
            </w:r>
          </w:p>
        </w:tc>
        <w:tc>
          <w:tcPr>
            <w:tcW w:w="144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Deductions</w:t>
            </w:r>
          </w:p>
        </w:tc>
        <w:tc>
          <w:tcPr>
            <w:tcW w:w="520" w:type="dxa"/>
            <w:vAlign w:val="bottom"/>
            <w:vMerge w:val="restart"/>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8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bottom w:val="single" w:sz="8" w:color="auto"/>
            </w:tcBorders>
          </w:tcPr>
          <w:p>
            <w:pPr>
              <w:jc w:val="center"/>
              <w:ind w:left="77"/>
              <w:spacing w:after="0"/>
              <w:rPr>
                <w:sz w:val="20"/>
                <w:szCs w:val="20"/>
                <w:color w:val="auto"/>
              </w:rPr>
            </w:pPr>
            <w:r>
              <w:rPr>
                <w:rFonts w:ascii="Arial" w:cs="Arial" w:eastAsia="Arial" w:hAnsi="Arial"/>
                <w:sz w:val="16"/>
                <w:szCs w:val="16"/>
                <w:b w:val="1"/>
                <w:bCs w:val="1"/>
                <w:color w:val="auto"/>
                <w:w w:val="93"/>
              </w:rPr>
              <w:t>period</w:t>
            </w:r>
          </w:p>
        </w:tc>
        <w:tc>
          <w:tcPr>
            <w:tcW w:w="1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2"/>
              </w:rPr>
              <w:t>expenses</w:t>
            </w:r>
          </w:p>
        </w:tc>
        <w:tc>
          <w:tcPr>
            <w:tcW w:w="50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accounts</w:t>
            </w:r>
          </w:p>
        </w:tc>
        <w:tc>
          <w:tcPr>
            <w:tcW w:w="24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end of period</w:t>
            </w:r>
          </w:p>
        </w:tc>
        <w:tc>
          <w:tcPr>
            <w:tcW w:w="0" w:type="dxa"/>
            <w:vAlign w:val="bottom"/>
          </w:tcPr>
          <w:p>
            <w:pPr>
              <w:spacing w:after="0"/>
              <w:rPr>
                <w:sz w:val="1"/>
                <w:szCs w:val="1"/>
                <w:color w:val="auto"/>
              </w:rPr>
            </w:pPr>
          </w:p>
        </w:tc>
      </w:tr>
    </w:tbl>
    <w:p>
      <w:pPr>
        <w:spacing w:after="0" w:line="146"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20"/>
        <w:spacing w:after="0"/>
        <w:rPr>
          <w:sz w:val="20"/>
          <w:szCs w:val="20"/>
          <w:color w:val="auto"/>
        </w:rPr>
      </w:pPr>
      <w:r>
        <w:rPr>
          <w:rFonts w:ascii="Arial" w:cs="Arial" w:eastAsia="Arial" w:hAnsi="Arial"/>
          <w:sz w:val="18"/>
          <w:szCs w:val="18"/>
          <w:color w:val="auto"/>
        </w:rPr>
        <w:t>Allowance for uncollectible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771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20"/>
        <w:spacing w:after="0" w:line="203" w:lineRule="auto"/>
        <w:rPr>
          <w:sz w:val="20"/>
          <w:szCs w:val="20"/>
          <w:color w:val="auto"/>
        </w:rPr>
      </w:pPr>
      <w:r>
        <w:rPr>
          <w:rFonts w:ascii="Arial" w:cs="Arial" w:eastAsia="Arial" w:hAnsi="Arial"/>
          <w:sz w:val="18"/>
          <w:szCs w:val="18"/>
          <w:color w:val="auto"/>
        </w:rPr>
        <w:t>cash discounts, chargebacks, and</w:t>
      </w:r>
    </w:p>
    <w:p>
      <w:pPr>
        <w:ind w:left="20"/>
        <w:spacing w:after="0"/>
        <w:rPr>
          <w:sz w:val="20"/>
          <w:szCs w:val="20"/>
          <w:color w:val="auto"/>
        </w:rPr>
      </w:pPr>
      <w:r>
        <w:rPr>
          <w:rFonts w:ascii="Arial" w:cs="Arial" w:eastAsia="Arial" w:hAnsi="Arial"/>
          <w:sz w:val="18"/>
          <w:szCs w:val="18"/>
          <w:color w:val="auto"/>
        </w:rPr>
        <w:t>credits issued for damaged products:</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the years ended</w:t>
      </w:r>
    </w:p>
    <w:p>
      <w:pPr>
        <w:ind w:left="240"/>
        <w:spacing w:after="0"/>
        <w:rPr>
          <w:sz w:val="20"/>
          <w:szCs w:val="20"/>
          <w:color w:val="auto"/>
        </w:rPr>
      </w:pPr>
      <w:r>
        <w:rPr>
          <w:rFonts w:ascii="Arial" w:cs="Arial" w:eastAsia="Arial" w:hAnsi="Arial"/>
          <w:sz w:val="18"/>
          <w:szCs w:val="18"/>
          <w:color w:val="auto"/>
        </w:rPr>
        <w:t>December 31:</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080" w:type="dxa"/>
            <w:vAlign w:val="bottom"/>
          </w:tcPr>
          <w:p>
            <w:pPr>
              <w:jc w:val="right"/>
              <w:ind w:right="2190"/>
              <w:spacing w:after="0"/>
              <w:rPr>
                <w:sz w:val="20"/>
                <w:szCs w:val="20"/>
                <w:color w:val="auto"/>
              </w:rPr>
            </w:pPr>
            <w:r>
              <w:rPr>
                <w:rFonts w:ascii="Arial" w:cs="Arial" w:eastAsia="Arial" w:hAnsi="Arial"/>
                <w:sz w:val="18"/>
                <w:szCs w:val="18"/>
                <w:color w:val="auto"/>
              </w:rPr>
              <w:t>2021</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984,677</w:t>
            </w:r>
          </w:p>
        </w:tc>
        <w:tc>
          <w:tcPr>
            <w:tcW w:w="1860" w:type="dxa"/>
            <w:vAlign w:val="bottom"/>
          </w:tcPr>
          <w:p>
            <w:pPr>
              <w:jc w:val="right"/>
              <w:ind w:right="690"/>
              <w:spacing w:after="0"/>
              <w:rPr>
                <w:sz w:val="20"/>
                <w:szCs w:val="20"/>
                <w:color w:val="auto"/>
              </w:rPr>
            </w:pPr>
            <w:r>
              <w:rPr>
                <w:rFonts w:ascii="Arial" w:cs="Arial" w:eastAsia="Arial" w:hAnsi="Arial"/>
                <w:sz w:val="18"/>
                <w:szCs w:val="18"/>
                <w:color w:val="auto"/>
              </w:rPr>
              <w:t>2,963,279</w:t>
            </w:r>
          </w:p>
        </w:tc>
        <w:tc>
          <w:tcPr>
            <w:tcW w:w="1420" w:type="dxa"/>
            <w:vAlign w:val="bottom"/>
          </w:tcPr>
          <w:p>
            <w:pPr>
              <w:ind w:left="8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(3,606,992)</w:t>
            </w:r>
          </w:p>
        </w:tc>
      </w:tr>
      <w:tr>
        <w:trPr>
          <w:trHeight w:val="230"/>
        </w:trPr>
        <w:tc>
          <w:tcPr>
            <w:tcW w:w="3080" w:type="dxa"/>
            <w:vAlign w:val="bottom"/>
          </w:tcPr>
          <w:p>
            <w:pPr>
              <w:jc w:val="right"/>
              <w:ind w:right="2190"/>
              <w:spacing w:after="0"/>
              <w:rPr>
                <w:sz w:val="20"/>
                <w:szCs w:val="20"/>
                <w:color w:val="auto"/>
              </w:rPr>
            </w:pPr>
            <w:r>
              <w:rPr>
                <w:rFonts w:ascii="Arial" w:cs="Arial" w:eastAsia="Arial" w:hAnsi="Arial"/>
                <w:sz w:val="18"/>
                <w:szCs w:val="18"/>
                <w:color w:val="auto"/>
              </w:rPr>
              <w:t>2022</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340,964</w:t>
            </w:r>
          </w:p>
        </w:tc>
        <w:tc>
          <w:tcPr>
            <w:tcW w:w="1860" w:type="dxa"/>
            <w:vAlign w:val="bottom"/>
          </w:tcPr>
          <w:p>
            <w:pPr>
              <w:jc w:val="right"/>
              <w:ind w:right="690"/>
              <w:spacing w:after="0"/>
              <w:rPr>
                <w:sz w:val="20"/>
                <w:szCs w:val="20"/>
                <w:color w:val="auto"/>
              </w:rPr>
            </w:pPr>
            <w:r>
              <w:rPr>
                <w:rFonts w:ascii="Arial" w:cs="Arial" w:eastAsia="Arial" w:hAnsi="Arial"/>
                <w:sz w:val="18"/>
                <w:szCs w:val="18"/>
                <w:color w:val="auto"/>
              </w:rPr>
              <w:t>6,673,104</w:t>
            </w:r>
          </w:p>
        </w:tc>
        <w:tc>
          <w:tcPr>
            <w:tcW w:w="1420" w:type="dxa"/>
            <w:vAlign w:val="bottom"/>
          </w:tcPr>
          <w:p>
            <w:pPr>
              <w:ind w:left="8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(6,417,977)</w:t>
            </w:r>
          </w:p>
        </w:tc>
      </w:tr>
      <w:tr>
        <w:trPr>
          <w:trHeight w:val="350"/>
        </w:trPr>
        <w:tc>
          <w:tcPr>
            <w:tcW w:w="3080" w:type="dxa"/>
            <w:vAlign w:val="bottom"/>
          </w:tcPr>
          <w:p>
            <w:pPr>
              <w:spacing w:after="0"/>
              <w:rPr>
                <w:sz w:val="20"/>
                <w:szCs w:val="20"/>
                <w:color w:val="auto"/>
              </w:rPr>
            </w:pPr>
            <w:r>
              <w:rPr>
                <w:rFonts w:ascii="Arial" w:cs="Arial" w:eastAsia="Arial" w:hAnsi="Arial"/>
                <w:sz w:val="18"/>
                <w:szCs w:val="18"/>
                <w:color w:val="auto"/>
              </w:rPr>
              <w:t>Valuation allowance for deferred tax</w:t>
            </w:r>
          </w:p>
        </w:tc>
        <w:tc>
          <w:tcPr>
            <w:tcW w:w="1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assets:</w:t>
            </w:r>
          </w:p>
        </w:tc>
        <w:tc>
          <w:tcPr>
            <w:tcW w:w="1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89"/>
        </w:trPr>
        <w:tc>
          <w:tcPr>
            <w:tcW w:w="3080" w:type="dxa"/>
            <w:vAlign w:val="bottom"/>
          </w:tcPr>
          <w:p>
            <w:pPr>
              <w:ind w:left="220"/>
              <w:spacing w:after="0" w:line="189" w:lineRule="exact"/>
              <w:rPr>
                <w:sz w:val="20"/>
                <w:szCs w:val="20"/>
                <w:color w:val="auto"/>
              </w:rPr>
            </w:pPr>
            <w:r>
              <w:rPr>
                <w:rFonts w:ascii="Arial" w:cs="Arial" w:eastAsia="Arial" w:hAnsi="Arial"/>
                <w:sz w:val="18"/>
                <w:szCs w:val="18"/>
                <w:color w:val="auto"/>
              </w:rPr>
              <w:t>For the years ended</w:t>
            </w:r>
          </w:p>
        </w:tc>
        <w:tc>
          <w:tcPr>
            <w:tcW w:w="15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9"/>
        </w:trPr>
        <w:tc>
          <w:tcPr>
            <w:tcW w:w="3080" w:type="dxa"/>
            <w:vAlign w:val="bottom"/>
          </w:tcPr>
          <w:p>
            <w:pPr>
              <w:ind w:left="220"/>
              <w:spacing w:after="0"/>
              <w:rPr>
                <w:sz w:val="20"/>
                <w:szCs w:val="20"/>
                <w:color w:val="auto"/>
              </w:rPr>
            </w:pPr>
            <w:r>
              <w:rPr>
                <w:rFonts w:ascii="Arial" w:cs="Arial" w:eastAsia="Arial" w:hAnsi="Arial"/>
                <w:sz w:val="18"/>
                <w:szCs w:val="18"/>
                <w:color w:val="auto"/>
              </w:rPr>
              <w:t>December 31:</w:t>
            </w:r>
          </w:p>
        </w:tc>
        <w:tc>
          <w:tcPr>
            <w:tcW w:w="1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3080" w:type="dxa"/>
            <w:vAlign w:val="bottom"/>
          </w:tcPr>
          <w:p>
            <w:pPr>
              <w:jc w:val="right"/>
              <w:ind w:right="2190"/>
              <w:spacing w:after="0"/>
              <w:rPr>
                <w:sz w:val="20"/>
                <w:szCs w:val="20"/>
                <w:color w:val="auto"/>
              </w:rPr>
            </w:pPr>
            <w:r>
              <w:rPr>
                <w:rFonts w:ascii="Arial" w:cs="Arial" w:eastAsia="Arial" w:hAnsi="Arial"/>
                <w:sz w:val="18"/>
                <w:szCs w:val="18"/>
                <w:color w:val="auto"/>
              </w:rPr>
              <w:t>2021</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19,196,121</w:t>
            </w:r>
          </w:p>
        </w:tc>
        <w:tc>
          <w:tcPr>
            <w:tcW w:w="1860" w:type="dxa"/>
            <w:vAlign w:val="bottom"/>
          </w:tcPr>
          <w:p>
            <w:pPr>
              <w:jc w:val="right"/>
              <w:ind w:right="690"/>
              <w:spacing w:after="0"/>
              <w:rPr>
                <w:sz w:val="20"/>
                <w:szCs w:val="20"/>
                <w:color w:val="auto"/>
              </w:rPr>
            </w:pPr>
            <w:r>
              <w:rPr>
                <w:rFonts w:ascii="Arial" w:cs="Arial" w:eastAsia="Arial" w:hAnsi="Arial"/>
                <w:sz w:val="18"/>
                <w:szCs w:val="18"/>
                <w:color w:val="auto"/>
              </w:rPr>
              <w:t>565,801</w:t>
            </w:r>
          </w:p>
        </w:tc>
        <w:tc>
          <w:tcPr>
            <w:tcW w:w="1420" w:type="dxa"/>
            <w:vAlign w:val="bottom"/>
          </w:tcPr>
          <w:p>
            <w:pPr>
              <w:ind w:left="8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080" w:type="dxa"/>
            <w:vAlign w:val="bottom"/>
          </w:tcPr>
          <w:p>
            <w:pPr>
              <w:jc w:val="right"/>
              <w:ind w:right="2190"/>
              <w:spacing w:after="0"/>
              <w:rPr>
                <w:sz w:val="20"/>
                <w:szCs w:val="20"/>
                <w:color w:val="auto"/>
              </w:rPr>
            </w:pPr>
            <w:r>
              <w:rPr>
                <w:rFonts w:ascii="Arial" w:cs="Arial" w:eastAsia="Arial" w:hAnsi="Arial"/>
                <w:sz w:val="18"/>
                <w:szCs w:val="18"/>
                <w:color w:val="auto"/>
              </w:rPr>
              <w:t>2022</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19,761,922</w:t>
            </w:r>
          </w:p>
        </w:tc>
        <w:tc>
          <w:tcPr>
            <w:tcW w:w="1860" w:type="dxa"/>
            <w:vAlign w:val="bottom"/>
          </w:tcPr>
          <w:p>
            <w:pPr>
              <w:jc w:val="right"/>
              <w:ind w:right="690"/>
              <w:spacing w:after="0"/>
              <w:rPr>
                <w:sz w:val="20"/>
                <w:szCs w:val="20"/>
                <w:color w:val="auto"/>
              </w:rPr>
            </w:pPr>
            <w:r>
              <w:rPr>
                <w:rFonts w:ascii="Arial" w:cs="Arial" w:eastAsia="Arial" w:hAnsi="Arial"/>
                <w:sz w:val="18"/>
                <w:szCs w:val="18"/>
                <w:color w:val="auto"/>
              </w:rPr>
              <w:t>1,795,862</w:t>
            </w:r>
          </w:p>
        </w:tc>
        <w:tc>
          <w:tcPr>
            <w:tcW w:w="1420" w:type="dxa"/>
            <w:vAlign w:val="bottom"/>
          </w:tcPr>
          <w:p>
            <w:pPr>
              <w:ind w:left="8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-1071245</wp:posOffset>
            </wp:positionV>
            <wp:extent cx="7132320" cy="145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2654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126"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340,964</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596,091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19,761,922</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21,557,784</w:t>
      </w:r>
    </w:p>
    <w:p>
      <w:pPr>
        <w:spacing w:after="0" w:line="257" w:lineRule="exact"/>
        <w:rPr>
          <w:sz w:val="20"/>
          <w:szCs w:val="20"/>
          <w:color w:val="auto"/>
        </w:rPr>
      </w:pPr>
    </w:p>
    <w:p>
      <w:pPr>
        <w:sectPr>
          <w:pgSz w:w="11900" w:h="16838" w:orient="portrait"/>
          <w:cols w:equalWidth="0" w:num="3">
            <w:col w:w="9260" w:space="220"/>
            <w:col w:w="160" w:space="720"/>
            <w:col w:w="880"/>
          </w:cols>
          <w:pgMar w:left="320" w:top="1440" w:right="339" w:bottom="1440" w:gutter="0" w:footer="0" w:header="0"/>
          <w:type w:val="continuous"/>
        </w:sectPr>
      </w:pPr>
    </w:p>
    <w:p>
      <w:pPr>
        <w:spacing w:after="0" w:line="370" w:lineRule="exact"/>
        <w:rPr>
          <w:sz w:val="20"/>
          <w:szCs w:val="20"/>
          <w:color w:val="auto"/>
        </w:rPr>
      </w:pPr>
    </w:p>
    <w:p>
      <w:pPr>
        <w:ind w:left="180" w:hanging="172"/>
        <w:spacing w:after="0"/>
        <w:tabs>
          <w:tab w:leader="none" w:pos="180" w:val="left"/>
        </w:tabs>
        <w:numPr>
          <w:ilvl w:val="0"/>
          <w:numId w:val="57"/>
        </w:numPr>
        <w:rPr>
          <w:rFonts w:ascii="Arial" w:cs="Arial" w:eastAsia="Arial" w:hAnsi="Arial"/>
          <w:sz w:val="21"/>
          <w:szCs w:val="21"/>
          <w:color w:val="auto"/>
          <w:vertAlign w:val="superscript"/>
        </w:rPr>
      </w:pPr>
      <w:r>
        <w:rPr>
          <w:rFonts w:ascii="Arial" w:cs="Arial" w:eastAsia="Arial" w:hAnsi="Arial"/>
          <w:sz w:val="14"/>
          <w:szCs w:val="14"/>
          <w:color w:val="auto"/>
        </w:rPr>
        <w:t>Composed of actual returns and credits for chargebacks and cash discounts.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F-42</w:t>
      </w:r>
    </w:p>
    <w:p>
      <w:pPr>
        <w:sectPr>
          <w:pgSz w:w="11900" w:h="16838" w:orient="portrait"/>
          <w:cols w:equalWidth="0" w:num="1">
            <w:col w:w="11240"/>
          </w:cols>
          <w:pgMar w:left="320" w:top="1440" w:right="339" w:bottom="1440" w:gutter="0" w:footer="0" w:header="0"/>
          <w:type w:val="continuous"/>
        </w:sectPr>
      </w:pPr>
    </w:p>
    <w:bookmarkStart w:id="125" w:name="page126"/>
    <w:bookmarkEnd w:id="125"/>
    <w:p>
      <w:pPr>
        <w:jc w:val="right"/>
        <w:spacing w:after="0"/>
        <w:rPr>
          <w:sz w:val="20"/>
          <w:szCs w:val="20"/>
          <w:color w:val="auto"/>
        </w:rPr>
      </w:pPr>
      <w:r>
        <w:rPr>
          <w:rFonts w:ascii="Arial" w:cs="Arial" w:eastAsia="Arial" w:hAnsi="Arial"/>
          <w:sz w:val="22"/>
          <w:szCs w:val="22"/>
          <w:b w:val="1"/>
          <w:bCs w:val="1"/>
          <w:color w:val="auto"/>
        </w:rPr>
        <w:t>Exhibit 4.11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640"/>
        <w:spacing w:after="0"/>
        <w:rPr>
          <w:sz w:val="20"/>
          <w:szCs w:val="20"/>
          <w:color w:val="auto"/>
        </w:rPr>
      </w:pPr>
      <w:r>
        <w:rPr>
          <w:rFonts w:ascii="Arial" w:cs="Arial" w:eastAsia="Arial" w:hAnsi="Arial"/>
          <w:sz w:val="22"/>
          <w:szCs w:val="22"/>
          <w:b w:val="1"/>
          <w:bCs w:val="1"/>
          <w:color w:val="auto"/>
        </w:rPr>
        <w:t>DESCRIPTION OF THE REGISTRANT’S COMMON STOCK</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22"/>
          <w:szCs w:val="22"/>
          <w:b w:val="1"/>
          <w:bCs w:val="1"/>
          <w:color w:val="auto"/>
        </w:rPr>
        <w:t>REGISTERED PURSUANT TO SECTION 12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3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common stock of Cumberland Pharmaceuticals, Inc. ( “we,” “our,” “us” or the “Company”) is registered under Section 12 of the Securities Exchange Act of 1934, as amended.</w:t>
      </w:r>
    </w:p>
    <w:p>
      <w:pPr>
        <w:spacing w:after="0" w:line="191"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The following description of our common stock is a summary and does not purport to be complete. It is subject to and qualified in its entirety by reference to the actual terms and provisions contained in our Third Amended and Restated Charter, as amended (the “Charter”), and our Second Amended and Restated Bylaws (the “Bylaws”), copies of are filed as an exhibit to this Annual Report on Form 10-K and are incorporated herein, and to the applicable provisions of Tennessee law. We encourage you to read our Charter and Bylaws and the applicable provisions of Tennessee law for additional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Authorized Capital</w:t>
      </w:r>
    </w:p>
    <w:p>
      <w:pPr>
        <w:spacing w:after="0" w:line="253"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We are authorized to issue up to 120,000,000 shares of capital stock, of which 100,000,000 may be shares of common stock, par value $0.00 per share, and 20,000,000 may be shares of preferred stock, par value $0.00 per share. The Company currently has no preferred stock issued and outstanding. All of the Company’s outstanding shares of common stock are fully paid and nonassessable.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Holders of common stock are entitled to one vote for each share registered in his or her name on our books on all matters voted on by our shareholders.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common stock do not have cumulative voting rights.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Subject to any preferences or other rights of any of our preferred stock that may be issued from time to time, each share of our common stock is entitled to share equally with each other share of common stock in dividends from sources legally available therefore, when, as, and if declared by the Board of Directors of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Absence of Other Rights</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Holders of our common stock do not have any preemptive rights to subscribe for or purchase any of our securities of any class or kind. Holders of our common stock do not have any subscription, redemption or conversion privileges.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Liquidation Rights</w:t>
      </w:r>
    </w:p>
    <w:p>
      <w:pPr>
        <w:spacing w:after="0" w:line="2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Upon our liquidation or dissolution, whether voluntary or involuntary, each share of our common stock is entitled to share equally in the assets that are available for distribution to our shareholders, after payment of all debts and liabilities and subject to the prior rights of nay holders of preferred stock then outstanding.</w:t>
      </w:r>
    </w:p>
    <w:p>
      <w:pPr>
        <w:sectPr>
          <w:pgSz w:w="11900" w:h="16838" w:orient="portrait"/>
          <w:cols w:equalWidth="0" w:num="1">
            <w:col w:w="11240"/>
          </w:cols>
          <w:pgMar w:left="320" w:top="760" w:right="339" w:bottom="1440" w:gutter="0" w:footer="0" w:header="0"/>
        </w:sectPr>
      </w:pPr>
    </w:p>
    <w:bookmarkStart w:id="126" w:name="page127"/>
    <w:bookmarkEnd w:id="126"/>
    <w:p>
      <w:pPr>
        <w:spacing w:after="0"/>
        <w:rPr>
          <w:sz w:val="20"/>
          <w:szCs w:val="20"/>
          <w:color w:val="auto"/>
        </w:rPr>
      </w:pPr>
      <w:r>
        <w:rPr>
          <w:rFonts w:ascii="Arial" w:cs="Arial" w:eastAsia="Arial" w:hAnsi="Arial"/>
          <w:sz w:val="22"/>
          <w:szCs w:val="22"/>
          <w:b w:val="1"/>
          <w:bCs w:val="1"/>
          <w:color w:val="auto"/>
        </w:rPr>
        <w:t>Listing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“CPIX.”</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 is the transfer agent and registrar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Effects of our Charter and Bylaws</w:t>
      </w:r>
    </w:p>
    <w:p>
      <w:pPr>
        <w:spacing w:after="0" w:line="253"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Our Charter and Bylaws contain certain provisions that could have the effect of delaying, deferring or discouraging another party from acquiring control of the Company. These provisions, which are summarized below, could discourage takeovers, coercive or otherwise. These provisions are also designed, in part, to encourage persons seeking to acquire control of us to negotiate first with our Board of Directors.</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22"/>
          <w:szCs w:val="22"/>
          <w:i w:val="1"/>
          <w:iCs w:val="1"/>
          <w:color w:val="auto"/>
        </w:rPr>
        <w:t>Staggered Board</w:t>
      </w:r>
      <w:r>
        <w:rPr>
          <w:rFonts w:ascii="Arial" w:cs="Arial" w:eastAsia="Arial" w:hAnsi="Arial"/>
          <w:sz w:val="22"/>
          <w:szCs w:val="22"/>
          <w:color w:val="auto"/>
        </w:rPr>
        <w:t>. Our Charter divides our Board of Directors into three separate classes, and directors are assigned to each class</w:t>
      </w:r>
      <w:r>
        <w:rPr>
          <w:rFonts w:ascii="Arial" w:cs="Arial" w:eastAsia="Arial" w:hAnsi="Arial"/>
          <w:sz w:val="22"/>
          <w:szCs w:val="22"/>
          <w:i w:val="1"/>
          <w:iCs w:val="1"/>
          <w:color w:val="auto"/>
        </w:rPr>
        <w:t xml:space="preserve"> </w:t>
      </w:r>
      <w:r>
        <w:rPr>
          <w:rFonts w:ascii="Arial" w:cs="Arial" w:eastAsia="Arial" w:hAnsi="Arial"/>
          <w:sz w:val="22"/>
          <w:szCs w:val="22"/>
          <w:color w:val="auto"/>
        </w:rPr>
        <w:t>in accordance by resolution of the Board of Directors. Each class of directors serves for a full term of three years, and the terms of the respective classes expire in succession so that only one class of directors is required to stand for re-election at each annual meeting. This provision prevents our shareholders or a potential acquirer from replacing all of our incumbent directors at a single annual meeting.</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i w:val="1"/>
          <w:iCs w:val="1"/>
          <w:color w:val="auto"/>
        </w:rPr>
        <w:t>Removal of Directors</w:t>
      </w:r>
      <w:r>
        <w:rPr>
          <w:rFonts w:ascii="Arial" w:cs="Arial" w:eastAsia="Arial" w:hAnsi="Arial"/>
          <w:sz w:val="22"/>
          <w:szCs w:val="22"/>
          <w:color w:val="auto"/>
        </w:rPr>
        <w:t>. Under Tennessee law, a director can be removed by the shareholders with or without cause, unless a</w:t>
      </w:r>
      <w:r>
        <w:rPr>
          <w:rFonts w:ascii="Arial" w:cs="Arial" w:eastAsia="Arial" w:hAnsi="Arial"/>
          <w:sz w:val="22"/>
          <w:szCs w:val="22"/>
          <w:i w:val="1"/>
          <w:iCs w:val="1"/>
          <w:color w:val="auto"/>
        </w:rPr>
        <w:t xml:space="preserve"> </w:t>
      </w:r>
      <w:r>
        <w:rPr>
          <w:rFonts w:ascii="Arial" w:cs="Arial" w:eastAsia="Arial" w:hAnsi="Arial"/>
          <w:sz w:val="22"/>
          <w:szCs w:val="22"/>
          <w:color w:val="auto"/>
        </w:rPr>
        <w:t>corporation’s charter provides that the director can only be removed for cause. Our Charter includes this restriction, which could make it more difficult for shareholders to remove incumbent directors.</w:t>
      </w:r>
    </w:p>
    <w:p>
      <w:pPr>
        <w:spacing w:after="0" w:line="218" w:lineRule="exact"/>
        <w:rPr>
          <w:sz w:val="20"/>
          <w:szCs w:val="20"/>
          <w:color w:val="auto"/>
        </w:rPr>
      </w:pPr>
    </w:p>
    <w:p>
      <w:pPr>
        <w:jc w:val="both"/>
        <w:spacing w:after="0" w:line="239" w:lineRule="auto"/>
        <w:rPr>
          <w:sz w:val="20"/>
          <w:szCs w:val="20"/>
          <w:color w:val="auto"/>
        </w:rPr>
      </w:pPr>
      <w:r>
        <w:rPr>
          <w:rFonts w:ascii="Arial" w:cs="Arial" w:eastAsia="Arial" w:hAnsi="Arial"/>
          <w:sz w:val="22"/>
          <w:szCs w:val="22"/>
          <w:i w:val="1"/>
          <w:iCs w:val="1"/>
          <w:color w:val="auto"/>
        </w:rPr>
        <w:t>Advance Notice Provisions</w:t>
      </w:r>
      <w:r>
        <w:rPr>
          <w:rFonts w:ascii="Arial" w:cs="Arial" w:eastAsia="Arial" w:hAnsi="Arial"/>
          <w:sz w:val="22"/>
          <w:szCs w:val="22"/>
          <w:color w:val="auto"/>
        </w:rPr>
        <w:t>. Our Bylaws contain advance notice provisions applicable to shareholder proposals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nomination of candidates for election as directors by shareholders. These advance notice provisions may have the effect of precluding the conduct of certain business at a meeting if the proper procedures are not followed and may also discourage or deter a potential acquirer from conducting a solicitation of proxies to elect the acquirer’s own slate of directors or otherwise attempt to obtain control of the Company.</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i w:val="1"/>
          <w:iCs w:val="1"/>
          <w:color w:val="auto"/>
        </w:rPr>
        <w:t>Vacancies</w:t>
      </w:r>
      <w:r>
        <w:rPr>
          <w:rFonts w:ascii="Arial" w:cs="Arial" w:eastAsia="Arial" w:hAnsi="Arial"/>
          <w:sz w:val="21"/>
          <w:szCs w:val="21"/>
          <w:color w:val="auto"/>
        </w:rPr>
        <w:t>. Our Charter provides that the Board of Directors, by a majority vote of the remaining directors in office, shall fill any</w:t>
      </w:r>
      <w:r>
        <w:rPr>
          <w:rFonts w:ascii="Arial" w:cs="Arial" w:eastAsia="Arial" w:hAnsi="Arial"/>
          <w:sz w:val="21"/>
          <w:szCs w:val="21"/>
          <w:i w:val="1"/>
          <w:iCs w:val="1"/>
          <w:color w:val="auto"/>
        </w:rPr>
        <w:t xml:space="preserve"> </w:t>
      </w:r>
      <w:r>
        <w:rPr>
          <w:rFonts w:ascii="Arial" w:cs="Arial" w:eastAsia="Arial" w:hAnsi="Arial"/>
          <w:sz w:val="21"/>
          <w:szCs w:val="21"/>
          <w:color w:val="auto"/>
        </w:rPr>
        <w:t>vacant directorships caused by the death, resignation, disqualification, removal of a director. Our Charter also gives the Board of Directors the power to fill any vacancies resulting from the increase in the number of directors serving on the Board. These provisions could make it more difficult for an acquiror to gain control of our Board of Directors.</w:t>
      </w:r>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21"/>
          <w:szCs w:val="21"/>
          <w:i w:val="1"/>
          <w:iCs w:val="1"/>
          <w:color w:val="auto"/>
        </w:rPr>
        <w:t>Calling of Special Meetings</w:t>
      </w:r>
      <w:r>
        <w:rPr>
          <w:rFonts w:ascii="Arial" w:cs="Arial" w:eastAsia="Arial" w:hAnsi="Arial"/>
          <w:sz w:val="21"/>
          <w:szCs w:val="21"/>
          <w:color w:val="auto"/>
        </w:rPr>
        <w:t>. Under Tennessee law, a special meeting of a Tennessee corporation’s shareholders can be called by</w:t>
      </w:r>
      <w:r>
        <w:rPr>
          <w:rFonts w:ascii="Arial" w:cs="Arial" w:eastAsia="Arial" w:hAnsi="Arial"/>
          <w:sz w:val="21"/>
          <w:szCs w:val="21"/>
          <w:i w:val="1"/>
          <w:iCs w:val="1"/>
          <w:color w:val="auto"/>
        </w:rPr>
        <w:t xml:space="preserve"> </w:t>
      </w:r>
      <w:r>
        <w:rPr>
          <w:rFonts w:ascii="Arial" w:cs="Arial" w:eastAsia="Arial" w:hAnsi="Arial"/>
          <w:sz w:val="21"/>
          <w:szCs w:val="21"/>
          <w:color w:val="auto"/>
        </w:rPr>
        <w:t>its board of directors or, unless the charter provides otherwise, the holders of at least 10% of the outstanding voting stock of the corporation. Our Charter provides that a special meeting can be called by our Chairman of the Board or the Chief Executive Officer only when shareholders owning at least two-thirds of the votes entitled to be cast on any issue proposed to be considered at the meeting deliver to the Company a written demand stating the purposes of the special meeting and a certified check in the amount of $50,000.00. This provision may make it harder for our shareholders to call special meetings without the consent of the Board of Directors of the Company.</w:t>
      </w:r>
    </w:p>
    <w:p>
      <w:pPr>
        <w:sectPr>
          <w:pgSz w:w="11900" w:h="16838" w:orient="portrait"/>
          <w:cols w:equalWidth="0" w:num="1">
            <w:col w:w="11240"/>
          </w:cols>
          <w:pgMar w:left="320" w:top="760" w:right="339" w:bottom="1440" w:gutter="0" w:footer="0" w:header="0"/>
        </w:sectPr>
      </w:pPr>
    </w:p>
    <w:bookmarkStart w:id="127" w:name="page128"/>
    <w:bookmarkEnd w:id="127"/>
    <w:p>
      <w:pPr>
        <w:jc w:val="both"/>
        <w:spacing w:after="0" w:line="247" w:lineRule="auto"/>
        <w:rPr>
          <w:sz w:val="20"/>
          <w:szCs w:val="20"/>
          <w:color w:val="auto"/>
        </w:rPr>
      </w:pPr>
      <w:r>
        <w:rPr>
          <w:rFonts w:ascii="Arial" w:cs="Arial" w:eastAsia="Arial" w:hAnsi="Arial"/>
          <w:sz w:val="22"/>
          <w:szCs w:val="22"/>
          <w:i w:val="1"/>
          <w:iCs w:val="1"/>
          <w:color w:val="auto"/>
        </w:rPr>
        <w:t>Undesignated Preferred Stock</w:t>
      </w:r>
      <w:r>
        <w:rPr>
          <w:rFonts w:ascii="Arial" w:cs="Arial" w:eastAsia="Arial" w:hAnsi="Arial"/>
          <w:sz w:val="22"/>
          <w:szCs w:val="22"/>
          <w:color w:val="auto"/>
        </w:rPr>
        <w:t>. Our Board of Directors has the ability to designate and issue preferred stock without shareholder</w:t>
      </w:r>
      <w:r>
        <w:rPr>
          <w:rFonts w:ascii="Arial" w:cs="Arial" w:eastAsia="Arial" w:hAnsi="Arial"/>
          <w:sz w:val="22"/>
          <w:szCs w:val="22"/>
          <w:i w:val="1"/>
          <w:iCs w:val="1"/>
          <w:color w:val="auto"/>
        </w:rPr>
        <w:t xml:space="preserve"> </w:t>
      </w:r>
      <w:r>
        <w:rPr>
          <w:rFonts w:ascii="Arial" w:cs="Arial" w:eastAsia="Arial" w:hAnsi="Arial"/>
          <w:sz w:val="22"/>
          <w:szCs w:val="22"/>
          <w:color w:val="auto"/>
        </w:rPr>
        <w:t>approval, and such preferred stock could have voting or other rights or preferences that could deter hostile takeovers or delay changes in control.</w:t>
      </w:r>
    </w:p>
    <w:p>
      <w:pPr>
        <w:spacing w:after="0" w:line="204" w:lineRule="exact"/>
        <w:rPr>
          <w:sz w:val="20"/>
          <w:szCs w:val="20"/>
          <w:color w:val="auto"/>
        </w:rPr>
      </w:pPr>
    </w:p>
    <w:p>
      <w:pPr>
        <w:jc w:val="both"/>
        <w:spacing w:after="0" w:line="343" w:lineRule="auto"/>
        <w:rPr>
          <w:sz w:val="20"/>
          <w:szCs w:val="20"/>
          <w:color w:val="auto"/>
        </w:rPr>
      </w:pPr>
      <w:r>
        <w:rPr>
          <w:rFonts w:ascii="Arial" w:cs="Arial" w:eastAsia="Arial" w:hAnsi="Arial"/>
          <w:sz w:val="19"/>
          <w:szCs w:val="19"/>
          <w:i w:val="1"/>
          <w:iCs w:val="1"/>
          <w:color w:val="auto"/>
        </w:rPr>
        <w:t>No Cumulative Voting</w:t>
      </w:r>
      <w:r>
        <w:rPr>
          <w:rFonts w:ascii="Arial" w:cs="Arial" w:eastAsia="Arial" w:hAnsi="Arial"/>
          <w:sz w:val="19"/>
          <w:szCs w:val="19"/>
          <w:color w:val="auto"/>
        </w:rPr>
        <w:t>. Our Charter and Bylaws do not allow shareholders to cumulate votes for the election of directors, which</w:t>
      </w:r>
      <w:r>
        <w:rPr>
          <w:rFonts w:ascii="Arial" w:cs="Arial" w:eastAsia="Arial" w:hAnsi="Arial"/>
          <w:sz w:val="19"/>
          <w:szCs w:val="19"/>
          <w:i w:val="1"/>
          <w:iCs w:val="1"/>
          <w:color w:val="auto"/>
        </w:rPr>
        <w:t xml:space="preserve"> </w:t>
      </w:r>
      <w:r>
        <w:rPr>
          <w:rFonts w:ascii="Arial" w:cs="Arial" w:eastAsia="Arial" w:hAnsi="Arial"/>
          <w:sz w:val="19"/>
          <w:szCs w:val="19"/>
          <w:color w:val="auto"/>
        </w:rPr>
        <w:t>may have the effect of deterring our shareholder’s ability to replace incumbent directors serving on the Board of Directors.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Tennessee Anti-Takeover Statutes</w:t>
      </w:r>
    </w:p>
    <w:p>
      <w:pPr>
        <w:spacing w:after="0" w:line="239"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In addition to the Charter and Bylaws provisions discussed above, Tennessee has adopted a series of statutes which can have an anti-takeover effect and may delay or prevent a tender offer or takeover attempt that a shareholder might consider in its best interest, including those attempts that might result in a premium over the market price for our capital stock.</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Tennessee Business Combination Act</w:t>
      </w:r>
    </w:p>
    <w:p>
      <w:pPr>
        <w:spacing w:after="0" w:line="24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Tennessee Business Combination Act (the “TBCA”) governs all Tennessee corporations. It imposes a five-year standstill on transactions such as mergers, share exchanges, sales of assets, liquidations and other interested party transactions between Tennessee corporations and “interested shareholders” and their associates or affiliates, unless the business combination is approved by the board of directors before the interested shareholder goes above the 10% ownership threshold. Thereafter, the transaction either requires a two-thirds vote of the shareholders other than the interested shareholder or satisfaction of certain fair price standards.</w:t>
      </w:r>
    </w:p>
    <w:p>
      <w:pPr>
        <w:spacing w:after="0" w:line="2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TBCA also provides for additional exculpatory protection for the board of directors in resisting mergers, exchanges and tender offers if a Tennessee corporation’s charter specifically opts-in to such provisions. In particular, a Tennessee corporation’s charter may specifically authorize the members of a board of directors, in the exercise of their judgment, to give due consideration to factors other than price and to consider whether a merger, exchange, tender offer or significant disposition of assets would adversely affect the corporation’s employees, customers, suppliers, the communities in which the corporation operates, or any other relevant factor in the exercise of their fiduciary duty to the shareholders. Our Charter currently does not opt-in to the additional exculpation provisions available under the TBCA. In the future, if we amend our Charter to opt-in to such provisions, it could have the effect of protecting our management and Board of Directors from hostile takeover bids.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Tennessee Control Share Acquisition Act</w:t>
      </w:r>
    </w:p>
    <w:p>
      <w:pPr>
        <w:spacing w:after="0" w:line="24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Tennessee Control Share Acquisition Act (the “TCSA”) limits the voting rights of shares owned by a person above certain percentage thresholds, unless the non-interested shareholders of the corporation approve the acquisition above the designated threshold. However, the TCSA only applies to corporations whose charter or bylaws contain an express declaration that control share acquisitions are to be governed by the TCSA. In addition, the charter or bylaws must specifically provide for the redemption of control shares or appraisal rights for dissenting shareholders in a control share transaction. Neither our Charter nor our Bylaws make the express declarations necessary to opt into the TCSA. In the future, if we amend our Bylaws or our Charter to opt into the TCSA, it will have the general effect of discouraging, or rendering more difficult, acquisition attempts.</w:t>
      </w:r>
    </w:p>
    <w:p>
      <w:pPr>
        <w:sectPr>
          <w:pgSz w:w="11900" w:h="16838" w:orient="portrait"/>
          <w:cols w:equalWidth="0" w:num="1">
            <w:col w:w="11240"/>
          </w:cols>
          <w:pgMar w:left="320" w:top="766" w:right="339"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i w:val="1"/>
          <w:iCs w:val="1"/>
          <w:color w:val="auto"/>
        </w:rPr>
        <w:t>Tennessee Investor Protection Act</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The Tennessee Investor Protection Act (“TIPA”) generally requires the registration, or an exemption from registration, before a person can make a tender offer for shares of a Tennessee corporation which, if successful, will result in the offeror beneficially owning more than 10% of any class of shares. Registration requires the filing with the Tennessee Commissioner of Commerce and Insurance of a registration statement, a copy of which must be sent to the target company, and the public disclosure of the material terms of the proposed offer. Additional requirements are imposed under that act if the offeror beneficially owns 5% or more of any class of equity securities of the target company, any of which was purchased within one year prior to the proposed takeover offer. TIPA also prohibits fraudulent and deceptive practices in connection with takeover offers, and provides remedies for violations.</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TIPA does not apply to an offer involving a vote by holders of equity securities of the offeree company, pursuant to its charter, on a share exchange, consolidation or sale of corporate assets in consideration of the issuance of securities of another corporation, or on a sale of its securities in exchange for cash or securities of another corporation. Also exempt from TIPA are tender offers which are open on substantially equal terms to all shareholders, are recommended by the board of directors of the target company, and include full disclosure of all terms.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Tennessee Greenmail Act</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The Tennessee Greenmail Act (“TGA”) prohibits us from purchasing or agreeing to purchase any of our securities, at a price higher than fair market value, from a holder of 3% or more of any class of its securities who has beneficially owned the securities for less than two years. We can, however, make this purchase if the majority of the outstanding shares of each class of voting stock issued by us approves the purchase or if we make an offer of at least equal value per share to all holders of shares of the same class of securities as those held by the prospective seller.</w:t>
      </w:r>
    </w:p>
    <w:p>
      <w:pPr>
        <w:sectPr>
          <w:pgSz w:w="11900" w:h="16838" w:orient="portrait"/>
          <w:cols w:equalWidth="0" w:num="1">
            <w:col w:w="11240"/>
          </w:cols>
          <w:pgMar w:left="320" w:top="766" w:right="339" w:bottom="1440" w:gutter="0" w:footer="0" w:header="0"/>
        </w:sectPr>
      </w:pPr>
    </w:p>
    <w:bookmarkStart w:id="129" w:name="page130"/>
    <w:bookmarkEnd w:id="129"/>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10.11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March 7, 2022</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Mr. AJ Kazimi</w:t>
      </w:r>
    </w:p>
    <w:p>
      <w:pPr>
        <w:spacing w:after="0" w:line="204" w:lineRule="auto"/>
        <w:rPr>
          <w:sz w:val="20"/>
          <w:szCs w:val="20"/>
          <w:color w:val="auto"/>
        </w:rPr>
      </w:pPr>
      <w:r>
        <w:rPr>
          <w:rFonts w:ascii="Arial" w:cs="Arial" w:eastAsia="Arial" w:hAnsi="Arial"/>
          <w:sz w:val="22"/>
          <w:szCs w:val="22"/>
          <w:color w:val="auto"/>
        </w:rPr>
        <w:t>2525 West End Avenue, Suite 950</w:t>
      </w:r>
    </w:p>
    <w:p>
      <w:pPr>
        <w:spacing w:after="0" w:line="205" w:lineRule="auto"/>
        <w:rPr>
          <w:sz w:val="20"/>
          <w:szCs w:val="20"/>
          <w:color w:val="auto"/>
        </w:rPr>
      </w:pPr>
      <w:r>
        <w:rPr>
          <w:rFonts w:ascii="Arial" w:cs="Arial" w:eastAsia="Arial" w:hAnsi="Arial"/>
          <w:sz w:val="22"/>
          <w:szCs w:val="22"/>
          <w:color w:val="auto"/>
        </w:rPr>
        <w:t>Nashville, TN 37203</w:t>
      </w:r>
    </w:p>
    <w:p>
      <w:pPr>
        <w:spacing w:after="0" w:line="1"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Employment of AJ Kazimi as Chief Executive Officer by Cumberland Pharmaceuticals Inc.</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Dear AJ,</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Effective January 1, 2022, this letter agreement (the “Agreement”) will evidence the terms and conditions under which you will be employed by Cumberland Pharmaceuticals Inc. (the “Company”) In consideration of your appointment as Chief Executive Officer of the Company, and other good and valuable consideration, the receipt and sufficiency of which is hereby acknowledged, the parties agree as follows:</w:t>
      </w:r>
    </w:p>
    <w:p>
      <w:pPr>
        <w:spacing w:after="0" w:line="188" w:lineRule="exact"/>
        <w:rPr>
          <w:sz w:val="20"/>
          <w:szCs w:val="20"/>
          <w:color w:val="auto"/>
        </w:rPr>
      </w:pPr>
    </w:p>
    <w:p>
      <w:pPr>
        <w:ind w:left="380" w:hanging="372"/>
        <w:spacing w:after="0"/>
        <w:tabs>
          <w:tab w:leader="none" w:pos="38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 xml:space="preserve"> The Company agrees to compensate you as follows:</w:t>
      </w:r>
    </w:p>
    <w:p>
      <w:pPr>
        <w:spacing w:after="0" w:line="206" w:lineRule="exact"/>
        <w:rPr>
          <w:sz w:val="20"/>
          <w:szCs w:val="20"/>
          <w:color w:val="auto"/>
        </w:rPr>
      </w:pPr>
    </w:p>
    <w:p>
      <w:pPr>
        <w:jc w:val="both"/>
        <w:ind w:firstLine="8"/>
        <w:spacing w:after="0" w:line="224" w:lineRule="auto"/>
        <w:tabs>
          <w:tab w:leader="none" w:pos="4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Company agrees to pay you on a salary basis for services performed based on an annual rate of six hundred thirty-five thousand dollars ($635,000.00), payable in arrears in equal monthly installments on the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day of each calendar month of 2022.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w:t>
      </w:r>
    </w:p>
    <w:p>
      <w:pPr>
        <w:spacing w:after="0" w:line="186" w:lineRule="exact"/>
        <w:rPr>
          <w:rFonts w:ascii="Arial" w:cs="Arial" w:eastAsia="Arial" w:hAnsi="Arial"/>
          <w:sz w:val="20"/>
          <w:szCs w:val="20"/>
          <w:color w:val="auto"/>
        </w:rPr>
      </w:pPr>
    </w:p>
    <w:p>
      <w:pPr>
        <w:jc w:val="both"/>
        <w:ind w:firstLine="8"/>
        <w:spacing w:after="0" w:line="223" w:lineRule="auto"/>
        <w:tabs>
          <w:tab w:leader="none" w:pos="546" w:val="left"/>
        </w:tabs>
        <w:numPr>
          <w:ilvl w:val="0"/>
          <w:numId w:val="59"/>
        </w:numPr>
        <w:rPr>
          <w:rFonts w:ascii="Arial" w:cs="Arial" w:eastAsia="Arial" w:hAnsi="Arial"/>
          <w:sz w:val="22"/>
          <w:szCs w:val="22"/>
          <w:color w:val="auto"/>
        </w:rPr>
      </w:pPr>
      <w:r>
        <w:rPr>
          <w:rFonts w:ascii="Arial" w:cs="Arial" w:eastAsia="Arial" w:hAnsi="Arial"/>
          <w:sz w:val="22"/>
          <w:szCs w:val="22"/>
          <w:color w:val="auto"/>
        </w:rPr>
        <w:t>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spacing w:after="0" w:line="185" w:lineRule="exact"/>
        <w:rPr>
          <w:rFonts w:ascii="Arial" w:cs="Arial" w:eastAsia="Arial" w:hAnsi="Arial"/>
          <w:sz w:val="22"/>
          <w:szCs w:val="22"/>
          <w:color w:val="auto"/>
        </w:rPr>
      </w:pPr>
    </w:p>
    <w:p>
      <w:pPr>
        <w:jc w:val="both"/>
        <w:ind w:firstLine="8"/>
        <w:spacing w:after="0" w:line="229" w:lineRule="auto"/>
        <w:tabs>
          <w:tab w:leader="none" w:pos="494" w:val="left"/>
        </w:tabs>
        <w:numPr>
          <w:ilvl w:val="0"/>
          <w:numId w:val="59"/>
        </w:numPr>
        <w:rPr>
          <w:rFonts w:ascii="Arial" w:cs="Arial" w:eastAsia="Arial" w:hAnsi="Arial"/>
          <w:sz w:val="21"/>
          <w:szCs w:val="21"/>
          <w:color w:val="auto"/>
        </w:rPr>
      </w:pPr>
      <w:r>
        <w:rPr>
          <w:rFonts w:ascii="Arial" w:cs="Arial" w:eastAsia="Arial" w:hAnsi="Arial"/>
          <w:sz w:val="21"/>
          <w:szCs w:val="21"/>
          <w:color w:val="auto"/>
        </w:rPr>
        <w:t>You may be eligible for any Company bonus program, based upon performance in meeting your individual objectives and the Company’s overall performance, both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w:t>
      </w:r>
    </w:p>
    <w:p>
      <w:pPr>
        <w:spacing w:after="0" w:line="185" w:lineRule="exact"/>
        <w:rPr>
          <w:rFonts w:ascii="Arial" w:cs="Arial" w:eastAsia="Arial" w:hAnsi="Arial"/>
          <w:sz w:val="21"/>
          <w:szCs w:val="21"/>
          <w:color w:val="auto"/>
        </w:rPr>
      </w:pPr>
    </w:p>
    <w:p>
      <w:pPr>
        <w:jc w:val="both"/>
        <w:ind w:firstLine="8"/>
        <w:spacing w:after="0" w:line="229" w:lineRule="auto"/>
        <w:tabs>
          <w:tab w:leader="none" w:pos="462" w:val="left"/>
        </w:tabs>
        <w:numPr>
          <w:ilvl w:val="0"/>
          <w:numId w:val="59"/>
        </w:numPr>
        <w:rPr>
          <w:rFonts w:ascii="Arial" w:cs="Arial" w:eastAsia="Arial" w:hAnsi="Arial"/>
          <w:sz w:val="21"/>
          <w:szCs w:val="21"/>
          <w:color w:val="auto"/>
        </w:rPr>
      </w:pPr>
      <w:r>
        <w:rPr>
          <w:rFonts w:ascii="Arial" w:cs="Arial" w:eastAsia="Arial" w:hAnsi="Arial"/>
          <w:sz w:val="21"/>
          <w:szCs w:val="21"/>
          <w:color w:val="auto"/>
        </w:rPr>
        <w:t>You will receive a grant of Cumberland Pharmaceuticals common stock, pursuant to a stock options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00" w:lineRule="exact"/>
        <w:rPr>
          <w:sz w:val="20"/>
          <w:szCs w:val="20"/>
          <w:color w:val="auto"/>
        </w:rPr>
      </w:pPr>
    </w:p>
    <w:p>
      <w:pPr>
        <w:spacing w:after="0" w:line="261" w:lineRule="exact"/>
        <w:rPr>
          <w:sz w:val="20"/>
          <w:szCs w:val="20"/>
          <w:color w:val="auto"/>
        </w:rPr>
      </w:pPr>
    </w:p>
    <w:p>
      <w:pPr>
        <w:ind w:left="-8" w:right="20" w:firstLine="8"/>
        <w:spacing w:after="0" w:line="232" w:lineRule="auto"/>
        <w:tabs>
          <w:tab w:leader="none" w:pos="468" w:val="left"/>
        </w:tabs>
        <w:numPr>
          <w:ilvl w:val="0"/>
          <w:numId w:val="60"/>
        </w:numPr>
        <w:rPr>
          <w:rFonts w:ascii="Arial" w:cs="Arial" w:eastAsia="Arial" w:hAnsi="Arial"/>
          <w:sz w:val="22"/>
          <w:szCs w:val="22"/>
          <w:color w:val="auto"/>
        </w:rPr>
      </w:pPr>
      <w:r>
        <w:rPr>
          <w:rFonts w:ascii="Arial" w:cs="Arial" w:eastAsia="Arial" w:hAnsi="Arial"/>
          <w:sz w:val="22"/>
          <w:szCs w:val="22"/>
          <w:color w:val="auto"/>
        </w:rPr>
        <w:t>Except as set forth in Section 2, the Company shall not be liable to you for any expense incurred by you unless you receive the Company's prior written consent to reimburse you for such expense.</w:t>
      </w:r>
    </w:p>
    <w:p>
      <w:pPr>
        <w:spacing w:after="0" w:line="185" w:lineRule="exact"/>
        <w:rPr>
          <w:rFonts w:ascii="Arial" w:cs="Arial" w:eastAsia="Arial" w:hAnsi="Arial"/>
          <w:sz w:val="22"/>
          <w:szCs w:val="22"/>
          <w:color w:val="auto"/>
        </w:rPr>
      </w:pPr>
    </w:p>
    <w:p>
      <w:pPr>
        <w:jc w:val="both"/>
        <w:ind w:left="-8" w:firstLine="89"/>
        <w:spacing w:after="0" w:line="216" w:lineRule="auto"/>
        <w:tabs>
          <w:tab w:leader="none" w:pos="721" w:val="left"/>
        </w:tabs>
        <w:numPr>
          <w:ilvl w:val="1"/>
          <w:numId w:val="60"/>
        </w:numPr>
        <w:rPr>
          <w:rFonts w:ascii="Arial" w:cs="Arial" w:eastAsia="Arial" w:hAnsi="Arial"/>
          <w:sz w:val="22"/>
          <w:szCs w:val="22"/>
          <w:color w:val="auto"/>
        </w:rPr>
      </w:pPr>
      <w:r>
        <w:rPr>
          <w:rFonts w:ascii="Arial" w:cs="Arial" w:eastAsia="Arial" w:hAnsi="Arial"/>
          <w:sz w:val="22"/>
          <w:szCs w:val="22"/>
          <w:u w:val="single" w:color="auto"/>
          <w:color w:val="auto"/>
        </w:rPr>
        <w:t>Additional Payments</w:t>
      </w:r>
      <w:r>
        <w:rPr>
          <w:rFonts w:ascii="Arial" w:cs="Arial" w:eastAsia="Arial" w:hAnsi="Arial"/>
          <w:sz w:val="22"/>
          <w:szCs w:val="22"/>
          <w:color w:val="auto"/>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spacing w:after="0" w:line="185" w:lineRule="exact"/>
        <w:rPr>
          <w:sz w:val="20"/>
          <w:szCs w:val="20"/>
          <w:color w:val="auto"/>
        </w:rPr>
      </w:pPr>
    </w:p>
    <w:p>
      <w:pPr>
        <w:jc w:val="both"/>
        <w:ind w:left="-8" w:firstLine="8"/>
        <w:spacing w:after="0" w:line="229" w:lineRule="auto"/>
        <w:tabs>
          <w:tab w:leader="none" w:pos="383"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Employment at Will</w:t>
      </w:r>
      <w:r>
        <w:rPr>
          <w:rFonts w:ascii="Arial" w:cs="Arial" w:eastAsia="Arial" w:hAnsi="Arial"/>
          <w:sz w:val="21"/>
          <w:szCs w:val="21"/>
          <w:color w:val="auto"/>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spacing w:after="0" w:line="185" w:lineRule="exact"/>
        <w:rPr>
          <w:rFonts w:ascii="Arial" w:cs="Arial" w:eastAsia="Arial" w:hAnsi="Arial"/>
          <w:sz w:val="21"/>
          <w:szCs w:val="21"/>
          <w:color w:val="auto"/>
        </w:rPr>
      </w:pPr>
    </w:p>
    <w:p>
      <w:pPr>
        <w:jc w:val="both"/>
        <w:ind w:left="-8" w:firstLine="8"/>
        <w:spacing w:after="0" w:line="244" w:lineRule="auto"/>
        <w:tabs>
          <w:tab w:leader="none" w:pos="437"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under circumstances in which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spacing w:after="0" w:line="187" w:lineRule="exact"/>
        <w:rPr>
          <w:rFonts w:ascii="Arial" w:cs="Arial" w:eastAsia="Arial" w:hAnsi="Arial"/>
          <w:sz w:val="19"/>
          <w:szCs w:val="19"/>
          <w:color w:val="auto"/>
        </w:rPr>
      </w:pPr>
    </w:p>
    <w:p>
      <w:pPr>
        <w:jc w:val="both"/>
        <w:ind w:left="-8" w:firstLine="8"/>
        <w:spacing w:after="0" w:line="219" w:lineRule="auto"/>
        <w:tabs>
          <w:tab w:leader="none" w:pos="410"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Discoveries and Improvements</w:t>
      </w:r>
      <w:r>
        <w:rPr>
          <w:rFonts w:ascii="Arial" w:cs="Arial" w:eastAsia="Arial" w:hAnsi="Arial"/>
          <w:sz w:val="21"/>
          <w:szCs w:val="21"/>
          <w:color w:val="auto"/>
        </w:rPr>
        <w:t>.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sectPr>
          <w:pgSz w:w="11900" w:h="16838" w:orient="portrait"/>
          <w:cols w:equalWidth="0" w:num="1">
            <w:col w:w="11232"/>
          </w:cols>
          <w:pgMar w:left="328" w:top="1440" w:right="339" w:bottom="1440" w:gutter="0" w:footer="0" w:header="0"/>
        </w:sectPr>
      </w:pPr>
    </w:p>
    <w:bookmarkStart w:id="131" w:name="page132"/>
    <w:bookmarkEnd w:id="131"/>
    <w:p>
      <w:pPr>
        <w:spacing w:after="0" w:line="200" w:lineRule="exact"/>
        <w:rPr>
          <w:sz w:val="20"/>
          <w:szCs w:val="20"/>
          <w:color w:val="auto"/>
        </w:rPr>
      </w:pPr>
    </w:p>
    <w:p>
      <w:pPr>
        <w:spacing w:after="0" w:line="261" w:lineRule="exact"/>
        <w:rPr>
          <w:sz w:val="20"/>
          <w:szCs w:val="20"/>
          <w:color w:val="auto"/>
        </w:rPr>
      </w:pPr>
    </w:p>
    <w:p>
      <w:pPr>
        <w:jc w:val="both"/>
        <w:ind w:left="-8" w:firstLine="8"/>
        <w:spacing w:after="0" w:line="252" w:lineRule="auto"/>
        <w:tabs>
          <w:tab w:leader="none" w:pos="383"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Publication</w:t>
      </w:r>
      <w:r>
        <w:rPr>
          <w:rFonts w:ascii="Arial" w:cs="Arial" w:eastAsia="Arial" w:hAnsi="Arial"/>
          <w:sz w:val="19"/>
          <w:szCs w:val="19"/>
          <w:color w:val="auto"/>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spacing w:after="0" w:line="175" w:lineRule="exact"/>
        <w:rPr>
          <w:rFonts w:ascii="Arial" w:cs="Arial" w:eastAsia="Arial" w:hAnsi="Arial"/>
          <w:sz w:val="19"/>
          <w:szCs w:val="19"/>
          <w:color w:val="auto"/>
        </w:rPr>
      </w:pPr>
    </w:p>
    <w:p>
      <w:pPr>
        <w:jc w:val="both"/>
        <w:ind w:left="-8" w:firstLine="8"/>
        <w:spacing w:after="0" w:line="218" w:lineRule="auto"/>
        <w:tabs>
          <w:tab w:leader="none" w:pos="37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Litigation</w:t>
      </w:r>
      <w:r>
        <w:rPr>
          <w:rFonts w:ascii="Arial" w:cs="Arial" w:eastAsia="Arial" w:hAnsi="Arial"/>
          <w:sz w:val="22"/>
          <w:szCs w:val="22"/>
          <w:color w:val="auto"/>
        </w:rPr>
        <w:t>. You shall notify the Company within three business days if no longer employed and immediately if still employed by the Company if you are contacted by any person 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spacing w:after="0" w:line="187" w:lineRule="exact"/>
        <w:rPr>
          <w:rFonts w:ascii="Arial" w:cs="Arial" w:eastAsia="Arial" w:hAnsi="Arial"/>
          <w:sz w:val="22"/>
          <w:szCs w:val="22"/>
          <w:color w:val="auto"/>
        </w:rPr>
      </w:pPr>
    </w:p>
    <w:p>
      <w:pPr>
        <w:jc w:val="both"/>
        <w:ind w:left="-8" w:firstLine="8"/>
        <w:spacing w:after="0"/>
        <w:tabs>
          <w:tab w:leader="none" w:pos="410"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Competition</w:t>
      </w:r>
      <w:r>
        <w:rPr>
          <w:rFonts w:ascii="Arial" w:cs="Arial" w:eastAsia="Arial" w:hAnsi="Arial"/>
          <w:sz w:val="19"/>
          <w:szCs w:val="19"/>
          <w:color w:val="auto"/>
        </w:rPr>
        <w:t>.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The term “Affiliate” shall mean the Company and any entity controlling, controlled by, or under common control with the Company.</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left="-8" w:firstLine="8"/>
        <w:spacing w:after="0" w:line="257" w:lineRule="auto"/>
        <w:tabs>
          <w:tab w:leader="none" w:pos="424"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Conflicting Contracts</w:t>
      </w:r>
      <w:r>
        <w:rPr>
          <w:rFonts w:ascii="Arial" w:cs="Arial" w:eastAsia="Arial" w:hAnsi="Arial"/>
          <w:sz w:val="19"/>
          <w:szCs w:val="19"/>
          <w:color w:val="auto"/>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sectPr>
          <w:pgSz w:w="11900" w:h="16838" w:orient="portrait"/>
          <w:cols w:equalWidth="0" w:num="1">
            <w:col w:w="11232"/>
          </w:cols>
          <w:pgMar w:left="328" w:top="1440" w:right="339" w:bottom="1440" w:gutter="0" w:footer="0" w:header="0"/>
        </w:sectPr>
      </w:pPr>
    </w:p>
    <w:bookmarkStart w:id="132" w:name="page133"/>
    <w:bookmarkEnd w:id="132"/>
    <w:p>
      <w:pPr>
        <w:spacing w:after="0" w:line="200" w:lineRule="exact"/>
        <w:rPr>
          <w:sz w:val="20"/>
          <w:szCs w:val="20"/>
          <w:color w:val="auto"/>
        </w:rPr>
      </w:pPr>
    </w:p>
    <w:p>
      <w:pPr>
        <w:spacing w:after="0" w:line="260" w:lineRule="exact"/>
        <w:rPr>
          <w:sz w:val="20"/>
          <w:szCs w:val="20"/>
          <w:color w:val="auto"/>
        </w:rPr>
      </w:pPr>
    </w:p>
    <w:p>
      <w:pPr>
        <w:ind w:left="492" w:hanging="492"/>
        <w:spacing w:after="0"/>
        <w:tabs>
          <w:tab w:leader="none" w:pos="492"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Solicitation</w:t>
      </w:r>
      <w:r>
        <w:rPr>
          <w:rFonts w:ascii="Arial" w:cs="Arial" w:eastAsia="Arial" w:hAnsi="Arial"/>
          <w:sz w:val="22"/>
          <w:szCs w:val="22"/>
          <w:color w:val="auto"/>
        </w:rPr>
        <w:t>. After you cease to be employed by the Company (or a Company affiliate):</w:t>
      </w:r>
    </w:p>
    <w:p>
      <w:pPr>
        <w:spacing w:after="0" w:line="206" w:lineRule="exact"/>
        <w:rPr>
          <w:sz w:val="20"/>
          <w:szCs w:val="20"/>
          <w:color w:val="auto"/>
        </w:rPr>
      </w:pPr>
    </w:p>
    <w:p>
      <w:pPr>
        <w:jc w:val="both"/>
        <w:ind w:left="-8" w:firstLine="8"/>
        <w:spacing w:after="0" w:line="249" w:lineRule="auto"/>
        <w:tabs>
          <w:tab w:leader="none" w:pos="462" w:val="left"/>
        </w:tabs>
        <w:numPr>
          <w:ilvl w:val="0"/>
          <w:numId w:val="64"/>
        </w:numPr>
        <w:rPr>
          <w:rFonts w:ascii="Arial" w:cs="Arial" w:eastAsia="Arial" w:hAnsi="Arial"/>
          <w:sz w:val="19"/>
          <w:szCs w:val="19"/>
          <w:color w:val="auto"/>
        </w:rPr>
      </w:pPr>
      <w:r>
        <w:rPr>
          <w:rFonts w:ascii="Arial" w:cs="Arial" w:eastAsia="Arial" w:hAnsi="Arial"/>
          <w:sz w:val="19"/>
          <w:szCs w:val="19"/>
          <w:color w:val="auto"/>
        </w:rPr>
        <w:t>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w:t>
      </w:r>
    </w:p>
    <w:p>
      <w:pPr>
        <w:spacing w:after="0" w:line="178" w:lineRule="exact"/>
        <w:rPr>
          <w:rFonts w:ascii="Arial" w:cs="Arial" w:eastAsia="Arial" w:hAnsi="Arial"/>
          <w:sz w:val="19"/>
          <w:szCs w:val="19"/>
          <w:color w:val="auto"/>
        </w:rPr>
      </w:pPr>
    </w:p>
    <w:p>
      <w:pPr>
        <w:ind w:left="-8" w:firstLine="8"/>
        <w:spacing w:after="0" w:line="232" w:lineRule="auto"/>
        <w:tabs>
          <w:tab w:leader="none" w:pos="518" w:val="left"/>
        </w:tabs>
        <w:numPr>
          <w:ilvl w:val="0"/>
          <w:numId w:val="64"/>
        </w:numPr>
        <w:rPr>
          <w:rFonts w:ascii="Arial" w:cs="Arial" w:eastAsia="Arial" w:hAnsi="Arial"/>
          <w:sz w:val="22"/>
          <w:szCs w:val="22"/>
          <w:color w:val="auto"/>
        </w:rPr>
      </w:pPr>
      <w:r>
        <w:rPr>
          <w:rFonts w:ascii="Arial" w:cs="Arial" w:eastAsia="Arial" w:hAnsi="Arial"/>
          <w:sz w:val="22"/>
          <w:szCs w:val="22"/>
          <w:color w:val="auto"/>
        </w:rPr>
        <w:t>You agree not to solicit, recruit, hire, or assist in the hiring of any employee of the Company to work for you or another person, firm, corporation, or business.</w:t>
      </w:r>
    </w:p>
    <w:p>
      <w:pPr>
        <w:spacing w:after="0" w:line="186" w:lineRule="exact"/>
        <w:rPr>
          <w:sz w:val="20"/>
          <w:szCs w:val="20"/>
          <w:color w:val="auto"/>
        </w:rPr>
      </w:pPr>
    </w:p>
    <w:p>
      <w:pPr>
        <w:jc w:val="both"/>
        <w:ind w:left="-8" w:firstLine="8"/>
        <w:spacing w:after="0" w:line="218" w:lineRule="auto"/>
        <w:tabs>
          <w:tab w:leader="none" w:pos="483"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Return of Documents</w:t>
      </w:r>
      <w:r>
        <w:rPr>
          <w:rFonts w:ascii="Arial" w:cs="Arial" w:eastAsia="Arial" w:hAnsi="Arial"/>
          <w:sz w:val="22"/>
          <w:szCs w:val="22"/>
          <w:color w:val="auto"/>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spacing w:after="0" w:line="187" w:lineRule="exact"/>
        <w:rPr>
          <w:rFonts w:ascii="Arial" w:cs="Arial" w:eastAsia="Arial" w:hAnsi="Arial"/>
          <w:sz w:val="22"/>
          <w:szCs w:val="22"/>
          <w:color w:val="auto"/>
        </w:rPr>
      </w:pPr>
    </w:p>
    <w:p>
      <w:pPr>
        <w:jc w:val="both"/>
        <w:ind w:left="-8" w:firstLine="8"/>
        <w:spacing w:after="0" w:line="212" w:lineRule="auto"/>
        <w:tabs>
          <w:tab w:leader="none" w:pos="505"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spacing w:after="0" w:line="190" w:lineRule="exact"/>
        <w:rPr>
          <w:rFonts w:ascii="Arial" w:cs="Arial" w:eastAsia="Arial" w:hAnsi="Arial"/>
          <w:sz w:val="22"/>
          <w:szCs w:val="22"/>
          <w:color w:val="auto"/>
        </w:rPr>
      </w:pPr>
    </w:p>
    <w:p>
      <w:pPr>
        <w:jc w:val="both"/>
        <w:ind w:left="-8" w:firstLine="8"/>
        <w:spacing w:after="0" w:line="246" w:lineRule="auto"/>
        <w:tabs>
          <w:tab w:leader="none" w:pos="491"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Best Efforts and Conflicts of Interest</w:t>
      </w:r>
      <w:r>
        <w:rPr>
          <w:rFonts w:ascii="Arial" w:cs="Arial" w:eastAsia="Arial" w:hAnsi="Arial"/>
          <w:sz w:val="19"/>
          <w:szCs w:val="19"/>
          <w:color w:val="auto"/>
        </w:rPr>
        <w:t>: You are hired with the understanding that Cumberland is your sole employer and you will provide a full-time work effort. You agree to devote your entire professional and business-related time and best efforts t\o the services required of you by the express and implicit terms of this Agreement, to the reasonable satisfaction of Cumberland in its sole and complete discretion. Engaging in activities outside of work that create a conflict of interest, or detract from your ability to perform your assigned 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pacing w:after="0" w:line="179" w:lineRule="exact"/>
        <w:rPr>
          <w:rFonts w:ascii="Arial" w:cs="Arial" w:eastAsia="Arial" w:hAnsi="Arial"/>
          <w:sz w:val="19"/>
          <w:szCs w:val="19"/>
          <w:color w:val="auto"/>
        </w:rPr>
      </w:pPr>
    </w:p>
    <w:p>
      <w:pPr>
        <w:jc w:val="both"/>
        <w:ind w:left="-8" w:firstLine="8"/>
        <w:spacing w:after="0" w:line="268" w:lineRule="auto"/>
        <w:tabs>
          <w:tab w:leader="none" w:pos="329"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Standards of Business Conduct and Ethics.</w:t>
      </w:r>
      <w:r>
        <w:rPr>
          <w:rFonts w:ascii="Arial" w:cs="Arial" w:eastAsia="Arial" w:hAnsi="Arial"/>
          <w:sz w:val="19"/>
          <w:szCs w:val="19"/>
          <w:color w:val="auto"/>
        </w:rPr>
        <w:t xml:space="preserve"> Cumberland’s commitment to a culture of integrity, ethics and compliance with the law is comprised in this policy, which will be provided to you as part of the conditions of your employment. You will have the opportunity to read, discuss and understand this policy prior to accepting and signing its Letter of Agreement.</w:t>
      </w:r>
    </w:p>
    <w:p>
      <w:pPr>
        <w:sectPr>
          <w:pgSz w:w="11900" w:h="16838" w:orient="portrait"/>
          <w:cols w:equalWidth="0" w:num="1">
            <w:col w:w="11232"/>
          </w:cols>
          <w:pgMar w:left="328" w:top="1440" w:right="339" w:bottom="1440" w:gutter="0" w:footer="0" w:header="0"/>
        </w:sectPr>
      </w:pPr>
    </w:p>
    <w:bookmarkStart w:id="133" w:name="page134"/>
    <w:bookmarkEnd w:id="133"/>
    <w:p>
      <w:pPr>
        <w:spacing w:after="0" w:line="200" w:lineRule="exact"/>
        <w:rPr>
          <w:sz w:val="20"/>
          <w:szCs w:val="20"/>
          <w:color w:val="auto"/>
        </w:rPr>
      </w:pPr>
    </w:p>
    <w:p>
      <w:pPr>
        <w:spacing w:after="0" w:line="260" w:lineRule="exact"/>
        <w:rPr>
          <w:sz w:val="20"/>
          <w:szCs w:val="20"/>
          <w:color w:val="auto"/>
        </w:rPr>
      </w:pPr>
    </w:p>
    <w:p>
      <w:pPr>
        <w:ind w:firstLine="8"/>
        <w:spacing w:after="0" w:line="247" w:lineRule="auto"/>
        <w:tabs>
          <w:tab w:leader="none" w:pos="486"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Debarment</w:t>
      </w:r>
      <w:r>
        <w:rPr>
          <w:rFonts w:ascii="Arial" w:cs="Arial" w:eastAsia="Arial" w:hAnsi="Arial"/>
          <w:sz w:val="21"/>
          <w:szCs w:val="21"/>
          <w:color w:val="auto"/>
        </w:rPr>
        <w:t>. You represent and warrant that you have not been debarred and will notify the Company immediately if you are debarred, pursuant to subsection 306(a) or 306(b) of the Federal Food, Drug, and Cosmetic Act.</w:t>
      </w:r>
    </w:p>
    <w:p>
      <w:pPr>
        <w:spacing w:after="0" w:line="177" w:lineRule="exact"/>
        <w:rPr>
          <w:rFonts w:ascii="Arial" w:cs="Arial" w:eastAsia="Arial" w:hAnsi="Arial"/>
          <w:sz w:val="21"/>
          <w:szCs w:val="21"/>
          <w:color w:val="auto"/>
        </w:rPr>
      </w:pPr>
    </w:p>
    <w:p>
      <w:pPr>
        <w:ind w:firstLine="8"/>
        <w:spacing w:after="0" w:line="247" w:lineRule="auto"/>
        <w:tabs>
          <w:tab w:leader="none" w:pos="540"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Any notice required or permitted to be given under this Agreement shall be sufficient if in writing and if sent by registered or certified mail to your residence or to the Company’s principal office in the case of the Company.</w:t>
      </w:r>
    </w:p>
    <w:p>
      <w:pPr>
        <w:spacing w:after="0" w:line="178" w:lineRule="exact"/>
        <w:rPr>
          <w:sz w:val="20"/>
          <w:szCs w:val="20"/>
          <w:color w:val="auto"/>
        </w:rPr>
      </w:pPr>
    </w:p>
    <w:p>
      <w:pPr>
        <w:ind w:firstLine="8"/>
        <w:spacing w:after="0" w:line="232" w:lineRule="auto"/>
        <w:tabs>
          <w:tab w:leader="none" w:pos="459"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The waiver by either party of any provision of this Agreement shall not operate or be construed as a waiver of any subsequent breach.</w:t>
      </w:r>
    </w:p>
    <w:p>
      <w:pPr>
        <w:spacing w:after="0" w:line="186" w:lineRule="exact"/>
        <w:rPr>
          <w:sz w:val="20"/>
          <w:szCs w:val="20"/>
          <w:color w:val="auto"/>
        </w:rPr>
      </w:pPr>
    </w:p>
    <w:p>
      <w:pPr>
        <w:jc w:val="both"/>
        <w:ind w:firstLine="8"/>
        <w:spacing w:after="0" w:line="223" w:lineRule="auto"/>
        <w:tabs>
          <w:tab w:leader="none" w:pos="499"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contains the entire agreement of the parties and may not be changed orally, but only by an agreement in writing signed by the party against whom enforcement of any waiver, change, modification, extension, or discharge is sought.</w:t>
      </w:r>
    </w:p>
    <w:p>
      <w:pPr>
        <w:spacing w:after="0" w:line="185" w:lineRule="exact"/>
        <w:rPr>
          <w:rFonts w:ascii="Arial" w:cs="Arial" w:eastAsia="Arial" w:hAnsi="Arial"/>
          <w:sz w:val="22"/>
          <w:szCs w:val="22"/>
          <w:color w:val="auto"/>
        </w:rPr>
      </w:pPr>
    </w:p>
    <w:p>
      <w:pPr>
        <w:jc w:val="both"/>
        <w:ind w:firstLine="8"/>
        <w:spacing w:after="0" w:line="223" w:lineRule="auto"/>
        <w:tabs>
          <w:tab w:leader="none" w:pos="594"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Governance</w:t>
      </w:r>
      <w:r>
        <w:rPr>
          <w:rFonts w:ascii="Arial" w:cs="Arial" w:eastAsia="Arial" w:hAnsi="Arial"/>
          <w:sz w:val="22"/>
          <w:szCs w:val="22"/>
          <w:color w:val="auto"/>
        </w:rPr>
        <w:t>. This Agreement shall be governed by the laws of the State of Tennessee. Any dispute arising out of this Agreement shall be resolved, at the Company’s sole option, by courts sitting in Nashville, Tennessee, and you waive any objection to such venue.</w:t>
      </w:r>
    </w:p>
    <w:p>
      <w:pPr>
        <w:spacing w:after="0" w:line="185" w:lineRule="exact"/>
        <w:rPr>
          <w:rFonts w:ascii="Arial" w:cs="Arial" w:eastAsia="Arial" w:hAnsi="Arial"/>
          <w:sz w:val="22"/>
          <w:szCs w:val="22"/>
          <w:color w:val="auto"/>
        </w:rPr>
      </w:pPr>
    </w:p>
    <w:p>
      <w:pPr>
        <w:jc w:val="both"/>
        <w:ind w:firstLine="8"/>
        <w:spacing w:after="0" w:line="223" w:lineRule="auto"/>
        <w:tabs>
          <w:tab w:leader="none" w:pos="621"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In the event that any provision of this Agreement shall be held by a court to be unenforceable, such provision will be enforced to the maximum extent permissible, and the remaining portions of this Agreement shall remain in full force and effect.</w:t>
      </w:r>
    </w:p>
    <w:p>
      <w:pPr>
        <w:spacing w:after="0" w:line="185" w:lineRule="exact"/>
        <w:rPr>
          <w:rFonts w:ascii="Arial" w:cs="Arial" w:eastAsia="Arial" w:hAnsi="Arial"/>
          <w:sz w:val="22"/>
          <w:szCs w:val="22"/>
          <w:color w:val="auto"/>
        </w:rPr>
      </w:pPr>
    </w:p>
    <w:p>
      <w:pPr>
        <w:ind w:firstLine="8"/>
        <w:spacing w:after="0" w:line="232" w:lineRule="auto"/>
        <w:tabs>
          <w:tab w:leader="none" w:pos="621"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Notwithstanding any termination of your employment, this Agreement shall survive and remain in effect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w:t>
      </w:r>
    </w:p>
    <w:p>
      <w:pPr>
        <w:ind w:firstLine="648"/>
        <w:spacing w:after="0" w:line="224" w:lineRule="auto"/>
        <w:rPr>
          <w:sz w:val="20"/>
          <w:szCs w:val="20"/>
          <w:color w:val="auto"/>
        </w:rPr>
      </w:pPr>
      <w:r>
        <w:rPr>
          <w:rFonts w:ascii="Arial" w:cs="Arial" w:eastAsia="Arial" w:hAnsi="Arial"/>
          <w:sz w:val="22"/>
          <w:szCs w:val="22"/>
          <w:color w:val="auto"/>
        </w:rPr>
        <w:t>This letter agreement may be signed in one or more counterparts, each of which shall be an original and all of which will constitute one and the same instrument.</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Sincerely yours,</w:t>
      </w:r>
    </w:p>
    <w:p>
      <w:pPr>
        <w:spacing w:after="0" w:line="170" w:lineRule="exact"/>
        <w:rPr>
          <w:sz w:val="20"/>
          <w:szCs w:val="20"/>
          <w:color w:val="auto"/>
        </w:rPr>
      </w:pPr>
    </w:p>
    <w:p>
      <w:pPr>
        <w:ind w:left="6600"/>
        <w:spacing w:after="0"/>
        <w:rPr>
          <w:sz w:val="20"/>
          <w:szCs w:val="20"/>
          <w:color w:val="auto"/>
        </w:rPr>
      </w:pPr>
      <w:r>
        <w:rPr>
          <w:rFonts w:ascii="Arial" w:cs="Arial" w:eastAsia="Arial" w:hAnsi="Arial"/>
          <w:sz w:val="21"/>
          <w:szCs w:val="21"/>
          <w:color w:val="auto"/>
        </w:rPr>
        <w:t>CUMBERLAND PHARMACEUTICALS</w:t>
      </w:r>
    </w:p>
    <w:p>
      <w:pPr>
        <w:ind w:left="6600"/>
        <w:spacing w:after="0"/>
        <w:rPr>
          <w:sz w:val="20"/>
          <w:szCs w:val="20"/>
          <w:color w:val="auto"/>
        </w:rPr>
      </w:pPr>
      <w:r>
        <w:rPr>
          <w:rFonts w:ascii="Arial" w:cs="Arial" w:eastAsia="Arial" w:hAnsi="Arial"/>
          <w:sz w:val="22"/>
          <w:szCs w:val="22"/>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175895</wp:posOffset>
            </wp:positionV>
            <wp:extent cx="2520315" cy="814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2">
                      <a:extLst>
                        <a:ext uri="{28A0092B-C50C-407E-A947-70E740481C1C}"/>
                      </a:extLst>
                    </a:blip>
                    <a:srcRect/>
                    <a:stretch>
                      <a:fillRect/>
                    </a:stretch>
                  </pic:blipFill>
                  <pic:spPr bwMode="auto">
                    <a:xfrm>
                      <a:off x="0" y="0"/>
                      <a:ext cx="252031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0"/>
        <w:spacing w:after="0"/>
        <w:rPr>
          <w:sz w:val="20"/>
          <w:szCs w:val="20"/>
          <w:color w:val="auto"/>
        </w:rPr>
      </w:pPr>
      <w:r>
        <w:rPr>
          <w:rFonts w:ascii="Arial" w:cs="Arial" w:eastAsia="Arial" w:hAnsi="Arial"/>
          <w:sz w:val="22"/>
          <w:szCs w:val="22"/>
          <w:color w:val="auto"/>
        </w:rPr>
        <w:t>By: Stephanie Smith HRM, MBA</w:t>
      </w:r>
    </w:p>
    <w:p>
      <w:pPr>
        <w:spacing w:after="0" w:line="24"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Human Resource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Accepted as to all terms and conditions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as of the 7th of March, 2022:</w:t>
      </w:r>
    </w:p>
    <w:p>
      <w:pPr>
        <w:spacing w:after="0" w:line="290"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44062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3">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A.J. Kazimi</w:t>
      </w:r>
    </w:p>
    <w:p>
      <w:pPr>
        <w:sectPr>
          <w:pgSz w:w="11900" w:h="16838" w:orient="portrait"/>
          <w:cols w:equalWidth="0" w:num="1">
            <w:col w:w="10280"/>
          </w:cols>
          <w:pgMar w:left="1000" w:top="1440" w:right="619" w:bottom="1440" w:gutter="0" w:footer="0" w:header="0"/>
        </w:sectPr>
      </w:pPr>
    </w:p>
    <w:bookmarkStart w:id="135" w:name="page136"/>
    <w:bookmarkEnd w:id="135"/>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10.14</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March 7, 2022</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Mr. John Hamm</w:t>
      </w:r>
    </w:p>
    <w:p>
      <w:pPr>
        <w:spacing w:after="0" w:line="238" w:lineRule="auto"/>
        <w:rPr>
          <w:sz w:val="20"/>
          <w:szCs w:val="20"/>
          <w:color w:val="auto"/>
        </w:rPr>
      </w:pPr>
      <w:r>
        <w:rPr>
          <w:rFonts w:ascii="Arial" w:cs="Arial" w:eastAsia="Arial" w:hAnsi="Arial"/>
          <w:sz w:val="22"/>
          <w:szCs w:val="22"/>
          <w:color w:val="auto"/>
        </w:rPr>
        <w:t>2525 West End Avenue, Suite 950</w:t>
      </w:r>
    </w:p>
    <w:p>
      <w:pPr>
        <w:spacing w:after="0" w:line="205" w:lineRule="auto"/>
        <w:rPr>
          <w:sz w:val="20"/>
          <w:szCs w:val="20"/>
          <w:color w:val="auto"/>
        </w:rPr>
      </w:pPr>
      <w:r>
        <w:rPr>
          <w:rFonts w:ascii="Arial" w:cs="Arial" w:eastAsia="Arial" w:hAnsi="Arial"/>
          <w:sz w:val="22"/>
          <w:szCs w:val="22"/>
          <w:color w:val="auto"/>
        </w:rPr>
        <w:t>Nashville, TN 37203</w:t>
      </w:r>
    </w:p>
    <w:p>
      <w:pPr>
        <w:jc w:val="both"/>
        <w:ind w:left="660" w:hanging="647"/>
        <w:spacing w:after="0" w:line="224" w:lineRule="auto"/>
        <w:tabs>
          <w:tab w:leader="none" w:pos="6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Employment of John Hamm as Senior Director of Finance &amp; Accounting &amp; Chief Financial Officer Cumberland Pharmaceuticals Inc.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Dear John,</w:t>
      </w:r>
    </w:p>
    <w:p>
      <w:pPr>
        <w:spacing w:after="0" w:line="206"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Effective January 1, 2023, this letter agreement (the “Agreement”) will evidence the terms and conditions under which you will be employed by Cumberland Pharmaceuticals Inc. (the “Company”) In consideration of your appointment as Senior Director of Finance &amp; Accounting &amp; Chief Financial Officer of the Company, and other good and valuable consideration, the receipt and sufficiency of which is hereby acknowledged, the parties agree as follows:</w:t>
      </w:r>
    </w:p>
    <w:p>
      <w:pPr>
        <w:spacing w:after="0" w:line="185" w:lineRule="exact"/>
        <w:rPr>
          <w:sz w:val="20"/>
          <w:szCs w:val="20"/>
          <w:color w:val="auto"/>
        </w:rPr>
      </w:pPr>
    </w:p>
    <w:p>
      <w:pPr>
        <w:ind w:left="380" w:hanging="372"/>
        <w:spacing w:after="0"/>
        <w:tabs>
          <w:tab w:leader="none" w:pos="38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 xml:space="preserve"> The Company agrees to compensate you as follows:</w:t>
      </w:r>
    </w:p>
    <w:p>
      <w:pPr>
        <w:spacing w:after="0" w:line="206" w:lineRule="exact"/>
        <w:rPr>
          <w:sz w:val="20"/>
          <w:szCs w:val="20"/>
          <w:color w:val="auto"/>
        </w:rPr>
      </w:pPr>
    </w:p>
    <w:p>
      <w:pPr>
        <w:jc w:val="both"/>
        <w:ind w:firstLine="8"/>
        <w:spacing w:after="0" w:line="224" w:lineRule="auto"/>
        <w:tabs>
          <w:tab w:leader="none" w:pos="454"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Company agrees to pay you on a salary basis for services performed based on an annual rate of one hundred and ninety-two thousand dollars ($192,000.00), payable in arrears in equal monthly installments on the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day of each calendar month of 2022.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w:t>
      </w:r>
    </w:p>
    <w:p>
      <w:pPr>
        <w:spacing w:after="0" w:line="186" w:lineRule="exact"/>
        <w:rPr>
          <w:rFonts w:ascii="Arial" w:cs="Arial" w:eastAsia="Arial" w:hAnsi="Arial"/>
          <w:sz w:val="20"/>
          <w:szCs w:val="20"/>
          <w:color w:val="auto"/>
        </w:rPr>
      </w:pPr>
    </w:p>
    <w:p>
      <w:pPr>
        <w:jc w:val="both"/>
        <w:ind w:firstLine="8"/>
        <w:spacing w:after="0" w:line="223" w:lineRule="auto"/>
        <w:tabs>
          <w:tab w:leader="none" w:pos="546" w:val="left"/>
        </w:tabs>
        <w:numPr>
          <w:ilvl w:val="0"/>
          <w:numId w:val="70"/>
        </w:numPr>
        <w:rPr>
          <w:rFonts w:ascii="Arial" w:cs="Arial" w:eastAsia="Arial" w:hAnsi="Arial"/>
          <w:sz w:val="22"/>
          <w:szCs w:val="22"/>
          <w:color w:val="auto"/>
        </w:rPr>
      </w:pPr>
      <w:r>
        <w:rPr>
          <w:rFonts w:ascii="Arial" w:cs="Arial" w:eastAsia="Arial" w:hAnsi="Arial"/>
          <w:sz w:val="22"/>
          <w:szCs w:val="22"/>
          <w:color w:val="auto"/>
        </w:rPr>
        <w:t>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spacing w:after="0" w:line="185" w:lineRule="exact"/>
        <w:rPr>
          <w:rFonts w:ascii="Arial" w:cs="Arial" w:eastAsia="Arial" w:hAnsi="Arial"/>
          <w:sz w:val="22"/>
          <w:szCs w:val="22"/>
          <w:color w:val="auto"/>
        </w:rPr>
      </w:pPr>
    </w:p>
    <w:p>
      <w:pPr>
        <w:jc w:val="both"/>
        <w:ind w:firstLine="8"/>
        <w:spacing w:after="0" w:line="229" w:lineRule="auto"/>
        <w:tabs>
          <w:tab w:leader="none" w:pos="494" w:val="left"/>
        </w:tabs>
        <w:numPr>
          <w:ilvl w:val="0"/>
          <w:numId w:val="70"/>
        </w:numPr>
        <w:rPr>
          <w:rFonts w:ascii="Arial" w:cs="Arial" w:eastAsia="Arial" w:hAnsi="Arial"/>
          <w:sz w:val="21"/>
          <w:szCs w:val="21"/>
          <w:color w:val="auto"/>
        </w:rPr>
      </w:pPr>
      <w:r>
        <w:rPr>
          <w:rFonts w:ascii="Arial" w:cs="Arial" w:eastAsia="Arial" w:hAnsi="Arial"/>
          <w:sz w:val="21"/>
          <w:szCs w:val="21"/>
          <w:color w:val="auto"/>
        </w:rPr>
        <w:t>You may be eligible for any Company bonus program, based upon performance in meeting your individual objectives and the Company’s overall performance, both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w:t>
      </w:r>
    </w:p>
    <w:p>
      <w:pPr>
        <w:spacing w:after="0" w:line="185" w:lineRule="exact"/>
        <w:rPr>
          <w:rFonts w:ascii="Arial" w:cs="Arial" w:eastAsia="Arial" w:hAnsi="Arial"/>
          <w:sz w:val="21"/>
          <w:szCs w:val="21"/>
          <w:color w:val="auto"/>
        </w:rPr>
      </w:pPr>
    </w:p>
    <w:p>
      <w:pPr>
        <w:jc w:val="both"/>
        <w:ind w:firstLine="8"/>
        <w:spacing w:after="0" w:line="229" w:lineRule="auto"/>
        <w:tabs>
          <w:tab w:leader="none" w:pos="462" w:val="left"/>
        </w:tabs>
        <w:numPr>
          <w:ilvl w:val="0"/>
          <w:numId w:val="70"/>
        </w:numPr>
        <w:rPr>
          <w:rFonts w:ascii="Arial" w:cs="Arial" w:eastAsia="Arial" w:hAnsi="Arial"/>
          <w:sz w:val="21"/>
          <w:szCs w:val="21"/>
          <w:color w:val="auto"/>
        </w:rPr>
      </w:pPr>
      <w:r>
        <w:rPr>
          <w:rFonts w:ascii="Arial" w:cs="Arial" w:eastAsia="Arial" w:hAnsi="Arial"/>
          <w:sz w:val="21"/>
          <w:szCs w:val="21"/>
          <w:color w:val="auto"/>
        </w:rPr>
        <w:t>You will receive a grant of Cumberland Pharmaceuticals common stock, pursuant to a stock options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00" w:lineRule="exact"/>
        <w:rPr>
          <w:sz w:val="20"/>
          <w:szCs w:val="20"/>
          <w:color w:val="auto"/>
        </w:rPr>
      </w:pPr>
    </w:p>
    <w:p>
      <w:pPr>
        <w:spacing w:after="0" w:line="260" w:lineRule="exact"/>
        <w:rPr>
          <w:sz w:val="20"/>
          <w:szCs w:val="20"/>
          <w:color w:val="auto"/>
        </w:rPr>
      </w:pPr>
    </w:p>
    <w:p>
      <w:pPr>
        <w:ind w:left="-8" w:right="20" w:firstLine="8"/>
        <w:spacing w:after="0" w:line="232" w:lineRule="auto"/>
        <w:tabs>
          <w:tab w:leader="none" w:pos="468" w:val="left"/>
        </w:tabs>
        <w:numPr>
          <w:ilvl w:val="0"/>
          <w:numId w:val="71"/>
        </w:numPr>
        <w:rPr>
          <w:rFonts w:ascii="Arial" w:cs="Arial" w:eastAsia="Arial" w:hAnsi="Arial"/>
          <w:sz w:val="22"/>
          <w:szCs w:val="22"/>
          <w:color w:val="auto"/>
        </w:rPr>
      </w:pPr>
      <w:r>
        <w:rPr>
          <w:rFonts w:ascii="Arial" w:cs="Arial" w:eastAsia="Arial" w:hAnsi="Arial"/>
          <w:sz w:val="22"/>
          <w:szCs w:val="22"/>
          <w:color w:val="auto"/>
        </w:rPr>
        <w:t>Except as set forth in Section 2, the Company shall not be liable to you for any expense incurred by you unless you receive the Company's prior written consent to reimburse you for such expense.</w:t>
      </w:r>
    </w:p>
    <w:p>
      <w:pPr>
        <w:spacing w:after="0" w:line="185" w:lineRule="exact"/>
        <w:rPr>
          <w:rFonts w:ascii="Arial" w:cs="Arial" w:eastAsia="Arial" w:hAnsi="Arial"/>
          <w:sz w:val="22"/>
          <w:szCs w:val="22"/>
          <w:color w:val="auto"/>
        </w:rPr>
      </w:pPr>
    </w:p>
    <w:p>
      <w:pPr>
        <w:jc w:val="both"/>
        <w:ind w:left="-8" w:firstLine="89"/>
        <w:spacing w:after="0" w:line="216" w:lineRule="auto"/>
        <w:tabs>
          <w:tab w:leader="none" w:pos="721" w:val="left"/>
        </w:tabs>
        <w:numPr>
          <w:ilvl w:val="1"/>
          <w:numId w:val="71"/>
        </w:numPr>
        <w:rPr>
          <w:rFonts w:ascii="Arial" w:cs="Arial" w:eastAsia="Arial" w:hAnsi="Arial"/>
          <w:sz w:val="22"/>
          <w:szCs w:val="22"/>
          <w:color w:val="auto"/>
        </w:rPr>
      </w:pPr>
      <w:r>
        <w:rPr>
          <w:rFonts w:ascii="Arial" w:cs="Arial" w:eastAsia="Arial" w:hAnsi="Arial"/>
          <w:sz w:val="22"/>
          <w:szCs w:val="22"/>
          <w:u w:val="single" w:color="auto"/>
          <w:color w:val="auto"/>
        </w:rPr>
        <w:t>Additional Payments</w:t>
      </w:r>
      <w:r>
        <w:rPr>
          <w:rFonts w:ascii="Arial" w:cs="Arial" w:eastAsia="Arial" w:hAnsi="Arial"/>
          <w:sz w:val="22"/>
          <w:szCs w:val="22"/>
          <w:color w:val="auto"/>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spacing w:after="0" w:line="212" w:lineRule="exact"/>
        <w:rPr>
          <w:sz w:val="20"/>
          <w:szCs w:val="20"/>
          <w:color w:val="auto"/>
        </w:rPr>
      </w:pPr>
    </w:p>
    <w:p>
      <w:pPr>
        <w:jc w:val="both"/>
        <w:ind w:left="-8" w:firstLine="8"/>
        <w:spacing w:after="0" w:line="270" w:lineRule="auto"/>
        <w:tabs>
          <w:tab w:leader="none" w:pos="383"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Employment at Will</w:t>
      </w:r>
      <w:r>
        <w:rPr>
          <w:rFonts w:ascii="Arial" w:cs="Arial" w:eastAsia="Arial" w:hAnsi="Arial"/>
          <w:sz w:val="21"/>
          <w:szCs w:val="21"/>
          <w:color w:val="auto"/>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spacing w:after="0" w:line="168" w:lineRule="exact"/>
        <w:rPr>
          <w:rFonts w:ascii="Arial" w:cs="Arial" w:eastAsia="Arial" w:hAnsi="Arial"/>
          <w:sz w:val="21"/>
          <w:szCs w:val="21"/>
          <w:color w:val="auto"/>
        </w:rPr>
      </w:pPr>
    </w:p>
    <w:p>
      <w:pPr>
        <w:jc w:val="both"/>
        <w:ind w:left="-8" w:firstLine="8"/>
        <w:spacing w:after="0" w:line="244" w:lineRule="auto"/>
        <w:tabs>
          <w:tab w:leader="none" w:pos="437"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under circumstances in which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spacing w:after="0" w:line="187" w:lineRule="exact"/>
        <w:rPr>
          <w:rFonts w:ascii="Arial" w:cs="Arial" w:eastAsia="Arial" w:hAnsi="Arial"/>
          <w:sz w:val="19"/>
          <w:szCs w:val="19"/>
          <w:color w:val="auto"/>
        </w:rPr>
      </w:pPr>
    </w:p>
    <w:p>
      <w:pPr>
        <w:jc w:val="both"/>
        <w:ind w:left="-8" w:firstLine="8"/>
        <w:spacing w:after="0" w:line="219" w:lineRule="auto"/>
        <w:tabs>
          <w:tab w:leader="none" w:pos="410"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Discoveries and Improvements</w:t>
      </w:r>
      <w:r>
        <w:rPr>
          <w:rFonts w:ascii="Arial" w:cs="Arial" w:eastAsia="Arial" w:hAnsi="Arial"/>
          <w:sz w:val="21"/>
          <w:szCs w:val="21"/>
          <w:color w:val="auto"/>
        </w:rPr>
        <w:t>.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sectPr>
          <w:pgSz w:w="11900" w:h="16838" w:orient="portrait"/>
          <w:cols w:equalWidth="0" w:num="1">
            <w:col w:w="11232"/>
          </w:cols>
          <w:pgMar w:left="328" w:top="1440" w:right="339" w:bottom="1440" w:gutter="0" w:footer="0" w:header="0"/>
        </w:sectPr>
      </w:pPr>
    </w:p>
    <w:bookmarkStart w:id="137" w:name="page138"/>
    <w:bookmarkEnd w:id="137"/>
    <w:p>
      <w:pPr>
        <w:spacing w:after="0" w:line="200" w:lineRule="exact"/>
        <w:rPr>
          <w:sz w:val="20"/>
          <w:szCs w:val="20"/>
          <w:color w:val="auto"/>
        </w:rPr>
      </w:pPr>
    </w:p>
    <w:p>
      <w:pPr>
        <w:spacing w:after="0" w:line="260" w:lineRule="exact"/>
        <w:rPr>
          <w:sz w:val="20"/>
          <w:szCs w:val="20"/>
          <w:color w:val="auto"/>
        </w:rPr>
      </w:pPr>
    </w:p>
    <w:p>
      <w:pPr>
        <w:jc w:val="both"/>
        <w:ind w:left="-8" w:firstLine="8"/>
        <w:spacing w:after="0" w:line="252" w:lineRule="auto"/>
        <w:tabs>
          <w:tab w:leader="none" w:pos="383"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Publication</w:t>
      </w:r>
      <w:r>
        <w:rPr>
          <w:rFonts w:ascii="Arial" w:cs="Arial" w:eastAsia="Arial" w:hAnsi="Arial"/>
          <w:sz w:val="19"/>
          <w:szCs w:val="19"/>
          <w:color w:val="auto"/>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spacing w:after="0" w:line="175" w:lineRule="exact"/>
        <w:rPr>
          <w:rFonts w:ascii="Arial" w:cs="Arial" w:eastAsia="Arial" w:hAnsi="Arial"/>
          <w:sz w:val="19"/>
          <w:szCs w:val="19"/>
          <w:color w:val="auto"/>
        </w:rPr>
      </w:pPr>
    </w:p>
    <w:p>
      <w:pPr>
        <w:jc w:val="both"/>
        <w:ind w:left="-8" w:firstLine="8"/>
        <w:spacing w:after="0" w:line="218" w:lineRule="auto"/>
        <w:tabs>
          <w:tab w:leader="none" w:pos="37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Litigation</w:t>
      </w:r>
      <w:r>
        <w:rPr>
          <w:rFonts w:ascii="Arial" w:cs="Arial" w:eastAsia="Arial" w:hAnsi="Arial"/>
          <w:sz w:val="22"/>
          <w:szCs w:val="22"/>
          <w:color w:val="auto"/>
        </w:rPr>
        <w:t>. You shall notify the Company within three business days if no longer employed and immediately if still employed by the Company if you are contacted by any person 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spacing w:after="0" w:line="187" w:lineRule="exact"/>
        <w:rPr>
          <w:rFonts w:ascii="Arial" w:cs="Arial" w:eastAsia="Arial" w:hAnsi="Arial"/>
          <w:sz w:val="22"/>
          <w:szCs w:val="22"/>
          <w:color w:val="auto"/>
        </w:rPr>
      </w:pPr>
    </w:p>
    <w:p>
      <w:pPr>
        <w:jc w:val="both"/>
        <w:ind w:left="-8" w:firstLine="8"/>
        <w:spacing w:after="0"/>
        <w:tabs>
          <w:tab w:leader="none" w:pos="410"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Competition</w:t>
      </w:r>
      <w:r>
        <w:rPr>
          <w:rFonts w:ascii="Arial" w:cs="Arial" w:eastAsia="Arial" w:hAnsi="Arial"/>
          <w:sz w:val="19"/>
          <w:szCs w:val="19"/>
          <w:color w:val="auto"/>
        </w:rPr>
        <w:t>.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The term “Affiliate” shall mean the Company and any entity controlling, controlled by, or under common control with the Company.</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left="-8" w:firstLine="8"/>
        <w:spacing w:after="0" w:line="257" w:lineRule="auto"/>
        <w:tabs>
          <w:tab w:leader="none" w:pos="424"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Conflicting Contracts</w:t>
      </w:r>
      <w:r>
        <w:rPr>
          <w:rFonts w:ascii="Arial" w:cs="Arial" w:eastAsia="Arial" w:hAnsi="Arial"/>
          <w:sz w:val="19"/>
          <w:szCs w:val="19"/>
          <w:color w:val="auto"/>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sectPr>
          <w:pgSz w:w="11900" w:h="16838" w:orient="portrait"/>
          <w:cols w:equalWidth="0" w:num="1">
            <w:col w:w="11232"/>
          </w:cols>
          <w:pgMar w:left="328" w:top="1440" w:right="339" w:bottom="1440" w:gutter="0" w:footer="0" w:header="0"/>
        </w:sectPr>
      </w:pPr>
    </w:p>
    <w:bookmarkStart w:id="138" w:name="page139"/>
    <w:bookmarkEnd w:id="138"/>
    <w:p>
      <w:pPr>
        <w:spacing w:after="0" w:line="200" w:lineRule="exact"/>
        <w:rPr>
          <w:sz w:val="20"/>
          <w:szCs w:val="20"/>
          <w:color w:val="auto"/>
        </w:rPr>
      </w:pPr>
    </w:p>
    <w:p>
      <w:pPr>
        <w:spacing w:after="0" w:line="287" w:lineRule="exact"/>
        <w:rPr>
          <w:sz w:val="20"/>
          <w:szCs w:val="20"/>
          <w:color w:val="auto"/>
        </w:rPr>
      </w:pPr>
    </w:p>
    <w:p>
      <w:pPr>
        <w:ind w:left="492" w:hanging="492"/>
        <w:spacing w:after="0"/>
        <w:tabs>
          <w:tab w:leader="none" w:pos="492"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Solicitation</w:t>
      </w:r>
      <w:r>
        <w:rPr>
          <w:rFonts w:ascii="Arial" w:cs="Arial" w:eastAsia="Arial" w:hAnsi="Arial"/>
          <w:sz w:val="22"/>
          <w:szCs w:val="22"/>
          <w:color w:val="auto"/>
        </w:rPr>
        <w:t>. After you cease to be employed by the Company (or a Company affiliate):</w:t>
      </w:r>
    </w:p>
    <w:p>
      <w:pPr>
        <w:spacing w:after="0" w:line="233" w:lineRule="exact"/>
        <w:rPr>
          <w:sz w:val="20"/>
          <w:szCs w:val="20"/>
          <w:color w:val="auto"/>
        </w:rPr>
      </w:pPr>
    </w:p>
    <w:p>
      <w:pPr>
        <w:jc w:val="both"/>
        <w:ind w:left="-8" w:firstLine="8"/>
        <w:spacing w:after="0" w:line="249" w:lineRule="auto"/>
        <w:tabs>
          <w:tab w:leader="none" w:pos="462" w:val="left"/>
        </w:tabs>
        <w:numPr>
          <w:ilvl w:val="0"/>
          <w:numId w:val="75"/>
        </w:numPr>
        <w:rPr>
          <w:rFonts w:ascii="Arial" w:cs="Arial" w:eastAsia="Arial" w:hAnsi="Arial"/>
          <w:sz w:val="19"/>
          <w:szCs w:val="19"/>
          <w:color w:val="auto"/>
        </w:rPr>
      </w:pPr>
      <w:r>
        <w:rPr>
          <w:rFonts w:ascii="Arial" w:cs="Arial" w:eastAsia="Arial" w:hAnsi="Arial"/>
          <w:sz w:val="19"/>
          <w:szCs w:val="19"/>
          <w:color w:val="auto"/>
        </w:rPr>
        <w:t>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w:t>
      </w:r>
    </w:p>
    <w:p>
      <w:pPr>
        <w:spacing w:after="0" w:line="178" w:lineRule="exact"/>
        <w:rPr>
          <w:rFonts w:ascii="Arial" w:cs="Arial" w:eastAsia="Arial" w:hAnsi="Arial"/>
          <w:sz w:val="19"/>
          <w:szCs w:val="19"/>
          <w:color w:val="auto"/>
        </w:rPr>
      </w:pPr>
    </w:p>
    <w:p>
      <w:pPr>
        <w:ind w:left="-8" w:firstLine="8"/>
        <w:spacing w:after="0" w:line="232" w:lineRule="auto"/>
        <w:tabs>
          <w:tab w:leader="none" w:pos="518" w:val="left"/>
        </w:tabs>
        <w:numPr>
          <w:ilvl w:val="0"/>
          <w:numId w:val="75"/>
        </w:numPr>
        <w:rPr>
          <w:rFonts w:ascii="Arial" w:cs="Arial" w:eastAsia="Arial" w:hAnsi="Arial"/>
          <w:sz w:val="22"/>
          <w:szCs w:val="22"/>
          <w:color w:val="auto"/>
        </w:rPr>
      </w:pPr>
      <w:r>
        <w:rPr>
          <w:rFonts w:ascii="Arial" w:cs="Arial" w:eastAsia="Arial" w:hAnsi="Arial"/>
          <w:sz w:val="22"/>
          <w:szCs w:val="22"/>
          <w:color w:val="auto"/>
        </w:rPr>
        <w:t>You agree not to solicit, recruit, hire, or assist in the hiring of any employee of the Company to work for you or another person, firm, corporation, or business.</w:t>
      </w:r>
    </w:p>
    <w:p>
      <w:pPr>
        <w:spacing w:after="0" w:line="186" w:lineRule="exact"/>
        <w:rPr>
          <w:sz w:val="20"/>
          <w:szCs w:val="20"/>
          <w:color w:val="auto"/>
        </w:rPr>
      </w:pPr>
    </w:p>
    <w:p>
      <w:pPr>
        <w:jc w:val="both"/>
        <w:ind w:left="-8" w:firstLine="8"/>
        <w:spacing w:after="0" w:line="218" w:lineRule="auto"/>
        <w:tabs>
          <w:tab w:leader="none" w:pos="483"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Return of Documents</w:t>
      </w:r>
      <w:r>
        <w:rPr>
          <w:rFonts w:ascii="Arial" w:cs="Arial" w:eastAsia="Arial" w:hAnsi="Arial"/>
          <w:sz w:val="22"/>
          <w:szCs w:val="22"/>
          <w:color w:val="auto"/>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spacing w:after="0" w:line="187" w:lineRule="exact"/>
        <w:rPr>
          <w:rFonts w:ascii="Arial" w:cs="Arial" w:eastAsia="Arial" w:hAnsi="Arial"/>
          <w:sz w:val="22"/>
          <w:szCs w:val="22"/>
          <w:color w:val="auto"/>
        </w:rPr>
      </w:pPr>
    </w:p>
    <w:p>
      <w:pPr>
        <w:jc w:val="both"/>
        <w:ind w:left="-8" w:firstLine="8"/>
        <w:spacing w:after="0" w:line="212" w:lineRule="auto"/>
        <w:tabs>
          <w:tab w:leader="none" w:pos="505"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spacing w:after="0" w:line="190" w:lineRule="exact"/>
        <w:rPr>
          <w:rFonts w:ascii="Arial" w:cs="Arial" w:eastAsia="Arial" w:hAnsi="Arial"/>
          <w:sz w:val="22"/>
          <w:szCs w:val="22"/>
          <w:color w:val="auto"/>
        </w:rPr>
      </w:pPr>
    </w:p>
    <w:p>
      <w:pPr>
        <w:jc w:val="both"/>
        <w:ind w:left="-8" w:firstLine="8"/>
        <w:spacing w:after="0" w:line="239" w:lineRule="auto"/>
        <w:tabs>
          <w:tab w:leader="none" w:pos="491"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Best Efforts and Conflicts of Interest</w:t>
      </w:r>
      <w:r>
        <w:rPr>
          <w:rFonts w:ascii="Arial" w:cs="Arial" w:eastAsia="Arial" w:hAnsi="Arial"/>
          <w:sz w:val="19"/>
          <w:szCs w:val="19"/>
          <w:color w:val="auto"/>
        </w:rPr>
        <w:t>: You are hired with the understanding that Cumberland is your sole employer and you will provide a full-time work effort. You agree to devote your entire professional and business-related time and best efforts t\o the services required of you by the express and implicit terms of this Agreement, to the reasonable satisfaction of Cumberland in its sole and complete discretion. Engaging in activities outside of work that create a conflict of interest, or detract from your ability to perform your assigned 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pacing w:after="0" w:line="5" w:lineRule="exact"/>
        <w:rPr>
          <w:rFonts w:ascii="Arial" w:cs="Arial" w:eastAsia="Arial" w:hAnsi="Arial"/>
          <w:sz w:val="19"/>
          <w:szCs w:val="19"/>
          <w:color w:val="auto"/>
        </w:rPr>
      </w:pPr>
    </w:p>
    <w:p>
      <w:pPr>
        <w:jc w:val="both"/>
        <w:ind w:left="-8" w:firstLine="8"/>
        <w:spacing w:after="0" w:line="258" w:lineRule="auto"/>
        <w:tabs>
          <w:tab w:leader="none" w:pos="333" w:val="left"/>
        </w:tabs>
        <w:numPr>
          <w:ilvl w:val="0"/>
          <w:numId w:val="76"/>
        </w:numPr>
        <w:rPr>
          <w:rFonts w:ascii="Arial" w:cs="Arial" w:eastAsia="Arial" w:hAnsi="Arial"/>
          <w:sz w:val="19"/>
          <w:szCs w:val="19"/>
          <w:color w:val="auto"/>
        </w:rPr>
      </w:pPr>
      <w:r>
        <w:rPr>
          <w:rFonts w:ascii="Arial" w:cs="Arial" w:eastAsia="Arial" w:hAnsi="Arial"/>
          <w:sz w:val="19"/>
          <w:szCs w:val="19"/>
          <w:color w:val="auto"/>
        </w:rPr>
        <w:t>Standards of Business Conduct and Ethics. Cumberland’s commitment to a culture of integrity, ethics and compliance with the law is comprised in this policy, which will be provided to you as part of the conditions of your employment. You will have the opportunity to read, discuss and understand this policy prior to accepting and signing its Letter of Agreement.</w:t>
      </w:r>
    </w:p>
    <w:p>
      <w:pPr>
        <w:sectPr>
          <w:pgSz w:w="11900" w:h="16838" w:orient="portrait"/>
          <w:cols w:equalWidth="0" w:num="1">
            <w:col w:w="11232"/>
          </w:cols>
          <w:pgMar w:left="328" w:top="1440" w:right="339" w:bottom="1440" w:gutter="0" w:footer="0" w:header="0"/>
        </w:sectPr>
      </w:pPr>
    </w:p>
    <w:bookmarkStart w:id="139" w:name="page140"/>
    <w:bookmarkEnd w:id="139"/>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firstLine="8"/>
        <w:spacing w:after="0" w:line="301" w:lineRule="auto"/>
        <w:tabs>
          <w:tab w:leader="none" w:pos="486"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Debarment</w:t>
      </w:r>
      <w:r>
        <w:rPr>
          <w:rFonts w:ascii="Arial" w:cs="Arial" w:eastAsia="Arial" w:hAnsi="Arial"/>
          <w:sz w:val="21"/>
          <w:szCs w:val="21"/>
          <w:color w:val="auto"/>
        </w:rPr>
        <w:t>. You represent and warrant that you have not been debarred and will notify the Company immediately if you are debarred, pursuant to subsection 306(a) or 306(b) of the Federal Food, Drug, and Cosmetic Act.</w:t>
      </w:r>
    </w:p>
    <w:p>
      <w:pPr>
        <w:spacing w:after="0" w:line="163" w:lineRule="exact"/>
        <w:rPr>
          <w:rFonts w:ascii="Arial" w:cs="Arial" w:eastAsia="Arial" w:hAnsi="Arial"/>
          <w:sz w:val="21"/>
          <w:szCs w:val="21"/>
          <w:color w:val="auto"/>
        </w:rPr>
      </w:pPr>
    </w:p>
    <w:p>
      <w:pPr>
        <w:ind w:firstLine="8"/>
        <w:spacing w:after="0" w:line="287" w:lineRule="auto"/>
        <w:tabs>
          <w:tab w:leader="none" w:pos="540"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Any notice required or permitted to be given under this Agreement shall be sufficient if in writing and if sent by registered or certified mail to your residence or to the Company’s principal office in the case of the Company.</w:t>
      </w:r>
    </w:p>
    <w:p>
      <w:pPr>
        <w:spacing w:after="0" w:line="151" w:lineRule="exact"/>
        <w:rPr>
          <w:sz w:val="20"/>
          <w:szCs w:val="20"/>
          <w:color w:val="auto"/>
        </w:rPr>
      </w:pPr>
    </w:p>
    <w:p>
      <w:pPr>
        <w:ind w:firstLine="8"/>
        <w:spacing w:after="0" w:line="232" w:lineRule="auto"/>
        <w:tabs>
          <w:tab w:leader="none" w:pos="459"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The waiver by either party of any provision of this Agreement shall not operate or be construed as a waiver of any subsequent breach.</w:t>
      </w:r>
    </w:p>
    <w:p>
      <w:pPr>
        <w:spacing w:after="0" w:line="186" w:lineRule="exact"/>
        <w:rPr>
          <w:sz w:val="20"/>
          <w:szCs w:val="20"/>
          <w:color w:val="auto"/>
        </w:rPr>
      </w:pPr>
    </w:p>
    <w:p>
      <w:pPr>
        <w:jc w:val="both"/>
        <w:ind w:firstLine="8"/>
        <w:spacing w:after="0" w:line="223" w:lineRule="auto"/>
        <w:tabs>
          <w:tab w:leader="none" w:pos="499"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contains the entire agreement of the parties and may not be changed orally, but only by an agreement in writing signed by the party against whom enforcement of any waiver, change, modification, extension, or discharge is sought.</w:t>
      </w:r>
    </w:p>
    <w:p>
      <w:pPr>
        <w:spacing w:after="0" w:line="185" w:lineRule="exact"/>
        <w:rPr>
          <w:rFonts w:ascii="Arial" w:cs="Arial" w:eastAsia="Arial" w:hAnsi="Arial"/>
          <w:sz w:val="22"/>
          <w:szCs w:val="22"/>
          <w:color w:val="auto"/>
        </w:rPr>
      </w:pPr>
    </w:p>
    <w:p>
      <w:pPr>
        <w:jc w:val="both"/>
        <w:ind w:firstLine="8"/>
        <w:spacing w:after="0" w:line="223" w:lineRule="auto"/>
        <w:tabs>
          <w:tab w:leader="none" w:pos="594"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Governance</w:t>
      </w:r>
      <w:r>
        <w:rPr>
          <w:rFonts w:ascii="Arial" w:cs="Arial" w:eastAsia="Arial" w:hAnsi="Arial"/>
          <w:sz w:val="22"/>
          <w:szCs w:val="22"/>
          <w:color w:val="auto"/>
        </w:rPr>
        <w:t>. This Agreement shall be governed by the laws of the State of Tennessee. Any dispute arising out of this Agreement shall be resolved, at the Company’s sole option, by courts sitting in Nashville, Tennessee, and you waive any objection to such venue.</w:t>
      </w:r>
    </w:p>
    <w:p>
      <w:pPr>
        <w:spacing w:after="0" w:line="185" w:lineRule="exact"/>
        <w:rPr>
          <w:rFonts w:ascii="Arial" w:cs="Arial" w:eastAsia="Arial" w:hAnsi="Arial"/>
          <w:sz w:val="22"/>
          <w:szCs w:val="22"/>
          <w:color w:val="auto"/>
        </w:rPr>
      </w:pPr>
    </w:p>
    <w:p>
      <w:pPr>
        <w:jc w:val="both"/>
        <w:ind w:firstLine="8"/>
        <w:spacing w:after="0" w:line="223" w:lineRule="auto"/>
        <w:tabs>
          <w:tab w:leader="none" w:pos="621"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In the event that any provision of this Agreement shall be held by a court to be unenforceable, such provision will be enforced to the maximum extent permissible, and the remaining portions of this Agreement shall remain in full force and effect.</w:t>
      </w:r>
    </w:p>
    <w:p>
      <w:pPr>
        <w:spacing w:after="0" w:line="185" w:lineRule="exact"/>
        <w:rPr>
          <w:rFonts w:ascii="Arial" w:cs="Arial" w:eastAsia="Arial" w:hAnsi="Arial"/>
          <w:sz w:val="22"/>
          <w:szCs w:val="22"/>
          <w:color w:val="auto"/>
        </w:rPr>
      </w:pPr>
    </w:p>
    <w:p>
      <w:pPr>
        <w:ind w:firstLine="8"/>
        <w:spacing w:after="0" w:line="232" w:lineRule="auto"/>
        <w:tabs>
          <w:tab w:leader="none" w:pos="621"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Notwithstanding any termination of your employment, this Agreement shall survive and remain in effect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w:t>
      </w:r>
    </w:p>
    <w:p>
      <w:pPr>
        <w:ind w:firstLine="648"/>
        <w:spacing w:after="0" w:line="224" w:lineRule="auto"/>
        <w:rPr>
          <w:sz w:val="20"/>
          <w:szCs w:val="20"/>
          <w:color w:val="auto"/>
        </w:rPr>
      </w:pPr>
      <w:r>
        <w:rPr>
          <w:rFonts w:ascii="Arial" w:cs="Arial" w:eastAsia="Arial" w:hAnsi="Arial"/>
          <w:sz w:val="22"/>
          <w:szCs w:val="22"/>
          <w:color w:val="auto"/>
        </w:rPr>
        <w:t>This letter agreement may be signed in one or more counterparts, each of which shall be an original and all of which will constitute one and the same instrument.</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00" w:lineRule="exact"/>
        <w:rPr>
          <w:sz w:val="20"/>
          <w:szCs w:val="20"/>
          <w:color w:val="auto"/>
        </w:rPr>
      </w:pPr>
    </w:p>
    <w:p>
      <w:pPr>
        <w:spacing w:after="0" w:line="32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Sincerely yours,</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CUMBERLAND PHARMACEUTICALS INC.</w:t>
      </w:r>
    </w:p>
    <w:p>
      <w:pPr>
        <w:spacing w:after="0" w:line="29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14605</wp:posOffset>
            </wp:positionV>
            <wp:extent cx="27686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9" w:lineRule="exact"/>
        <w:rPr>
          <w:sz w:val="20"/>
          <w:szCs w:val="20"/>
          <w:color w:val="auto"/>
        </w:rPr>
      </w:pPr>
    </w:p>
    <w:p>
      <w:pPr>
        <w:ind w:left="6880"/>
        <w:spacing w:after="0"/>
        <w:tabs>
          <w:tab w:leader="none" w:pos="7420" w:val="left"/>
        </w:tabs>
        <w:rPr>
          <w:sz w:val="20"/>
          <w:szCs w:val="20"/>
          <w:color w:val="auto"/>
        </w:rPr>
      </w:pPr>
      <w:r>
        <w:rPr>
          <w:rFonts w:ascii="Arial" w:cs="Arial" w:eastAsia="Arial" w:hAnsi="Arial"/>
          <w:sz w:val="22"/>
          <w:szCs w:val="22"/>
          <w:color w:val="auto"/>
        </w:rPr>
        <w:t>By:</w:t>
        <w:tab/>
        <w:t>A.J. Kazimi</w:t>
      </w:r>
    </w:p>
    <w:p>
      <w:pPr>
        <w:spacing w:after="0" w:line="22"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Chief Executive</w:t>
      </w:r>
    </w:p>
    <w:p>
      <w:pPr>
        <w:ind w:left="74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Accepted as to all terms and conditions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as of the 7th of March, 2022:</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 John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44062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5">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John Hamm</w:t>
      </w:r>
    </w:p>
    <w:p>
      <w:pPr>
        <w:sectPr>
          <w:pgSz w:w="11900" w:h="16838" w:orient="portrait"/>
          <w:cols w:equalWidth="0" w:num="1">
            <w:col w:w="11040"/>
          </w:cols>
          <w:pgMar w:left="340" w:top="1440" w:right="519" w:bottom="1440" w:gutter="0" w:footer="0" w:header="0"/>
        </w:sectPr>
      </w:pPr>
    </w:p>
    <w:bookmarkStart w:id="141" w:name="page142"/>
    <w:bookmarkEnd w:id="141"/>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10.15</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March 7, 2022</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Mr. James Herman</w:t>
      </w:r>
    </w:p>
    <w:p>
      <w:pPr>
        <w:spacing w:after="0" w:line="204" w:lineRule="auto"/>
        <w:rPr>
          <w:sz w:val="20"/>
          <w:szCs w:val="20"/>
          <w:color w:val="auto"/>
        </w:rPr>
      </w:pPr>
      <w:r>
        <w:rPr>
          <w:rFonts w:ascii="Arial" w:cs="Arial" w:eastAsia="Arial" w:hAnsi="Arial"/>
          <w:sz w:val="22"/>
          <w:szCs w:val="22"/>
          <w:color w:val="auto"/>
        </w:rPr>
        <w:t>2525 West End Avenue, Suite 950</w:t>
      </w:r>
    </w:p>
    <w:p>
      <w:pPr>
        <w:spacing w:after="0" w:line="205" w:lineRule="auto"/>
        <w:rPr>
          <w:sz w:val="20"/>
          <w:szCs w:val="20"/>
          <w:color w:val="auto"/>
        </w:rPr>
      </w:pPr>
      <w:r>
        <w:rPr>
          <w:rFonts w:ascii="Arial" w:cs="Arial" w:eastAsia="Arial" w:hAnsi="Arial"/>
          <w:sz w:val="22"/>
          <w:szCs w:val="22"/>
          <w:color w:val="auto"/>
        </w:rPr>
        <w:t>Nashville, TN 37203</w:t>
      </w:r>
    </w:p>
    <w:p>
      <w:pPr>
        <w:spacing w:after="0" w:line="1" w:lineRule="exact"/>
        <w:rPr>
          <w:sz w:val="20"/>
          <w:szCs w:val="20"/>
          <w:color w:val="auto"/>
        </w:rPr>
      </w:pPr>
    </w:p>
    <w:p>
      <w:pPr>
        <w:jc w:val="both"/>
        <w:ind w:left="540" w:hanging="647"/>
        <w:spacing w:after="0" w:line="224" w:lineRule="auto"/>
        <w:tabs>
          <w:tab w:leader="none" w:pos="520" w:val="left"/>
        </w:tabs>
        <w:rPr>
          <w:sz w:val="20"/>
          <w:szCs w:val="20"/>
          <w:color w:val="auto"/>
        </w:rPr>
      </w:pPr>
      <w:r>
        <w:rPr>
          <w:rFonts w:ascii="Arial" w:cs="Arial" w:eastAsia="Arial" w:hAnsi="Arial"/>
          <w:sz w:val="22"/>
          <w:szCs w:val="22"/>
          <w:color w:val="auto"/>
        </w:rPr>
        <w:t>Re:</w:t>
        <w:tab/>
        <w:t>Employment of James Herman as Executive Vice President, National Accounts and Chief Compliance Officer Cumberland Pharmaceuticals Inc.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Dear Jim,</w:t>
      </w:r>
    </w:p>
    <w:p>
      <w:pPr>
        <w:spacing w:after="0" w:line="206"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Effective January 1, 2023, this letter agreement (the “Agreement”) will evidence the terms and conditions under which you will be employed by Cumberland Pharmaceuticals Inc. (the “Company”) In consideration of your appointment as Executive Vice President, National Accounts and Chief Compliance Officer of the Company, and other good and valuable consideration, the receipt and sufficiency of which is hereby acknowledged, the parties agree as follows:</w:t>
      </w:r>
    </w:p>
    <w:p>
      <w:pPr>
        <w:spacing w:after="0" w:line="185" w:lineRule="exact"/>
        <w:rPr>
          <w:sz w:val="20"/>
          <w:szCs w:val="20"/>
          <w:color w:val="auto"/>
        </w:rPr>
      </w:pPr>
    </w:p>
    <w:p>
      <w:pPr>
        <w:ind w:left="380" w:hanging="372"/>
        <w:spacing w:after="0"/>
        <w:tabs>
          <w:tab w:leader="none" w:pos="38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 xml:space="preserve"> The Company agrees to compensate you as follows:</w:t>
      </w:r>
    </w:p>
    <w:p>
      <w:pPr>
        <w:spacing w:after="0" w:line="206" w:lineRule="exact"/>
        <w:rPr>
          <w:sz w:val="20"/>
          <w:szCs w:val="20"/>
          <w:color w:val="auto"/>
        </w:rPr>
      </w:pPr>
    </w:p>
    <w:p>
      <w:pPr>
        <w:jc w:val="both"/>
        <w:ind w:firstLine="8"/>
        <w:spacing w:after="0" w:line="224" w:lineRule="auto"/>
        <w:tabs>
          <w:tab w:leader="none" w:pos="452"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Company agrees to pay you on a salary basis for services performed based on an annual rate of two hundred and ninety-two thousand dollars ($292,000.00), payable in arrears in equal monthly installments on the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day of each calendar month of 2022.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w:t>
      </w:r>
    </w:p>
    <w:p>
      <w:pPr>
        <w:spacing w:after="0" w:line="186" w:lineRule="exact"/>
        <w:rPr>
          <w:rFonts w:ascii="Arial" w:cs="Arial" w:eastAsia="Arial" w:hAnsi="Arial"/>
          <w:sz w:val="20"/>
          <w:szCs w:val="20"/>
          <w:color w:val="auto"/>
        </w:rPr>
      </w:pPr>
    </w:p>
    <w:p>
      <w:pPr>
        <w:jc w:val="both"/>
        <w:ind w:firstLine="8"/>
        <w:spacing w:after="0" w:line="223" w:lineRule="auto"/>
        <w:tabs>
          <w:tab w:leader="none" w:pos="546" w:val="left"/>
        </w:tabs>
        <w:numPr>
          <w:ilvl w:val="0"/>
          <w:numId w:val="81"/>
        </w:numPr>
        <w:rPr>
          <w:rFonts w:ascii="Arial" w:cs="Arial" w:eastAsia="Arial" w:hAnsi="Arial"/>
          <w:sz w:val="22"/>
          <w:szCs w:val="22"/>
          <w:color w:val="auto"/>
        </w:rPr>
      </w:pPr>
      <w:r>
        <w:rPr>
          <w:rFonts w:ascii="Arial" w:cs="Arial" w:eastAsia="Arial" w:hAnsi="Arial"/>
          <w:sz w:val="22"/>
          <w:szCs w:val="22"/>
          <w:color w:val="auto"/>
        </w:rPr>
        <w:t>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spacing w:after="0" w:line="185" w:lineRule="exact"/>
        <w:rPr>
          <w:rFonts w:ascii="Arial" w:cs="Arial" w:eastAsia="Arial" w:hAnsi="Arial"/>
          <w:sz w:val="22"/>
          <w:szCs w:val="22"/>
          <w:color w:val="auto"/>
        </w:rPr>
      </w:pPr>
    </w:p>
    <w:p>
      <w:pPr>
        <w:jc w:val="both"/>
        <w:ind w:firstLine="8"/>
        <w:spacing w:after="0" w:line="229" w:lineRule="auto"/>
        <w:tabs>
          <w:tab w:leader="none" w:pos="494" w:val="left"/>
        </w:tabs>
        <w:numPr>
          <w:ilvl w:val="0"/>
          <w:numId w:val="81"/>
        </w:numPr>
        <w:rPr>
          <w:rFonts w:ascii="Arial" w:cs="Arial" w:eastAsia="Arial" w:hAnsi="Arial"/>
          <w:sz w:val="21"/>
          <w:szCs w:val="21"/>
          <w:color w:val="auto"/>
        </w:rPr>
      </w:pPr>
      <w:r>
        <w:rPr>
          <w:rFonts w:ascii="Arial" w:cs="Arial" w:eastAsia="Arial" w:hAnsi="Arial"/>
          <w:sz w:val="21"/>
          <w:szCs w:val="21"/>
          <w:color w:val="auto"/>
        </w:rPr>
        <w:t>You may be eligible for any Company bonus program, based upon performance in meeting your individual objectives and the Company’s overall performance, both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w:t>
      </w:r>
    </w:p>
    <w:p>
      <w:pPr>
        <w:spacing w:after="0" w:line="185" w:lineRule="exact"/>
        <w:rPr>
          <w:rFonts w:ascii="Arial" w:cs="Arial" w:eastAsia="Arial" w:hAnsi="Arial"/>
          <w:sz w:val="21"/>
          <w:szCs w:val="21"/>
          <w:color w:val="auto"/>
        </w:rPr>
      </w:pPr>
    </w:p>
    <w:p>
      <w:pPr>
        <w:jc w:val="both"/>
        <w:ind w:firstLine="8"/>
        <w:spacing w:after="0" w:line="229" w:lineRule="auto"/>
        <w:tabs>
          <w:tab w:leader="none" w:pos="462" w:val="left"/>
        </w:tabs>
        <w:numPr>
          <w:ilvl w:val="0"/>
          <w:numId w:val="81"/>
        </w:numPr>
        <w:rPr>
          <w:rFonts w:ascii="Arial" w:cs="Arial" w:eastAsia="Arial" w:hAnsi="Arial"/>
          <w:sz w:val="21"/>
          <w:szCs w:val="21"/>
          <w:color w:val="auto"/>
        </w:rPr>
      </w:pPr>
      <w:r>
        <w:rPr>
          <w:rFonts w:ascii="Arial" w:cs="Arial" w:eastAsia="Arial" w:hAnsi="Arial"/>
          <w:sz w:val="21"/>
          <w:szCs w:val="21"/>
          <w:color w:val="auto"/>
        </w:rPr>
        <w:t>You will receive a grant of Cumberland Pharmaceuticals common stock, pursuant to a stock options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 w:right="20" w:firstLine="8"/>
        <w:spacing w:after="0" w:line="232" w:lineRule="auto"/>
        <w:tabs>
          <w:tab w:leader="none" w:pos="468" w:val="left"/>
        </w:tabs>
        <w:numPr>
          <w:ilvl w:val="0"/>
          <w:numId w:val="82"/>
        </w:numPr>
        <w:rPr>
          <w:rFonts w:ascii="Arial" w:cs="Arial" w:eastAsia="Arial" w:hAnsi="Arial"/>
          <w:sz w:val="22"/>
          <w:szCs w:val="22"/>
          <w:color w:val="auto"/>
        </w:rPr>
      </w:pPr>
      <w:r>
        <w:rPr>
          <w:rFonts w:ascii="Arial" w:cs="Arial" w:eastAsia="Arial" w:hAnsi="Arial"/>
          <w:sz w:val="22"/>
          <w:szCs w:val="22"/>
          <w:color w:val="auto"/>
        </w:rPr>
        <w:t>Except as set forth in Section 2, the Company shall not be liable to you for any expense incurred by you unless you receive the Company's prior written consent to reimburse you for such expense.</w:t>
      </w:r>
    </w:p>
    <w:p>
      <w:pPr>
        <w:spacing w:after="0" w:line="185" w:lineRule="exact"/>
        <w:rPr>
          <w:rFonts w:ascii="Arial" w:cs="Arial" w:eastAsia="Arial" w:hAnsi="Arial"/>
          <w:sz w:val="22"/>
          <w:szCs w:val="22"/>
          <w:color w:val="auto"/>
        </w:rPr>
      </w:pPr>
    </w:p>
    <w:p>
      <w:pPr>
        <w:jc w:val="both"/>
        <w:ind w:left="-8" w:firstLine="89"/>
        <w:spacing w:after="0" w:line="216" w:lineRule="auto"/>
        <w:tabs>
          <w:tab w:leader="none" w:pos="721" w:val="left"/>
        </w:tabs>
        <w:numPr>
          <w:ilvl w:val="1"/>
          <w:numId w:val="82"/>
        </w:numPr>
        <w:rPr>
          <w:rFonts w:ascii="Arial" w:cs="Arial" w:eastAsia="Arial" w:hAnsi="Arial"/>
          <w:sz w:val="22"/>
          <w:szCs w:val="22"/>
          <w:color w:val="auto"/>
        </w:rPr>
      </w:pPr>
      <w:r>
        <w:rPr>
          <w:rFonts w:ascii="Arial" w:cs="Arial" w:eastAsia="Arial" w:hAnsi="Arial"/>
          <w:sz w:val="22"/>
          <w:szCs w:val="22"/>
          <w:u w:val="single" w:color="auto"/>
          <w:color w:val="auto"/>
        </w:rPr>
        <w:t>Additional Payments</w:t>
      </w:r>
      <w:r>
        <w:rPr>
          <w:rFonts w:ascii="Arial" w:cs="Arial" w:eastAsia="Arial" w:hAnsi="Arial"/>
          <w:sz w:val="22"/>
          <w:szCs w:val="22"/>
          <w:color w:val="auto"/>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spacing w:after="0" w:line="185" w:lineRule="exact"/>
        <w:rPr>
          <w:sz w:val="20"/>
          <w:szCs w:val="20"/>
          <w:color w:val="auto"/>
        </w:rPr>
      </w:pPr>
    </w:p>
    <w:p>
      <w:pPr>
        <w:jc w:val="both"/>
        <w:ind w:left="-8" w:firstLine="8"/>
        <w:spacing w:after="0" w:line="229" w:lineRule="auto"/>
        <w:tabs>
          <w:tab w:leader="none" w:pos="383"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Employment at Will</w:t>
      </w:r>
      <w:r>
        <w:rPr>
          <w:rFonts w:ascii="Arial" w:cs="Arial" w:eastAsia="Arial" w:hAnsi="Arial"/>
          <w:sz w:val="21"/>
          <w:szCs w:val="21"/>
          <w:color w:val="auto"/>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spacing w:after="0" w:line="185" w:lineRule="exact"/>
        <w:rPr>
          <w:rFonts w:ascii="Arial" w:cs="Arial" w:eastAsia="Arial" w:hAnsi="Arial"/>
          <w:sz w:val="21"/>
          <w:szCs w:val="21"/>
          <w:color w:val="auto"/>
        </w:rPr>
      </w:pPr>
    </w:p>
    <w:p>
      <w:pPr>
        <w:jc w:val="both"/>
        <w:ind w:left="-8" w:firstLine="8"/>
        <w:spacing w:after="0" w:line="244" w:lineRule="auto"/>
        <w:tabs>
          <w:tab w:leader="none" w:pos="437"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under circumstances in which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spacing w:after="0" w:line="187" w:lineRule="exact"/>
        <w:rPr>
          <w:rFonts w:ascii="Arial" w:cs="Arial" w:eastAsia="Arial" w:hAnsi="Arial"/>
          <w:sz w:val="19"/>
          <w:szCs w:val="19"/>
          <w:color w:val="auto"/>
        </w:rPr>
      </w:pPr>
    </w:p>
    <w:p>
      <w:pPr>
        <w:jc w:val="both"/>
        <w:ind w:left="-8" w:firstLine="8"/>
        <w:spacing w:after="0" w:line="219" w:lineRule="auto"/>
        <w:tabs>
          <w:tab w:leader="none" w:pos="410"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Discoveries and Improvements</w:t>
      </w:r>
      <w:r>
        <w:rPr>
          <w:rFonts w:ascii="Arial" w:cs="Arial" w:eastAsia="Arial" w:hAnsi="Arial"/>
          <w:sz w:val="21"/>
          <w:szCs w:val="21"/>
          <w:color w:val="auto"/>
        </w:rPr>
        <w:t>.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sectPr>
          <w:pgSz w:w="11900" w:h="16838" w:orient="portrait"/>
          <w:cols w:equalWidth="0" w:num="1">
            <w:col w:w="11232"/>
          </w:cols>
          <w:pgMar w:left="328" w:top="1440" w:right="339" w:bottom="1440" w:gutter="0" w:footer="0" w:header="0"/>
        </w:sectPr>
      </w:pPr>
    </w:p>
    <w:bookmarkStart w:id="143" w:name="page144"/>
    <w:bookmarkEnd w:id="143"/>
    <w:p>
      <w:pPr>
        <w:spacing w:after="0" w:line="200" w:lineRule="exact"/>
        <w:rPr>
          <w:sz w:val="20"/>
          <w:szCs w:val="20"/>
          <w:color w:val="auto"/>
        </w:rPr>
      </w:pPr>
    </w:p>
    <w:p>
      <w:pPr>
        <w:spacing w:after="0" w:line="260" w:lineRule="exact"/>
        <w:rPr>
          <w:sz w:val="20"/>
          <w:szCs w:val="20"/>
          <w:color w:val="auto"/>
        </w:rPr>
      </w:pPr>
    </w:p>
    <w:p>
      <w:pPr>
        <w:jc w:val="both"/>
        <w:ind w:left="-8" w:firstLine="8"/>
        <w:spacing w:after="0" w:line="252" w:lineRule="auto"/>
        <w:tabs>
          <w:tab w:leader="none" w:pos="383"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Publication</w:t>
      </w:r>
      <w:r>
        <w:rPr>
          <w:rFonts w:ascii="Arial" w:cs="Arial" w:eastAsia="Arial" w:hAnsi="Arial"/>
          <w:sz w:val="19"/>
          <w:szCs w:val="19"/>
          <w:color w:val="auto"/>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spacing w:after="0" w:line="175" w:lineRule="exact"/>
        <w:rPr>
          <w:rFonts w:ascii="Arial" w:cs="Arial" w:eastAsia="Arial" w:hAnsi="Arial"/>
          <w:sz w:val="19"/>
          <w:szCs w:val="19"/>
          <w:color w:val="auto"/>
        </w:rPr>
      </w:pPr>
    </w:p>
    <w:p>
      <w:pPr>
        <w:jc w:val="both"/>
        <w:ind w:left="-8" w:firstLine="8"/>
        <w:spacing w:after="0" w:line="218" w:lineRule="auto"/>
        <w:tabs>
          <w:tab w:leader="none" w:pos="37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Litigation</w:t>
      </w:r>
      <w:r>
        <w:rPr>
          <w:rFonts w:ascii="Arial" w:cs="Arial" w:eastAsia="Arial" w:hAnsi="Arial"/>
          <w:sz w:val="22"/>
          <w:szCs w:val="22"/>
          <w:color w:val="auto"/>
        </w:rPr>
        <w:t>. You shall notify the Company within three business days if no longer employed and immediately if still employed by the Company if you are contacted by any person 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spacing w:after="0" w:line="187" w:lineRule="exact"/>
        <w:rPr>
          <w:rFonts w:ascii="Arial" w:cs="Arial" w:eastAsia="Arial" w:hAnsi="Arial"/>
          <w:sz w:val="22"/>
          <w:szCs w:val="22"/>
          <w:color w:val="auto"/>
        </w:rPr>
      </w:pPr>
    </w:p>
    <w:p>
      <w:pPr>
        <w:jc w:val="both"/>
        <w:ind w:left="-8" w:firstLine="8"/>
        <w:spacing w:after="0"/>
        <w:tabs>
          <w:tab w:leader="none" w:pos="410"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Competition</w:t>
      </w:r>
      <w:r>
        <w:rPr>
          <w:rFonts w:ascii="Arial" w:cs="Arial" w:eastAsia="Arial" w:hAnsi="Arial"/>
          <w:sz w:val="19"/>
          <w:szCs w:val="19"/>
          <w:color w:val="auto"/>
        </w:rPr>
        <w:t>.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The term “Affiliate” shall mean the Company and any entity controlling, controlled by, or under common control with the Company.</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left="-8" w:firstLine="8"/>
        <w:spacing w:after="0" w:line="257" w:lineRule="auto"/>
        <w:tabs>
          <w:tab w:leader="none" w:pos="424"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Conflicting Contracts</w:t>
      </w:r>
      <w:r>
        <w:rPr>
          <w:rFonts w:ascii="Arial" w:cs="Arial" w:eastAsia="Arial" w:hAnsi="Arial"/>
          <w:sz w:val="19"/>
          <w:szCs w:val="19"/>
          <w:color w:val="auto"/>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sectPr>
          <w:pgSz w:w="11900" w:h="16838" w:orient="portrait"/>
          <w:cols w:equalWidth="0" w:num="1">
            <w:col w:w="11232"/>
          </w:cols>
          <w:pgMar w:left="328" w:top="1440" w:right="339" w:bottom="1440" w:gutter="0" w:footer="0" w:header="0"/>
        </w:sectPr>
      </w:pPr>
    </w:p>
    <w:bookmarkStart w:id="144" w:name="page145"/>
    <w:bookmarkEnd w:id="144"/>
    <w:p>
      <w:pPr>
        <w:spacing w:after="0" w:line="200" w:lineRule="exact"/>
        <w:rPr>
          <w:sz w:val="20"/>
          <w:szCs w:val="20"/>
          <w:color w:val="auto"/>
        </w:rPr>
      </w:pPr>
    </w:p>
    <w:p>
      <w:pPr>
        <w:spacing w:after="0" w:line="260" w:lineRule="exact"/>
        <w:rPr>
          <w:sz w:val="20"/>
          <w:szCs w:val="20"/>
          <w:color w:val="auto"/>
        </w:rPr>
      </w:pPr>
    </w:p>
    <w:p>
      <w:pPr>
        <w:ind w:left="492" w:hanging="492"/>
        <w:spacing w:after="0"/>
        <w:tabs>
          <w:tab w:leader="none" w:pos="492"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Solicitation</w:t>
      </w:r>
      <w:r>
        <w:rPr>
          <w:rFonts w:ascii="Arial" w:cs="Arial" w:eastAsia="Arial" w:hAnsi="Arial"/>
          <w:sz w:val="22"/>
          <w:szCs w:val="22"/>
          <w:color w:val="auto"/>
        </w:rPr>
        <w:t>. After you cease to be employed by the Company (or a Company affiliate):</w:t>
      </w:r>
    </w:p>
    <w:p>
      <w:pPr>
        <w:spacing w:after="0" w:line="206" w:lineRule="exact"/>
        <w:rPr>
          <w:sz w:val="20"/>
          <w:szCs w:val="20"/>
          <w:color w:val="auto"/>
        </w:rPr>
      </w:pPr>
    </w:p>
    <w:p>
      <w:pPr>
        <w:jc w:val="both"/>
        <w:ind w:left="-8" w:firstLine="8"/>
        <w:spacing w:after="0" w:line="249" w:lineRule="auto"/>
        <w:tabs>
          <w:tab w:leader="none" w:pos="462" w:val="left"/>
        </w:tabs>
        <w:numPr>
          <w:ilvl w:val="0"/>
          <w:numId w:val="86"/>
        </w:numPr>
        <w:rPr>
          <w:rFonts w:ascii="Arial" w:cs="Arial" w:eastAsia="Arial" w:hAnsi="Arial"/>
          <w:sz w:val="19"/>
          <w:szCs w:val="19"/>
          <w:color w:val="auto"/>
        </w:rPr>
      </w:pPr>
      <w:r>
        <w:rPr>
          <w:rFonts w:ascii="Arial" w:cs="Arial" w:eastAsia="Arial" w:hAnsi="Arial"/>
          <w:sz w:val="19"/>
          <w:szCs w:val="19"/>
          <w:color w:val="auto"/>
        </w:rPr>
        <w:t>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w:t>
      </w:r>
    </w:p>
    <w:p>
      <w:pPr>
        <w:spacing w:after="0" w:line="178" w:lineRule="exact"/>
        <w:rPr>
          <w:rFonts w:ascii="Arial" w:cs="Arial" w:eastAsia="Arial" w:hAnsi="Arial"/>
          <w:sz w:val="19"/>
          <w:szCs w:val="19"/>
          <w:color w:val="auto"/>
        </w:rPr>
      </w:pPr>
    </w:p>
    <w:p>
      <w:pPr>
        <w:ind w:left="-8" w:firstLine="8"/>
        <w:spacing w:after="0" w:line="232" w:lineRule="auto"/>
        <w:tabs>
          <w:tab w:leader="none" w:pos="518" w:val="left"/>
        </w:tabs>
        <w:numPr>
          <w:ilvl w:val="0"/>
          <w:numId w:val="86"/>
        </w:numPr>
        <w:rPr>
          <w:rFonts w:ascii="Arial" w:cs="Arial" w:eastAsia="Arial" w:hAnsi="Arial"/>
          <w:sz w:val="22"/>
          <w:szCs w:val="22"/>
          <w:color w:val="auto"/>
        </w:rPr>
      </w:pPr>
      <w:r>
        <w:rPr>
          <w:rFonts w:ascii="Arial" w:cs="Arial" w:eastAsia="Arial" w:hAnsi="Arial"/>
          <w:sz w:val="22"/>
          <w:szCs w:val="22"/>
          <w:color w:val="auto"/>
        </w:rPr>
        <w:t>You agree not to solicit, recruit, hire, or assist in the hiring of any employee of the Company to work for you or another person, firm, corporation, or business.</w:t>
      </w:r>
    </w:p>
    <w:p>
      <w:pPr>
        <w:spacing w:after="0" w:line="186" w:lineRule="exact"/>
        <w:rPr>
          <w:sz w:val="20"/>
          <w:szCs w:val="20"/>
          <w:color w:val="auto"/>
        </w:rPr>
      </w:pPr>
    </w:p>
    <w:p>
      <w:pPr>
        <w:jc w:val="both"/>
        <w:ind w:left="-8" w:firstLine="8"/>
        <w:spacing w:after="0" w:line="218" w:lineRule="auto"/>
        <w:tabs>
          <w:tab w:leader="none" w:pos="483"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Return of Documents</w:t>
      </w:r>
      <w:r>
        <w:rPr>
          <w:rFonts w:ascii="Arial" w:cs="Arial" w:eastAsia="Arial" w:hAnsi="Arial"/>
          <w:sz w:val="22"/>
          <w:szCs w:val="22"/>
          <w:color w:val="auto"/>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spacing w:after="0" w:line="187" w:lineRule="exact"/>
        <w:rPr>
          <w:rFonts w:ascii="Arial" w:cs="Arial" w:eastAsia="Arial" w:hAnsi="Arial"/>
          <w:sz w:val="22"/>
          <w:szCs w:val="22"/>
          <w:color w:val="auto"/>
        </w:rPr>
      </w:pPr>
    </w:p>
    <w:p>
      <w:pPr>
        <w:jc w:val="both"/>
        <w:ind w:left="-8" w:firstLine="8"/>
        <w:spacing w:after="0" w:line="212" w:lineRule="auto"/>
        <w:tabs>
          <w:tab w:leader="none" w:pos="505"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spacing w:after="0" w:line="190" w:lineRule="exact"/>
        <w:rPr>
          <w:rFonts w:ascii="Arial" w:cs="Arial" w:eastAsia="Arial" w:hAnsi="Arial"/>
          <w:sz w:val="22"/>
          <w:szCs w:val="22"/>
          <w:color w:val="auto"/>
        </w:rPr>
      </w:pPr>
    </w:p>
    <w:p>
      <w:pPr>
        <w:jc w:val="both"/>
        <w:ind w:left="-8" w:firstLine="8"/>
        <w:spacing w:after="0" w:line="239" w:lineRule="auto"/>
        <w:tabs>
          <w:tab w:leader="none" w:pos="491"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Best Efforts and Conflicts of Interest</w:t>
      </w:r>
      <w:r>
        <w:rPr>
          <w:rFonts w:ascii="Arial" w:cs="Arial" w:eastAsia="Arial" w:hAnsi="Arial"/>
          <w:sz w:val="19"/>
          <w:szCs w:val="19"/>
          <w:color w:val="auto"/>
        </w:rPr>
        <w:t>: You are hired with the understanding that Cumberland is your sole employer and you will provide a full-time work effort. You agree to devote your entire professional and business-related time and best efforts t\o the services required of you by the express and implicit terms of this Agreement, to the reasonable satisfaction of Cumberland in its sole and complete discretion. Engaging in activities outside of work that create a conflict of interest, or detract from your ability to perform your assigned 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pacing w:after="0" w:line="5" w:lineRule="exact"/>
        <w:rPr>
          <w:rFonts w:ascii="Arial" w:cs="Arial" w:eastAsia="Arial" w:hAnsi="Arial"/>
          <w:sz w:val="19"/>
          <w:szCs w:val="19"/>
          <w:color w:val="auto"/>
        </w:rPr>
      </w:pPr>
    </w:p>
    <w:p>
      <w:pPr>
        <w:jc w:val="both"/>
        <w:ind w:left="-8" w:firstLine="8"/>
        <w:spacing w:after="0" w:line="258" w:lineRule="auto"/>
        <w:tabs>
          <w:tab w:leader="none" w:pos="333" w:val="left"/>
        </w:tabs>
        <w:numPr>
          <w:ilvl w:val="0"/>
          <w:numId w:val="87"/>
        </w:numPr>
        <w:rPr>
          <w:rFonts w:ascii="Arial" w:cs="Arial" w:eastAsia="Arial" w:hAnsi="Arial"/>
          <w:sz w:val="19"/>
          <w:szCs w:val="19"/>
          <w:color w:val="auto"/>
        </w:rPr>
      </w:pPr>
      <w:r>
        <w:rPr>
          <w:rFonts w:ascii="Arial" w:cs="Arial" w:eastAsia="Arial" w:hAnsi="Arial"/>
          <w:sz w:val="19"/>
          <w:szCs w:val="19"/>
          <w:color w:val="auto"/>
        </w:rPr>
        <w:t>Standards of Business Conduct and Ethics. Cumberland’s commitment to a culture of integrity, ethics and compliance with the law is comprised in this policy, which will be provided to you as part of the conditions of your employment. You will have the opportunity to read, discuss and understand this policy prior to accepting and signing its Letter of Agreement.</w:t>
      </w:r>
    </w:p>
    <w:p>
      <w:pPr>
        <w:sectPr>
          <w:pgSz w:w="11900" w:h="16838" w:orient="portrait"/>
          <w:cols w:equalWidth="0" w:num="1">
            <w:col w:w="11232"/>
          </w:cols>
          <w:pgMar w:left="328" w:top="1440" w:right="339" w:bottom="1440" w:gutter="0" w:footer="0" w:header="0"/>
        </w:sectPr>
      </w:pPr>
    </w:p>
    <w:bookmarkStart w:id="145" w:name="page146"/>
    <w:bookmarkEnd w:id="145"/>
    <w:p>
      <w:pPr>
        <w:spacing w:after="0" w:line="200" w:lineRule="exact"/>
        <w:rPr>
          <w:sz w:val="20"/>
          <w:szCs w:val="20"/>
          <w:color w:val="auto"/>
        </w:rPr>
      </w:pPr>
    </w:p>
    <w:p>
      <w:pPr>
        <w:spacing w:after="0" w:line="287" w:lineRule="exact"/>
        <w:rPr>
          <w:sz w:val="20"/>
          <w:szCs w:val="20"/>
          <w:color w:val="auto"/>
        </w:rPr>
      </w:pPr>
    </w:p>
    <w:p>
      <w:pPr>
        <w:ind w:left="-8" w:firstLine="8"/>
        <w:spacing w:after="0" w:line="301" w:lineRule="auto"/>
        <w:tabs>
          <w:tab w:leader="none" w:pos="478"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Debarment</w:t>
      </w:r>
      <w:r>
        <w:rPr>
          <w:rFonts w:ascii="Arial" w:cs="Arial" w:eastAsia="Arial" w:hAnsi="Arial"/>
          <w:sz w:val="21"/>
          <w:szCs w:val="21"/>
          <w:color w:val="auto"/>
        </w:rPr>
        <w:t>. You represent and warrant that you have not been debarred and will notify the Company immediately if you are debarred, pursuant to subsection 306(a) or 306(b) of the Federal Food, Drug, and Cosmetic Act.</w:t>
      </w:r>
    </w:p>
    <w:p>
      <w:pPr>
        <w:spacing w:after="0" w:line="136" w:lineRule="exact"/>
        <w:rPr>
          <w:rFonts w:ascii="Arial" w:cs="Arial" w:eastAsia="Arial" w:hAnsi="Arial"/>
          <w:sz w:val="21"/>
          <w:szCs w:val="21"/>
          <w:color w:val="auto"/>
        </w:rPr>
      </w:pPr>
    </w:p>
    <w:p>
      <w:pPr>
        <w:ind w:left="-8" w:firstLine="8"/>
        <w:spacing w:after="0" w:line="247" w:lineRule="auto"/>
        <w:tabs>
          <w:tab w:leader="none" w:pos="532"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Any notice required or permitted to be given under this Agreement shall be sufficient if in writing and if sent by registered or certified mail to your residence or to the Company’s principal office in the case of the Company.</w:t>
      </w:r>
    </w:p>
    <w:p>
      <w:pPr>
        <w:spacing w:after="0" w:line="177" w:lineRule="exact"/>
        <w:rPr>
          <w:rFonts w:ascii="Arial" w:cs="Arial" w:eastAsia="Arial" w:hAnsi="Arial"/>
          <w:sz w:val="21"/>
          <w:szCs w:val="21"/>
          <w:color w:val="auto"/>
        </w:rPr>
      </w:pPr>
    </w:p>
    <w:p>
      <w:pPr>
        <w:ind w:left="-8" w:firstLine="8"/>
        <w:spacing w:after="0" w:line="232" w:lineRule="auto"/>
        <w:tabs>
          <w:tab w:leader="none" w:pos="491"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The waiver by either party of any provision of this Agreement shall not operate or be construed as a waiver of any subsequent breach.</w:t>
      </w:r>
    </w:p>
    <w:p>
      <w:pPr>
        <w:spacing w:after="0" w:line="185" w:lineRule="exact"/>
        <w:rPr>
          <w:rFonts w:ascii="Arial" w:cs="Arial" w:eastAsia="Arial" w:hAnsi="Arial"/>
          <w:sz w:val="22"/>
          <w:szCs w:val="22"/>
          <w:color w:val="auto"/>
        </w:rPr>
      </w:pPr>
    </w:p>
    <w:p>
      <w:pPr>
        <w:jc w:val="both"/>
        <w:ind w:left="-8" w:firstLine="8"/>
        <w:spacing w:after="0" w:line="223" w:lineRule="auto"/>
        <w:tabs>
          <w:tab w:leader="none" w:pos="491"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contains the entire agreement of the parties and may not be changed orally, but only by an agreement in writing signed by the party against whom enforcement of any waiver, change, modification, extension, or discharge is sought.</w:t>
      </w:r>
    </w:p>
    <w:p>
      <w:pPr>
        <w:spacing w:after="0" w:line="185" w:lineRule="exact"/>
        <w:rPr>
          <w:rFonts w:ascii="Arial" w:cs="Arial" w:eastAsia="Arial" w:hAnsi="Arial"/>
          <w:sz w:val="22"/>
          <w:szCs w:val="22"/>
          <w:color w:val="auto"/>
        </w:rPr>
      </w:pPr>
    </w:p>
    <w:p>
      <w:pPr>
        <w:jc w:val="both"/>
        <w:ind w:left="-8" w:firstLine="8"/>
        <w:spacing w:after="0" w:line="223" w:lineRule="auto"/>
        <w:tabs>
          <w:tab w:leader="none" w:pos="586"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Governance</w:t>
      </w:r>
      <w:r>
        <w:rPr>
          <w:rFonts w:ascii="Arial" w:cs="Arial" w:eastAsia="Arial" w:hAnsi="Arial"/>
          <w:sz w:val="22"/>
          <w:szCs w:val="22"/>
          <w:color w:val="auto"/>
        </w:rPr>
        <w:t>. This Agreement shall be governed by the laws of the State of Tennessee. Any dispute arising out of this Agreement shall be resolved, at the Company’s sole option, by courts sitting in Nashville, Tennessee, and you waive any objection to such venue.</w:t>
      </w:r>
    </w:p>
    <w:p>
      <w:pPr>
        <w:spacing w:after="0" w:line="185" w:lineRule="exact"/>
        <w:rPr>
          <w:rFonts w:ascii="Arial" w:cs="Arial" w:eastAsia="Arial" w:hAnsi="Arial"/>
          <w:sz w:val="22"/>
          <w:szCs w:val="22"/>
          <w:color w:val="auto"/>
        </w:rPr>
      </w:pPr>
    </w:p>
    <w:p>
      <w:pPr>
        <w:jc w:val="both"/>
        <w:ind w:left="-8" w:firstLine="8"/>
        <w:spacing w:after="0" w:line="223" w:lineRule="auto"/>
        <w:tabs>
          <w:tab w:leader="none" w:pos="613"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In the event that any provision of this Agreement shall be held by a court to be unenforceable, such provision will be enforced to the maximum extent permissible, and the remaining portions of this Agreement shall remain in full force and effect.</w:t>
      </w:r>
    </w:p>
    <w:p>
      <w:pPr>
        <w:spacing w:after="0" w:line="185" w:lineRule="exact"/>
        <w:rPr>
          <w:rFonts w:ascii="Arial" w:cs="Arial" w:eastAsia="Arial" w:hAnsi="Arial"/>
          <w:sz w:val="22"/>
          <w:szCs w:val="22"/>
          <w:color w:val="auto"/>
        </w:rPr>
      </w:pPr>
    </w:p>
    <w:p>
      <w:pPr>
        <w:ind w:left="-8" w:firstLine="8"/>
        <w:spacing w:after="0" w:line="232" w:lineRule="auto"/>
        <w:tabs>
          <w:tab w:leader="none" w:pos="613"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Notwithstanding any termination of your employment, this Agreement shall survive and remain in effect in accordance with its terms.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57" w:lineRule="exact"/>
        <w:rPr>
          <w:rFonts w:ascii="Arial" w:cs="Arial" w:eastAsia="Arial" w:hAnsi="Arial"/>
          <w:sz w:val="22"/>
          <w:szCs w:val="22"/>
          <w:color w:val="auto"/>
        </w:rPr>
      </w:pPr>
    </w:p>
    <w:p>
      <w:pPr>
        <w:ind w:left="5472" w:hanging="153"/>
        <w:spacing w:after="0"/>
        <w:tabs>
          <w:tab w:leader="none" w:pos="5472" w:val="left"/>
        </w:tabs>
        <w:numPr>
          <w:ilvl w:val="1"/>
          <w:numId w:val="88"/>
        </w:numPr>
        <w:rPr>
          <w:rFonts w:ascii="Arial" w:cs="Arial" w:eastAsia="Arial" w:hAnsi="Arial"/>
          <w:sz w:val="22"/>
          <w:szCs w:val="22"/>
          <w:color w:val="auto"/>
        </w:rPr>
      </w:pPr>
      <w:r>
        <w:rPr>
          <w:rFonts w:ascii="Arial" w:cs="Arial" w:eastAsia="Arial" w:hAnsi="Arial"/>
          <w:sz w:val="22"/>
          <w:szCs w:val="22"/>
          <w:color w:val="auto"/>
        </w:rPr>
        <w:t># # #</w:t>
      </w:r>
    </w:p>
    <w:p>
      <w:pPr>
        <w:sectPr>
          <w:pgSz w:w="11900" w:h="16838" w:orient="portrait"/>
          <w:cols w:equalWidth="0" w:num="1">
            <w:col w:w="11232"/>
          </w:cols>
          <w:pgMar w:left="328" w:top="1440" w:right="339" w:bottom="1440" w:gutter="0" w:footer="0" w:header="0"/>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This letter agreement may be signed in one or more counterparts, each of which shall be an original and all of which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Sincerely yours,</w:t>
      </w:r>
    </w:p>
    <w:p>
      <w:pPr>
        <w:spacing w:after="0" w:line="177"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CUMBERLAND PHARMACEUTICALS INC.</w:t>
      </w:r>
    </w:p>
    <w:p>
      <w:pPr>
        <w:spacing w:after="0" w:line="233"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22"/>
          <w:szCs w:val="22"/>
          <w:i w:val="1"/>
          <w:iCs w:val="1"/>
          <w:color w:val="auto"/>
        </w:rPr>
        <w:t>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15875</wp:posOffset>
            </wp:positionV>
            <wp:extent cx="27686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1" w:lineRule="exact"/>
        <w:rPr>
          <w:sz w:val="20"/>
          <w:szCs w:val="20"/>
          <w:color w:val="auto"/>
        </w:rPr>
      </w:pPr>
    </w:p>
    <w:p>
      <w:pPr>
        <w:ind w:left="6900"/>
        <w:spacing w:after="0"/>
        <w:tabs>
          <w:tab w:leader="none" w:pos="7440" w:val="left"/>
        </w:tabs>
        <w:rPr>
          <w:sz w:val="20"/>
          <w:szCs w:val="20"/>
          <w:color w:val="auto"/>
        </w:rPr>
      </w:pPr>
      <w:r>
        <w:rPr>
          <w:rFonts w:ascii="Arial" w:cs="Arial" w:eastAsia="Arial" w:hAnsi="Arial"/>
          <w:sz w:val="22"/>
          <w:szCs w:val="22"/>
          <w:color w:val="auto"/>
        </w:rPr>
        <w:t>By:</w:t>
        <w:tab/>
        <w:t>A.J. Kazimi</w:t>
      </w:r>
    </w:p>
    <w:p>
      <w:pPr>
        <w:spacing w:after="0" w:line="2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Executive</w:t>
      </w:r>
    </w:p>
    <w:p>
      <w:pPr>
        <w:ind w:left="744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Accepted as to all terms and conditions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as of the 7th of March, 2022:</w:t>
      </w:r>
    </w:p>
    <w:p>
      <w:pPr>
        <w:spacing w:after="0" w:line="2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James L. 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40626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9" w:lineRule="exact"/>
        <w:rPr>
          <w:sz w:val="20"/>
          <w:szCs w:val="20"/>
          <w:color w:val="auto"/>
        </w:rPr>
      </w:pPr>
    </w:p>
    <w:p>
      <w:pPr>
        <w:ind w:left="680"/>
        <w:spacing w:after="0"/>
        <w:rPr>
          <w:sz w:val="20"/>
          <w:szCs w:val="20"/>
          <w:color w:val="auto"/>
        </w:rPr>
      </w:pPr>
      <w:r>
        <w:rPr>
          <w:rFonts w:ascii="Arial" w:cs="Arial" w:eastAsia="Arial" w:hAnsi="Arial"/>
          <w:sz w:val="22"/>
          <w:szCs w:val="22"/>
          <w:color w:val="auto"/>
        </w:rPr>
        <w:t>James L. Herman</w:t>
      </w:r>
    </w:p>
    <w:p>
      <w:pPr>
        <w:sectPr>
          <w:pgSz w:w="11900" w:h="16838" w:orient="portrait"/>
          <w:cols w:equalWidth="0" w:num="1">
            <w:col w:w="11240"/>
          </w:cols>
          <w:pgMar w:left="320" w:top="1440"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2"/>
          <w:szCs w:val="22"/>
          <w:color w:val="auto"/>
        </w:rPr>
        <w:t>Exhibit 23.2</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consent to the incorporation by reference in the registration statement of Cumberland Pharmaceuticals Inc. (Company) on Form S-3 (No. 333-251308) and Form S-8 (No. 333-164376) of our report dated March 13, 2023, on our audits of the consolidated financial statements of the Company as of December 31, 2022 and 2021, and for each of the two years in the period ended December 31, 2022, which report is included in this Annual Report on Form 10-K.</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FORVIS, LLP (formally BKD,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2023</w:t>
      </w:r>
    </w:p>
    <w:p>
      <w:pPr>
        <w:sectPr>
          <w:pgSz w:w="11900" w:h="16838" w:orient="portrait"/>
          <w:cols w:equalWidth="0" w:num="1">
            <w:col w:w="11240"/>
          </w:cols>
          <w:pgMar w:left="320" w:top="617"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A.J. Kazimi, certify that:</w:t>
      </w:r>
    </w:p>
    <w:p>
      <w:pPr>
        <w:spacing w:after="0" w:line="225" w:lineRule="exact"/>
        <w:rPr>
          <w:sz w:val="20"/>
          <w:szCs w:val="20"/>
          <w:color w:val="auto"/>
        </w:rPr>
      </w:pPr>
    </w:p>
    <w:p>
      <w:pPr>
        <w:ind w:left="560" w:hanging="328"/>
        <w:spacing w:after="0"/>
        <w:tabs>
          <w:tab w:leader="none" w:pos="5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Form 10-K of Cumberland Pharmaceuticals Inc.;</w:t>
      </w:r>
    </w:p>
    <w:p>
      <w:pPr>
        <w:spacing w:after="0" w:line="23" w:lineRule="exact"/>
        <w:rPr>
          <w:rFonts w:ascii="Arial" w:cs="Arial" w:eastAsia="Arial" w:hAnsi="Arial"/>
          <w:sz w:val="18"/>
          <w:szCs w:val="18"/>
          <w:color w:val="auto"/>
        </w:rPr>
      </w:pPr>
    </w:p>
    <w:p>
      <w:pPr>
        <w:jc w:val="both"/>
        <w:ind w:left="560" w:right="220" w:hanging="328"/>
        <w:spacing w:after="0" w:line="250" w:lineRule="auto"/>
        <w:tabs>
          <w:tab w:leader="none" w:pos="5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560" w:right="180" w:hanging="328"/>
        <w:spacing w:after="0" w:line="265" w:lineRule="auto"/>
        <w:tabs>
          <w:tab w:leader="none" w:pos="5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60" w:right="220" w:hanging="328"/>
        <w:spacing w:after="0" w:line="250" w:lineRule="auto"/>
        <w:tabs>
          <w:tab w:leader="none" w:pos="5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560" w:right="480" w:hanging="328"/>
        <w:spacing w:after="0" w:line="250" w:lineRule="auto"/>
        <w:tabs>
          <w:tab w:leader="none" w:pos="55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560" w:right="160" w:hanging="328"/>
        <w:spacing w:after="0" w:line="250" w:lineRule="auto"/>
        <w:tabs>
          <w:tab w:leader="none" w:pos="5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560" w:right="20" w:hanging="328"/>
        <w:spacing w:after="0" w:line="265" w:lineRule="auto"/>
        <w:tabs>
          <w:tab w:leader="none" w:pos="550" w:val="left"/>
        </w:tabs>
        <w:numPr>
          <w:ilvl w:val="0"/>
          <w:numId w:val="9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60" w:right="40" w:hanging="328"/>
        <w:spacing w:after="0" w:line="281" w:lineRule="auto"/>
        <w:tabs>
          <w:tab w:leader="none" w:pos="5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registrant’s internal control over financial reporting;</w:t>
      </w:r>
    </w:p>
    <w:p>
      <w:pPr>
        <w:spacing w:after="0" w:line="9" w:lineRule="exact"/>
        <w:rPr>
          <w:sz w:val="20"/>
          <w:szCs w:val="20"/>
          <w:color w:val="auto"/>
        </w:rPr>
      </w:pPr>
    </w:p>
    <w:p>
      <w:pPr>
        <w:ind w:left="560" w:right="100" w:hanging="328"/>
        <w:spacing w:after="0" w:line="265" w:lineRule="auto"/>
        <w:tabs>
          <w:tab w:leader="none" w:pos="5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60" w:right="380" w:hanging="328"/>
        <w:spacing w:after="0" w:line="250" w:lineRule="auto"/>
        <w:tabs>
          <w:tab w:leader="none" w:pos="5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sz w:val="20"/>
          <w:szCs w:val="20"/>
          <w:color w:val="auto"/>
        </w:rPr>
      </w:pPr>
    </w:p>
    <w:p>
      <w:pPr>
        <w:ind w:left="560" w:right="340" w:hanging="328"/>
        <w:spacing w:after="0" w:line="260" w:lineRule="auto"/>
        <w:tabs>
          <w:tab w:leader="none" w:pos="55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March 13, 2023</w:t>
            </w:r>
          </w:p>
        </w:tc>
        <w:tc>
          <w:tcPr>
            <w:tcW w:w="2940" w:type="dxa"/>
            <w:vAlign w:val="bottom"/>
          </w:tcPr>
          <w:p>
            <w:pPr>
              <w:ind w:left="2160"/>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A.J. Kazimi</w:t>
            </w:r>
          </w:p>
        </w:tc>
      </w:tr>
      <w:tr>
        <w:trPr>
          <w:trHeight w:val="222"/>
        </w:trPr>
        <w:tc>
          <w:tcPr>
            <w:tcW w:w="33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A.J. Kazimi</w:t>
            </w:r>
          </w:p>
        </w:tc>
      </w:tr>
      <w:tr>
        <w:trPr>
          <w:trHeight w:val="230"/>
        </w:trPr>
        <w:tc>
          <w:tcPr>
            <w:tcW w:w="3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John M. Hamm, certify that:</w:t>
      </w:r>
    </w:p>
    <w:p>
      <w:pPr>
        <w:spacing w:after="0" w:line="374" w:lineRule="exact"/>
        <w:rPr>
          <w:sz w:val="20"/>
          <w:szCs w:val="20"/>
          <w:color w:val="auto"/>
        </w:rPr>
      </w:pPr>
    </w:p>
    <w:p>
      <w:pPr>
        <w:ind w:left="560" w:hanging="328"/>
        <w:spacing w:after="0"/>
        <w:tabs>
          <w:tab w:leader="none" w:pos="5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Form 10-K of Cumberland Pharmaceuticals Inc.;</w:t>
      </w:r>
    </w:p>
    <w:p>
      <w:pPr>
        <w:spacing w:after="0" w:line="144" w:lineRule="exact"/>
        <w:rPr>
          <w:rFonts w:ascii="Arial" w:cs="Arial" w:eastAsia="Arial" w:hAnsi="Arial"/>
          <w:sz w:val="18"/>
          <w:szCs w:val="18"/>
          <w:color w:val="auto"/>
        </w:rPr>
      </w:pPr>
    </w:p>
    <w:p>
      <w:pPr>
        <w:jc w:val="both"/>
        <w:ind w:left="560" w:right="220" w:hanging="328"/>
        <w:spacing w:after="0" w:line="263" w:lineRule="auto"/>
        <w:tabs>
          <w:tab w:leader="none" w:pos="5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560" w:right="220" w:hanging="328"/>
        <w:spacing w:after="0" w:line="263" w:lineRule="auto"/>
        <w:tabs>
          <w:tab w:leader="none" w:pos="5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560" w:right="380" w:hanging="4"/>
        <w:spacing w:after="0" w:line="263" w:lineRule="auto"/>
        <w:tabs>
          <w:tab w:leader="none" w:pos="1306"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jc w:val="both"/>
        <w:ind w:left="560" w:right="120" w:hanging="4"/>
        <w:spacing w:after="0" w:line="263" w:lineRule="auto"/>
        <w:tabs>
          <w:tab w:leader="none" w:pos="1302"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560" w:right="240" w:hanging="4"/>
        <w:spacing w:after="0" w:line="342" w:lineRule="auto"/>
        <w:tabs>
          <w:tab w:leader="none" w:pos="1306"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560" w:right="220" w:hanging="4"/>
        <w:spacing w:after="0" w:line="263" w:lineRule="auto"/>
        <w:tabs>
          <w:tab w:leader="none" w:pos="1302"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sz w:val="20"/>
          <w:szCs w:val="20"/>
          <w:color w:val="auto"/>
        </w:rPr>
      </w:pPr>
    </w:p>
    <w:p>
      <w:pPr>
        <w:ind w:left="560" w:right="100" w:hanging="328"/>
        <w:spacing w:after="0" w:line="308" w:lineRule="auto"/>
        <w:tabs>
          <w:tab w:leader="none" w:pos="5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560" w:right="460" w:hanging="4"/>
        <w:spacing w:after="0" w:line="308" w:lineRule="auto"/>
        <w:tabs>
          <w:tab w:leader="none" w:pos="1306" w:val="left"/>
        </w:tabs>
        <w:numPr>
          <w:ilvl w:val="1"/>
          <w:numId w:val="9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left="560" w:right="140" w:hanging="4"/>
        <w:spacing w:after="0" w:line="277" w:lineRule="auto"/>
        <w:tabs>
          <w:tab w:leader="none" w:pos="1302"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March 13, 2023</w:t>
            </w:r>
          </w:p>
        </w:tc>
        <w:tc>
          <w:tcPr>
            <w:tcW w:w="2920" w:type="dxa"/>
            <w:vAlign w:val="bottom"/>
          </w:tcPr>
          <w:p>
            <w:pPr>
              <w:ind w:left="2140"/>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M. Hamm</w:t>
            </w:r>
          </w:p>
        </w:tc>
      </w:tr>
      <w:tr>
        <w:trPr>
          <w:trHeight w:val="222"/>
        </w:trPr>
        <w:tc>
          <w:tcPr>
            <w:tcW w:w="33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John M. Hamm</w:t>
            </w:r>
          </w:p>
        </w:tc>
      </w:tr>
      <w:tr>
        <w:trPr>
          <w:trHeight w:val="230"/>
        </w:trPr>
        <w:tc>
          <w:tcPr>
            <w:tcW w:w="33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Senior Director and Chief Financial Officer</w:t>
            </w:r>
          </w:p>
        </w:tc>
      </w:tr>
    </w:tbl>
    <w:p>
      <w:pPr>
        <w:sectPr>
          <w:pgSz w:w="11900" w:h="16838" w:orient="portrait"/>
          <w:cols w:equalWidth="0" w:num="1">
            <w:col w:w="11240"/>
          </w:cols>
          <w:pgMar w:left="320" w:top="1039"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Cumberland Pharmaceuticals Inc. (the “Company”) on Form 10-K for the fiscal year ended December 31, 2022, as filed with the Securities and Exchange Commission on the date hereof (the “Report”), I, A.J. Kazimi, Chief Executive Officer, and John M. Hamm, Senior Director and Chief Financial Officer, of the Company, certify, pursuant to Section 906 of the Sarbanes-Oxley Act of 2002 (18 U.S.C. section 1350), that, based on my knowledge:</w:t>
      </w:r>
    </w:p>
    <w:p>
      <w:pPr>
        <w:spacing w:after="0" w:line="119" w:lineRule="exact"/>
        <w:rPr>
          <w:sz w:val="20"/>
          <w:szCs w:val="20"/>
          <w:color w:val="auto"/>
        </w:rPr>
      </w:pPr>
    </w:p>
    <w:p>
      <w:pPr>
        <w:ind w:left="180" w:hanging="172"/>
        <w:spacing w:after="0"/>
        <w:tabs>
          <w:tab w:leader="none" w:pos="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180" w:hanging="172"/>
        <w:spacing w:after="0"/>
        <w:tabs>
          <w:tab w:leader="none" w:pos="1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314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A.J. Kazimi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13, 2023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John M.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314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M. Hamm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Director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13, 2023</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1)"/>
      <w:numFmt w:val="decimal"/>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1)"/>
      <w:numFmt w:val="decimal"/>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1)"/>
      <w:numFmt w:val="decimal"/>
      <w:start w:val="1"/>
    </w:lvl>
  </w:abstractNum>
  <w:abstractNum w:abstractNumId="32">
    <w:nsid w:val="310C50B3"/>
    <w:multiLevelType w:val="hybridMultilevel"/>
    <w:lvl w:ilvl="0">
      <w:lvlJc w:val="left"/>
      <w:lvlText w:val="(%1)"/>
      <w:numFmt w:val="decimal"/>
      <w:start w:val="1"/>
    </w:lvl>
  </w:abstractNum>
  <w:abstractNum w:abstractNumId="33">
    <w:nsid w:val="5FF87E05"/>
    <w:multiLevelType w:val="hybridMultilevel"/>
    <w:lvl w:ilvl="0">
      <w:lvlJc w:val="left"/>
      <w:lvlText w:val="%1."/>
      <w:numFmt w:val="decimal"/>
      <w:start w:val="1"/>
    </w:lvl>
  </w:abstractNum>
  <w:abstractNum w:abstractNumId="34">
    <w:nsid w:val="2F305DEF"/>
    <w:multiLevelType w:val="hybridMultilevel"/>
    <w:lvl w:ilvl="0">
      <w:lvlJc w:val="left"/>
      <w:lvlText w:val="%1."/>
      <w:numFmt w:val="lowerLetter"/>
      <w:start w:val="1"/>
    </w:lvl>
  </w:abstractNum>
  <w:abstractNum w:abstractNumId="35">
    <w:nsid w:val="25A70BF7"/>
    <w:multiLevelType w:val="hybridMultilevel"/>
    <w:lvl w:ilvl="0">
      <w:lvlJc w:val="left"/>
      <w:lvlText w:val="%1"/>
      <w:numFmt w:val="decimal"/>
      <w:start w:val="21"/>
    </w:lvl>
  </w:abstractNum>
  <w:abstractNum w:abstractNumId="36">
    <w:nsid w:val="1DBABF00"/>
    <w:multiLevelType w:val="hybridMultilevel"/>
    <w:lvl w:ilvl="0">
      <w:lvlJc w:val="left"/>
      <w:lvlText w:val="%1"/>
      <w:numFmt w:val="decimal"/>
      <w:start w:val="104"/>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lvl w:ilvl="1">
      <w:lvlJc w:val="left"/>
      <w:lvlText w:val="◦"/>
      <w:numFmt w:val="bullet"/>
      <w:start w:val="1"/>
    </w:lvl>
  </w:abstractNum>
  <w:abstractNum w:abstractNumId="44">
    <w:nsid w:val="5F5E7FD0"/>
    <w:multiLevelType w:val="hybridMultilevel"/>
    <w:lvl w:ilvl="0">
      <w:lvlJc w:val="left"/>
      <w:lvlText w:val="(%1)"/>
      <w:numFmt w:val="decimal"/>
      <w:start w:val="3"/>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1)"/>
      <w:numFmt w:val="decimal"/>
      <w:start w:val="4"/>
    </w:lvl>
  </w:abstractNum>
  <w:abstractNum w:abstractNumId="47">
    <w:nsid w:val="6B94764"/>
    <w:multiLevelType w:val="hybridMultilevel"/>
    <w:lvl w:ilvl="0">
      <w:lvlJc w:val="left"/>
      <w:lvlText w:val="(%1)"/>
      <w:numFmt w:val="decimal"/>
      <w:start w:val="6"/>
    </w:lvl>
  </w:abstractNum>
  <w:abstractNum w:abstractNumId="48">
    <w:nsid w:val="42C296BD"/>
    <w:multiLevelType w:val="hybridMultilevel"/>
    <w:lvl w:ilvl="0">
      <w:lvlJc w:val="left"/>
      <w:lvlText w:val="(%1)"/>
      <w:numFmt w:val="decimal"/>
      <w:start w:val="9"/>
    </w:lvl>
  </w:abstractNum>
  <w:abstractNum w:abstractNumId="49">
    <w:nsid w:val="168E121F"/>
    <w:multiLevelType w:val="hybridMultilevel"/>
    <w:lvl w:ilvl="0">
      <w:lvlJc w:val="left"/>
      <w:lvlText w:val="(%1)"/>
      <w:numFmt w:val="lowerLetter"/>
      <w:start w:val="1"/>
    </w:lvl>
  </w:abstractNum>
  <w:abstractNum w:abstractNumId="50">
    <w:nsid w:val="1EBA5D23"/>
    <w:multiLevelType w:val="hybridMultilevel"/>
    <w:lvl w:ilvl="0">
      <w:lvlJc w:val="left"/>
      <w:lvlText w:val="(%1)"/>
      <w:numFmt w:val="lowerLetter"/>
      <w:start w:val="2"/>
    </w:lvl>
  </w:abstractNum>
  <w:abstractNum w:abstractNumId="51">
    <w:nsid w:val="661E3F1E"/>
    <w:multiLevelType w:val="hybridMultilevel"/>
    <w:lvl w:ilvl="0">
      <w:lvlJc w:val="left"/>
      <w:lvlText w:val="(%1)"/>
      <w:numFmt w:val="lowerLetter"/>
      <w:start w:val="4"/>
    </w:lvl>
  </w:abstractNum>
  <w:abstractNum w:abstractNumId="52">
    <w:nsid w:val="5DC79EA8"/>
    <w:multiLevelType w:val="hybridMultilevel"/>
    <w:lvl w:ilvl="0">
      <w:lvlJc w:val="left"/>
      <w:lvlText w:val="(%1)"/>
      <w:numFmt w:val="decimal"/>
      <w:start w:val="11"/>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1)"/>
      <w:numFmt w:val="decimal"/>
      <w:start w:val="1"/>
    </w:lvl>
  </w:abstractNum>
  <w:abstractNum w:abstractNumId="56">
    <w:nsid w:val="613EFDC5"/>
    <w:multiLevelType w:val="hybridMultilevel"/>
    <w:lvl w:ilvl="0">
      <w:lvlJc w:val="left"/>
      <w:lvlText w:val="(%1)"/>
      <w:numFmt w:val="decimal"/>
      <w:start w:val="1"/>
    </w:lvl>
  </w:abstractNum>
  <w:abstractNum w:abstractNumId="57">
    <w:nsid w:val="BF72B14"/>
    <w:multiLevelType w:val="hybridMultilevel"/>
    <w:lvl w:ilvl="0">
      <w:lvlJc w:val="left"/>
      <w:lvlText w:val="%1."/>
      <w:numFmt w:val="decimal"/>
      <w:start w:val="1"/>
    </w:lvl>
  </w:abstractNum>
  <w:abstractNum w:abstractNumId="58">
    <w:nsid w:val="11447B73"/>
    <w:multiLevelType w:val="hybridMultilevel"/>
    <w:lvl w:ilvl="0">
      <w:lvlJc w:val="left"/>
      <w:lvlText w:val="(%1)"/>
      <w:numFmt w:val="lowerLetter"/>
      <w:start w:val="1"/>
    </w:lvl>
  </w:abstractNum>
  <w:abstractNum w:abstractNumId="59">
    <w:nsid w:val="42963E5A"/>
    <w:multiLevelType w:val="hybridMultilevel"/>
    <w:lvl w:ilvl="0">
      <w:lvlJc w:val="left"/>
      <w:lvlText w:val="(%1)"/>
      <w:numFmt w:val="lowerLetter"/>
      <w:start w:val="5"/>
    </w:lvl>
    <w:lvl w:ilvl="1">
      <w:lvlJc w:val="left"/>
      <w:lvlText w:val="%2."/>
      <w:numFmt w:val="decimal"/>
      <w:start w:val="2"/>
    </w:lvl>
  </w:abstractNum>
  <w:abstractNum w:abstractNumId="60">
    <w:nsid w:val="A0382C5"/>
    <w:multiLevelType w:val="hybridMultilevel"/>
    <w:lvl w:ilvl="0">
      <w:lvlJc w:val="left"/>
      <w:lvlText w:val="%1."/>
      <w:numFmt w:val="decimal"/>
      <w:start w:val="3"/>
    </w:lvl>
  </w:abstractNum>
  <w:abstractNum w:abstractNumId="61">
    <w:nsid w:val="8F2B15E"/>
    <w:multiLevelType w:val="hybridMultilevel"/>
    <w:lvl w:ilvl="0">
      <w:lvlJc w:val="left"/>
      <w:lvlText w:val="%1."/>
      <w:numFmt w:val="decimal"/>
      <w:start w:val="6"/>
    </w:lvl>
  </w:abstractNum>
  <w:abstractNum w:abstractNumId="62">
    <w:nsid w:val="1A32234B"/>
    <w:multiLevelType w:val="hybridMultilevel"/>
    <w:lvl w:ilvl="0">
      <w:lvlJc w:val="left"/>
      <w:lvlText w:val="%1."/>
      <w:numFmt w:val="decimal"/>
      <w:start w:val="10"/>
    </w:lvl>
  </w:abstractNum>
  <w:abstractNum w:abstractNumId="63">
    <w:nsid w:val="3B0FD379"/>
    <w:multiLevelType w:val="hybridMultilevel"/>
    <w:lvl w:ilvl="0">
      <w:lvlJc w:val="left"/>
      <w:lvlText w:val="(%1)"/>
      <w:numFmt w:val="lowerLetter"/>
      <w:start w:val="1"/>
    </w:lvl>
  </w:abstractNum>
  <w:abstractNum w:abstractNumId="64">
    <w:nsid w:val="68EB2F63"/>
    <w:multiLevelType w:val="hybridMultilevel"/>
    <w:lvl w:ilvl="0">
      <w:lvlJc w:val="left"/>
      <w:lvlText w:val="%1."/>
      <w:numFmt w:val="decimal"/>
      <w:start w:val="11"/>
    </w:lvl>
  </w:abstractNum>
  <w:abstractNum w:abstractNumId="65">
    <w:nsid w:val="4962813B"/>
    <w:multiLevelType w:val="hybridMultilevel"/>
    <w:lvl w:ilvl="0">
      <w:lvlJc w:val="left"/>
      <w:lvlText w:val="%1."/>
      <w:numFmt w:val="decimal"/>
      <w:start w:val="15"/>
    </w:lvl>
  </w:abstractNum>
  <w:abstractNum w:abstractNumId="66">
    <w:nsid w:val="60B6DF70"/>
    <w:multiLevelType w:val="hybridMultilevel"/>
    <w:lvl w:ilvl="0">
      <w:lvlJc w:val="left"/>
      <w:lvlText w:val="%1"/>
      <w:numFmt w:val="decimal"/>
      <w:start w:val="17"/>
    </w:lvl>
  </w:abstractNum>
  <w:abstractNum w:abstractNumId="67">
    <w:nsid w:val="6A5EE64"/>
    <w:multiLevelType w:val="hybridMultilevel"/>
    <w:lvl w:ilvl="0">
      <w:lvlJc w:val="left"/>
      <w:lvlText w:val="%1."/>
      <w:numFmt w:val="decimal"/>
      <w:start w:val="18"/>
    </w:lvl>
  </w:abstractNum>
  <w:abstractNum w:abstractNumId="68">
    <w:nsid w:val="14330624"/>
    <w:multiLevelType w:val="hybridMultilevel"/>
    <w:lvl w:ilvl="0">
      <w:lvlJc w:val="left"/>
      <w:lvlText w:val="%1."/>
      <w:numFmt w:val="decimal"/>
      <w:start w:val="1"/>
    </w:lvl>
  </w:abstractNum>
  <w:abstractNum w:abstractNumId="69">
    <w:nsid w:val="7FFFCA11"/>
    <w:multiLevelType w:val="hybridMultilevel"/>
    <w:lvl w:ilvl="0">
      <w:lvlJc w:val="left"/>
      <w:lvlText w:val="(%1)"/>
      <w:numFmt w:val="lowerLetter"/>
      <w:start w:val="1"/>
    </w:lvl>
  </w:abstractNum>
  <w:abstractNum w:abstractNumId="70">
    <w:nsid w:val="1A27709E"/>
    <w:multiLevelType w:val="hybridMultilevel"/>
    <w:lvl w:ilvl="0">
      <w:lvlJc w:val="left"/>
      <w:lvlText w:val="(%1)"/>
      <w:numFmt w:val="lowerLetter"/>
      <w:start w:val="5"/>
    </w:lvl>
    <w:lvl w:ilvl="1">
      <w:lvlJc w:val="left"/>
      <w:lvlText w:val="%2."/>
      <w:numFmt w:val="decimal"/>
      <w:start w:val="2"/>
    </w:lvl>
  </w:abstractNum>
  <w:abstractNum w:abstractNumId="71">
    <w:nsid w:val="71EA1109"/>
    <w:multiLevelType w:val="hybridMultilevel"/>
    <w:lvl w:ilvl="0">
      <w:lvlJc w:val="left"/>
      <w:lvlText w:val="%1."/>
      <w:numFmt w:val="decimal"/>
      <w:start w:val="3"/>
    </w:lvl>
  </w:abstractNum>
  <w:abstractNum w:abstractNumId="72">
    <w:nsid w:val="100F59DC"/>
    <w:multiLevelType w:val="hybridMultilevel"/>
    <w:lvl w:ilvl="0">
      <w:lvlJc w:val="left"/>
      <w:lvlText w:val="%1."/>
      <w:numFmt w:val="decimal"/>
      <w:start w:val="6"/>
    </w:lvl>
  </w:abstractNum>
  <w:abstractNum w:abstractNumId="73">
    <w:nsid w:val="7FB7E0AA"/>
    <w:multiLevelType w:val="hybridMultilevel"/>
    <w:lvl w:ilvl="0">
      <w:lvlJc w:val="left"/>
      <w:lvlText w:val="%1."/>
      <w:numFmt w:val="decimal"/>
      <w:start w:val="10"/>
    </w:lvl>
  </w:abstractNum>
  <w:abstractNum w:abstractNumId="74">
    <w:nsid w:val="6EB5BD4"/>
    <w:multiLevelType w:val="hybridMultilevel"/>
    <w:lvl w:ilvl="0">
      <w:lvlJc w:val="left"/>
      <w:lvlText w:val="(%1)"/>
      <w:numFmt w:val="lowerLetter"/>
      <w:start w:val="1"/>
    </w:lvl>
  </w:abstractNum>
  <w:abstractNum w:abstractNumId="75">
    <w:nsid w:val="6F6DD9AC"/>
    <w:multiLevelType w:val="hybridMultilevel"/>
    <w:lvl w:ilvl="0">
      <w:lvlJc w:val="left"/>
      <w:lvlText w:val="%1."/>
      <w:numFmt w:val="decimal"/>
      <w:start w:val="11"/>
    </w:lvl>
  </w:abstractNum>
  <w:abstractNum w:abstractNumId="76">
    <w:nsid w:val="94211F2"/>
    <w:multiLevelType w:val="hybridMultilevel"/>
    <w:lvl w:ilvl="0">
      <w:lvlJc w:val="left"/>
      <w:lvlText w:val="%1."/>
      <w:numFmt w:val="decimal"/>
      <w:start w:val="15"/>
    </w:lvl>
  </w:abstractNum>
  <w:abstractNum w:abstractNumId="77">
    <w:nsid w:val="885E1B"/>
    <w:multiLevelType w:val="hybridMultilevel"/>
    <w:lvl w:ilvl="0">
      <w:lvlJc w:val="left"/>
      <w:lvlText w:val="%1"/>
      <w:numFmt w:val="decimal"/>
      <w:start w:val="17"/>
    </w:lvl>
  </w:abstractNum>
  <w:abstractNum w:abstractNumId="78">
    <w:nsid w:val="76272110"/>
    <w:multiLevelType w:val="hybridMultilevel"/>
    <w:lvl w:ilvl="0">
      <w:lvlJc w:val="left"/>
      <w:lvlText w:val="%1."/>
      <w:numFmt w:val="decimal"/>
      <w:start w:val="18"/>
    </w:lvl>
  </w:abstractNum>
  <w:abstractNum w:abstractNumId="79">
    <w:nsid w:val="4C04A8AF"/>
    <w:multiLevelType w:val="hybridMultilevel"/>
    <w:lvl w:ilvl="0">
      <w:lvlJc w:val="left"/>
      <w:lvlText w:val="%1."/>
      <w:numFmt w:val="decimal"/>
      <w:start w:val="1"/>
    </w:lvl>
  </w:abstractNum>
  <w:abstractNum w:abstractNumId="80">
    <w:nsid w:val="1716703B"/>
    <w:multiLevelType w:val="hybridMultilevel"/>
    <w:lvl w:ilvl="0">
      <w:lvlJc w:val="left"/>
      <w:lvlText w:val="(%1)"/>
      <w:numFmt w:val="lowerLetter"/>
      <w:start w:val="1"/>
    </w:lvl>
  </w:abstractNum>
  <w:abstractNum w:abstractNumId="81">
    <w:nsid w:val="14E17E33"/>
    <w:multiLevelType w:val="hybridMultilevel"/>
    <w:lvl w:ilvl="0">
      <w:lvlJc w:val="left"/>
      <w:lvlText w:val="(%1)"/>
      <w:numFmt w:val="lowerLetter"/>
      <w:start w:val="5"/>
    </w:lvl>
    <w:lvl w:ilvl="1">
      <w:lvlJc w:val="left"/>
      <w:lvlText w:val="%2."/>
      <w:numFmt w:val="decimal"/>
      <w:start w:val="2"/>
    </w:lvl>
  </w:abstractNum>
  <w:abstractNum w:abstractNumId="82">
    <w:nsid w:val="3222E7CD"/>
    <w:multiLevelType w:val="hybridMultilevel"/>
    <w:lvl w:ilvl="0">
      <w:lvlJc w:val="left"/>
      <w:lvlText w:val="%1."/>
      <w:numFmt w:val="decimal"/>
      <w:start w:val="3"/>
    </w:lvl>
  </w:abstractNum>
  <w:abstractNum w:abstractNumId="83">
    <w:nsid w:val="74DE0EE3"/>
    <w:multiLevelType w:val="hybridMultilevel"/>
    <w:lvl w:ilvl="0">
      <w:lvlJc w:val="left"/>
      <w:lvlText w:val="%1."/>
      <w:numFmt w:val="decimal"/>
      <w:start w:val="6"/>
    </w:lvl>
  </w:abstractNum>
  <w:abstractNum w:abstractNumId="84">
    <w:nsid w:val="68EBC550"/>
    <w:multiLevelType w:val="hybridMultilevel"/>
    <w:lvl w:ilvl="0">
      <w:lvlJc w:val="left"/>
      <w:lvlText w:val="%1."/>
      <w:numFmt w:val="decimal"/>
      <w:start w:val="10"/>
    </w:lvl>
  </w:abstractNum>
  <w:abstractNum w:abstractNumId="85">
    <w:nsid w:val="2DF6D648"/>
    <w:multiLevelType w:val="hybridMultilevel"/>
    <w:lvl w:ilvl="0">
      <w:lvlJc w:val="left"/>
      <w:lvlText w:val="(%1)"/>
      <w:numFmt w:val="lowerLetter"/>
      <w:start w:val="1"/>
    </w:lvl>
  </w:abstractNum>
  <w:abstractNum w:abstractNumId="86">
    <w:nsid w:val="46B7D447"/>
    <w:multiLevelType w:val="hybridMultilevel"/>
    <w:lvl w:ilvl="0">
      <w:lvlJc w:val="left"/>
      <w:lvlText w:val="%1."/>
      <w:numFmt w:val="decimal"/>
      <w:start w:val="11"/>
    </w:lvl>
  </w:abstractNum>
  <w:abstractNum w:abstractNumId="87">
    <w:nsid w:val="4A2AC315"/>
    <w:multiLevelType w:val="hybridMultilevel"/>
    <w:lvl w:ilvl="0">
      <w:lvlJc w:val="left"/>
      <w:lvlText w:val="%1."/>
      <w:numFmt w:val="decimal"/>
      <w:start w:val="15"/>
    </w:lvl>
    <w:lvl w:ilvl="1">
      <w:lvlJc w:val="left"/>
      <w:lvlText w:val="#"/>
      <w:numFmt w:val="bullet"/>
      <w:start w:val="1"/>
    </w:lvl>
  </w:abstractNum>
  <w:abstractNum w:abstractNumId="88">
    <w:nsid w:val="39EE015C"/>
    <w:multiLevelType w:val="hybridMultilevel"/>
    <w:lvl w:ilvl="0">
      <w:lvlJc w:val="left"/>
      <w:lvlText w:val="%1."/>
      <w:numFmt w:val="decimal"/>
      <w:start w:val="1"/>
    </w:lvl>
  </w:abstractNum>
  <w:abstractNum w:abstractNumId="89">
    <w:nsid w:val="57FC4FBB"/>
    <w:multiLevelType w:val="hybridMultilevel"/>
    <w:lvl w:ilvl="0">
      <w:lvlJc w:val="left"/>
      <w:lvlText w:val="%1."/>
      <w:numFmt w:val="lowerLetter"/>
      <w:start w:val="1"/>
    </w:lvl>
  </w:abstractNum>
  <w:abstractNum w:abstractNumId="90">
    <w:nsid w:val="CC1016F"/>
    <w:multiLevelType w:val="hybridMultilevel"/>
    <w:lvl w:ilvl="0">
      <w:lvlJc w:val="left"/>
      <w:lvlText w:val="%1."/>
      <w:numFmt w:val="decimal"/>
      <w:start w:val="5"/>
    </w:lvl>
  </w:abstractNum>
  <w:abstractNum w:abstractNumId="91">
    <w:nsid w:val="43F18422"/>
    <w:multiLevelType w:val="hybridMultilevel"/>
    <w:lvl w:ilvl="0">
      <w:lvlJc w:val="left"/>
      <w:lvlText w:val="%1."/>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5"/>
    </w:lvl>
    <w:lvl w:ilvl="1">
      <w:lvlJc w:val="left"/>
      <w:lvlText w:val="%2."/>
      <w:numFmt w:val="lowerLetter"/>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0" Type="http://schemas.openxmlformats.org/officeDocument/2006/relationships/image" Target="media/image78.png"/><Relationship Id="rId103" Type="http://schemas.openxmlformats.org/officeDocument/2006/relationships/image" Target="media/image79.png"/><Relationship Id="rId113" Type="http://schemas.openxmlformats.org/officeDocument/2006/relationships/image" Target="media/image80.png"/><Relationship Id="rId123" Type="http://schemas.openxmlformats.org/officeDocument/2006/relationships/image" Target="media/image81.png"/><Relationship Id="rId129" Type="http://schemas.openxmlformats.org/officeDocument/2006/relationships/image" Target="media/image82.png"/><Relationship Id="rId130" Type="http://schemas.openxmlformats.org/officeDocument/2006/relationships/image" Target="media/image83.png"/><Relationship Id="rId131" Type="http://schemas.openxmlformats.org/officeDocument/2006/relationships/image" Target="media/image84.png"/><Relationship Id="rId132" Type="http://schemas.openxmlformats.org/officeDocument/2006/relationships/image" Target="media/image85.png"/><Relationship Id="rId133" Type="http://schemas.openxmlformats.org/officeDocument/2006/relationships/image" Target="media/image86.png"/><Relationship Id="rId134" Type="http://schemas.openxmlformats.org/officeDocument/2006/relationships/image" Target="media/image87.png"/><Relationship Id="rId135" Type="http://schemas.openxmlformats.org/officeDocument/2006/relationships/image" Target="media/image88.png"/><Relationship Id="rId136" Type="http://schemas.openxmlformats.org/officeDocument/2006/relationships/image" Target="media/image89.png"/><Relationship Id="rId137" Type="http://schemas.openxmlformats.org/officeDocument/2006/relationships/image" Target="media/image90.png"/><Relationship Id="rId138" Type="http://schemas.openxmlformats.org/officeDocument/2006/relationships/image" Target="media/image91.png"/><Relationship Id="rId139" Type="http://schemas.openxmlformats.org/officeDocument/2006/relationships/image" Target="media/image92.png"/><Relationship Id="rId140" Type="http://schemas.openxmlformats.org/officeDocument/2006/relationships/image" Target="media/image93.png"/><Relationship Id="rId141" Type="http://schemas.openxmlformats.org/officeDocument/2006/relationships/image" Target="media/image94.png"/><Relationship Id="rId142" Type="http://schemas.openxmlformats.org/officeDocument/2006/relationships/image" Target="media/image95.png"/><Relationship Id="rId143" Type="http://schemas.openxmlformats.org/officeDocument/2006/relationships/image" Target="media/image96.png"/><Relationship Id="rId144" Type="http://schemas.openxmlformats.org/officeDocument/2006/relationships/image" Target="media/image97.png"/><Relationship Id="rId145" Type="http://schemas.openxmlformats.org/officeDocument/2006/relationships/image" Target="media/image98.png"/><Relationship Id="rId146" Type="http://schemas.openxmlformats.org/officeDocument/2006/relationships/image" Target="media/image99.png"/><Relationship Id="rId147" Type="http://schemas.openxmlformats.org/officeDocument/2006/relationships/image" Target="media/image100.png"/><Relationship Id="rId148" Type="http://schemas.openxmlformats.org/officeDocument/2006/relationships/image" Target="media/image101.png"/><Relationship Id="rId149" Type="http://schemas.openxmlformats.org/officeDocument/2006/relationships/image" Target="media/image102.png"/><Relationship Id="rId150" Type="http://schemas.openxmlformats.org/officeDocument/2006/relationships/image" Target="media/image103.png"/><Relationship Id="rId151" Type="http://schemas.openxmlformats.org/officeDocument/2006/relationships/image" Target="media/image104.png"/><Relationship Id="rId152" Type="http://schemas.openxmlformats.org/officeDocument/2006/relationships/image" Target="media/image105.png"/><Relationship Id="rId153" Type="http://schemas.openxmlformats.org/officeDocument/2006/relationships/image" Target="media/image106.png"/><Relationship Id="rId154" Type="http://schemas.openxmlformats.org/officeDocument/2006/relationships/image" Target="media/image107.png"/><Relationship Id="rId155" Type="http://schemas.openxmlformats.org/officeDocument/2006/relationships/image" Target="media/image108.png"/><Relationship Id="rId156" Type="http://schemas.openxmlformats.org/officeDocument/2006/relationships/image" Target="media/image109.png"/><Relationship Id="rId157" Type="http://schemas.openxmlformats.org/officeDocument/2006/relationships/image" Target="media/image110.png"/><Relationship Id="rId158" Type="http://schemas.openxmlformats.org/officeDocument/2006/relationships/image" Target="media/image111.png"/><Relationship Id="rId159" Type="http://schemas.openxmlformats.org/officeDocument/2006/relationships/image" Target="media/image112.png"/><Relationship Id="rId160" Type="http://schemas.openxmlformats.org/officeDocument/2006/relationships/image" Target="media/image113.png"/><Relationship Id="rId161" Type="http://schemas.openxmlformats.org/officeDocument/2006/relationships/image" Target="media/image114.png"/><Relationship Id="rId162" Type="http://schemas.openxmlformats.org/officeDocument/2006/relationships/image" Target="media/image115.png"/><Relationship Id="rId163" Type="http://schemas.openxmlformats.org/officeDocument/2006/relationships/image" Target="media/image116.png"/><Relationship Id="rId164" Type="http://schemas.openxmlformats.org/officeDocument/2006/relationships/image" Target="media/image117.png"/><Relationship Id="rId165" Type="http://schemas.openxmlformats.org/officeDocument/2006/relationships/image" Target="media/image118.png"/><Relationship Id="rId166" Type="http://schemas.openxmlformats.org/officeDocument/2006/relationships/image" Target="media/image119.png"/><Relationship Id="rId167" Type="http://schemas.openxmlformats.org/officeDocument/2006/relationships/image" Target="media/image120.png"/><Relationship Id="rId168" Type="http://schemas.openxmlformats.org/officeDocument/2006/relationships/image" Target="media/image121.png"/><Relationship Id="rId169" Type="http://schemas.openxmlformats.org/officeDocument/2006/relationships/image" Target="media/image122.png"/><Relationship Id="rId170" Type="http://schemas.openxmlformats.org/officeDocument/2006/relationships/image" Target="media/image123.png"/><Relationship Id="rId171" Type="http://schemas.openxmlformats.org/officeDocument/2006/relationships/image" Target="media/image124.png"/><Relationship Id="rId172" Type="http://schemas.openxmlformats.org/officeDocument/2006/relationships/image" Target="media/image125.png"/><Relationship Id="rId173" Type="http://schemas.openxmlformats.org/officeDocument/2006/relationships/image" Target="media/image126.png"/><Relationship Id="rId174" Type="http://schemas.openxmlformats.org/officeDocument/2006/relationships/image" Target="media/image127.png"/><Relationship Id="rId175" Type="http://schemas.openxmlformats.org/officeDocument/2006/relationships/image" Target="media/image128.png"/><Relationship Id="rId176" Type="http://schemas.openxmlformats.org/officeDocument/2006/relationships/image" Target="media/image129.png"/><Relationship Id="rId177" Type="http://schemas.openxmlformats.org/officeDocument/2006/relationships/image" Target="media/image130.png"/><Relationship Id="rId178" Type="http://schemas.openxmlformats.org/officeDocument/2006/relationships/image" Target="media/image131.png"/><Relationship Id="rId179" Type="http://schemas.openxmlformats.org/officeDocument/2006/relationships/image" Target="media/image132.png"/><Relationship Id="rId180" Type="http://schemas.openxmlformats.org/officeDocument/2006/relationships/image" Target="media/image133.png"/><Relationship Id="rId181" Type="http://schemas.openxmlformats.org/officeDocument/2006/relationships/image" Target="media/image134.png"/><Relationship Id="rId182" Type="http://schemas.openxmlformats.org/officeDocument/2006/relationships/image" Target="media/image135.png"/><Relationship Id="rId183" Type="http://schemas.openxmlformats.org/officeDocument/2006/relationships/image" Target="media/image136.png"/><Relationship Id="rId184" Type="http://schemas.openxmlformats.org/officeDocument/2006/relationships/image" Target="media/image137.png"/><Relationship Id="rId185" Type="http://schemas.openxmlformats.org/officeDocument/2006/relationships/image" Target="media/image138.png"/><Relationship Id="rId186" Type="http://schemas.openxmlformats.org/officeDocument/2006/relationships/image" Target="media/image139.png"/><Relationship Id="rId187" Type="http://schemas.openxmlformats.org/officeDocument/2006/relationships/image" Target="media/image140.png"/><Relationship Id="rId188" Type="http://schemas.openxmlformats.org/officeDocument/2006/relationships/image" Target="media/image141.png"/><Relationship Id="rId189" Type="http://schemas.openxmlformats.org/officeDocument/2006/relationships/image" Target="media/image142.png"/><Relationship Id="rId190" Type="http://schemas.openxmlformats.org/officeDocument/2006/relationships/image" Target="media/image143.png"/><Relationship Id="rId191" Type="http://schemas.openxmlformats.org/officeDocument/2006/relationships/image" Target="media/image144.png"/><Relationship Id="rId192" Type="http://schemas.openxmlformats.org/officeDocument/2006/relationships/image" Target="media/image145.png"/><Relationship Id="rId193" Type="http://schemas.openxmlformats.org/officeDocument/2006/relationships/image" Target="media/image146.png"/><Relationship Id="rId194" Type="http://schemas.openxmlformats.org/officeDocument/2006/relationships/image" Target="media/image147.png"/><Relationship Id="rId195" Type="http://schemas.openxmlformats.org/officeDocument/2006/relationships/image" Target="media/image148.png"/><Relationship Id="rId196" Type="http://schemas.openxmlformats.org/officeDocument/2006/relationships/image" Target="media/image149.png"/><Relationship Id="rId197" Type="http://schemas.openxmlformats.org/officeDocument/2006/relationships/image" Target="media/image150.png"/><Relationship Id="rId198" Type="http://schemas.openxmlformats.org/officeDocument/2006/relationships/image" Target="media/image151.png"/><Relationship Id="rId199" Type="http://schemas.openxmlformats.org/officeDocument/2006/relationships/image" Target="media/image152.png"/><Relationship Id="rId85" Type="http://schemas.openxmlformats.org/officeDocument/2006/relationships/hyperlink" Target="https://www.sec.gov/Archives/edgar/data/1087294/000119312517335943/d489256dex11.htm" TargetMode="External"/><Relationship Id="rId86" Type="http://schemas.openxmlformats.org/officeDocument/2006/relationships/hyperlink" Target="https://www.sec.gov/Archives/edgar/data/1087294/000162828021025612/ex12amendmentno1toatmsales.htm" TargetMode="External"/><Relationship Id="rId87" Type="http://schemas.openxmlformats.org/officeDocument/2006/relationships/hyperlink" Target="https://www.sec.gov/Archives/edgar/data/1087294/000162828022000440/finalforexecutionkkuscipde.htm" TargetMode="External"/><Relationship Id="rId88" Type="http://schemas.openxmlformats.org/officeDocument/2006/relationships/hyperlink" Target="http://www.sec.gov/Archives/edgar/data/1087294/000095012309023228/c0628619exv3w1.htm" TargetMode="External"/><Relationship Id="rId89" Type="http://schemas.openxmlformats.org/officeDocument/2006/relationships/hyperlink" Target="http://www.sec.gov/Archives/edgar/data/1087294/000095012309023228/c0628619exv3w2.htm" TargetMode="External"/><Relationship Id="rId91" Type="http://schemas.openxmlformats.org/officeDocument/2006/relationships/hyperlink" Target="http://www.sec.gov/Archives/edgar/data/1087294/000095014407007248/g06286a5exv4w1.htm" TargetMode="External"/><Relationship Id="rId92" Type="http://schemas.openxmlformats.org/officeDocument/2006/relationships/hyperlink" Target="http://www.sec.gov/Archives/edgar/data/1087294/000119312517372414/d489256dex42.htm" TargetMode="External"/><Relationship Id="rId93" Type="http://schemas.openxmlformats.org/officeDocument/2006/relationships/hyperlink" Target="http://www.sec.gov/Archives/edgar/data/1087294/000119312517335943/d489256dex42.htm" TargetMode="External"/><Relationship Id="rId94" Type="http://schemas.openxmlformats.org/officeDocument/2006/relationships/hyperlink" Target="http://www.sec.gov/Archives/edgar/data/1087294/000119312517335943/d489256dex43.htm" TargetMode="External"/><Relationship Id="rId95" Type="http://schemas.openxmlformats.org/officeDocument/2006/relationships/hyperlink" Target="http://www.sec.gov/Archives/edgar/data/1087294/000095014407004069/g06286exv4w5.htm" TargetMode="External"/><Relationship Id="rId96" Type="http://schemas.openxmlformats.org/officeDocument/2006/relationships/hyperlink" Target="http://www.sec.gov/Archives/edgar/data/1087294/000144530513000573/cpixexhibit461.htm" TargetMode="External"/><Relationship Id="rId97" Type="http://schemas.openxmlformats.org/officeDocument/2006/relationships/hyperlink" Target="http://www.sec.gov/Archives/edgar/data/1087294/000144530513000573/cpixexhibit462.htm" TargetMode="External"/><Relationship Id="rId98" Type="http://schemas.openxmlformats.org/officeDocument/2006/relationships/hyperlink" Target="http://www.sec.gov/Archives/edgar/data/1087294/000144530513000573/cpixexhibit47.htm" TargetMode="External"/><Relationship Id="rId99" Type="http://schemas.openxmlformats.org/officeDocument/2006/relationships/hyperlink" Target="http://www.sec.gov/Archives/edgar/data/1087294/000095012310026333/g22569exv4w8.htm" TargetMode="External"/><Relationship Id="rId100" Type="http://schemas.openxmlformats.org/officeDocument/2006/relationships/hyperlink" Target="http://www.sec.gov/Archives/edgar/data/1087294/000129993310003084/exhibit1.htm" TargetMode="External"/><Relationship Id="rId101" Type="http://schemas.openxmlformats.org/officeDocument/2006/relationships/hyperlink" Target="http://www.sec.gov/Archives/edgar/data/1087294/000108729413000004/exhibit1071amendmenttoexcl.htm" TargetMode="External"/><Relationship Id="rId102" Type="http://schemas.openxmlformats.org/officeDocument/2006/relationships/hyperlink" Target="http://www.sec.gov/Archives/edgar/data/1087294/000095014407006504/g06286a3exv10w10.htm" TargetMode="External"/><Relationship Id="rId104" Type="http://schemas.openxmlformats.org/officeDocument/2006/relationships/hyperlink" Target="http://www.sec.gov/Archives/edgar/data/1087294/000095014407004069/g06286exv10w17.htm" TargetMode="External"/><Relationship Id="rId105" Type="http://schemas.openxmlformats.org/officeDocument/2006/relationships/hyperlink" Target="http://www.sec.gov/Archives/edgar/data/1087294/000119312512107956/d293470ddef14a.htm" TargetMode="External"/><Relationship Id="rId106" Type="http://schemas.openxmlformats.org/officeDocument/2006/relationships/hyperlink" Target="http://www.sec.gov/Archives/edgar/data/1087294/000095014407004069/g06286exv10w20.htm" TargetMode="External"/><Relationship Id="rId107" Type="http://schemas.openxmlformats.org/officeDocument/2006/relationships/hyperlink" Target="http://www.sec.gov/Archives/edgar/data/1087294/000095014407004069/g06286exv10w23.htm" TargetMode="External"/><Relationship Id="rId108" Type="http://schemas.openxmlformats.org/officeDocument/2006/relationships/hyperlink" Target="http://www.sec.gov/Archives/edgar/data/1087294/000095014407004069/g06286exv10w24.htm" TargetMode="External"/><Relationship Id="rId109" Type="http://schemas.openxmlformats.org/officeDocument/2006/relationships/hyperlink" Target="http://www.sec.gov/Archives/edgar/data/1087294/000095014408004306/g06286b1exv10w24w1.htm" TargetMode="External"/><Relationship Id="rId110" Type="http://schemas.openxmlformats.org/officeDocument/2006/relationships/hyperlink" Target="http://www.sec.gov/Archives/edgar/data/1087294/000119312512347942/d334181dex10241.htm" TargetMode="External"/><Relationship Id="rId111" Type="http://schemas.openxmlformats.org/officeDocument/2006/relationships/hyperlink" Target="http://www.sec.gov/Archives/edgar/data/1087294/000162828016012682/a2015-10kxexhibit1025gelli.htm" TargetMode="External"/><Relationship Id="rId112" Type="http://schemas.openxmlformats.org/officeDocument/2006/relationships/hyperlink" Target="http://www.sec.gov/Archives/edgar/data/1087294/000129993311003397/exhibit1.htm" TargetMode="External"/><Relationship Id="rId114" Type="http://schemas.openxmlformats.org/officeDocument/2006/relationships/hyperlink" Target="http://www.sec.gov/Archives/edgar/data/1087294/000119312512247355/d358671dex1030.htm" TargetMode="External"/><Relationship Id="rId115" Type="http://schemas.openxmlformats.org/officeDocument/2006/relationships/hyperlink" Target="http://www.sec.gov/Archives/edgar/data/1087294/000144530513000573/cpixexhibit1031-perrigoxpa.htm" TargetMode="External"/><Relationship Id="rId116" Type="http://schemas.openxmlformats.org/officeDocument/2006/relationships/hyperlink" Target="http://www.sec.gov/Archives/edgar/data/1087294/000144530513000573/cpixexhibit1032-perrigoxpa.htm" TargetMode="External"/><Relationship Id="rId117" Type="http://schemas.openxmlformats.org/officeDocument/2006/relationships/hyperlink" Target="http://www.sec.gov/Archives/edgar/data/1087294/000162828017011224/loanagreementexhibit1034.htm" TargetMode="External"/><Relationship Id="rId118" Type="http://schemas.openxmlformats.org/officeDocument/2006/relationships/hyperlink" Target="https://www.sec.gov/Archives/edgar/data/1087294/000162828020012738/exhibit101-amendment2l.htm" TargetMode="External"/><Relationship Id="rId119" Type="http://schemas.openxmlformats.org/officeDocument/2006/relationships/hyperlink" Target="https://www.sec.gov/Archives/edgar/data/1087294/000162828020012738/exhibit102-amendment2d.htm" TargetMode="External"/><Relationship Id="rId120" Type="http://schemas.openxmlformats.org/officeDocument/2006/relationships/hyperlink" Target="https://www.sec.gov/Archives/edgar/data/1087294/000162828020016446/a2020q3-exhibit101.htm" TargetMode="External"/><Relationship Id="rId121" Type="http://schemas.openxmlformats.org/officeDocument/2006/relationships/hyperlink" Target="https://www.sec.gov/Archives/edgar/data/1087294/000162828021023213/pinnaclelocrenewal4thloa.htm" TargetMode="External"/><Relationship Id="rId122" Type="http://schemas.openxmlformats.org/officeDocument/2006/relationships/hyperlink" Target="https://www.sec.gov/Archives/edgar/data/1087294/000162828022005942/pinnaclebank-cpiamend5to.htm" TargetMode="External"/><Relationship Id="rId124" Type="http://schemas.openxmlformats.org/officeDocument/2006/relationships/hyperlink" Target="https://www.sec.gov/Archives/edgar/data/1087294/000162828022005942/a1600westendavepartnersl.htm" TargetMode="External"/><Relationship Id="rId125" Type="http://schemas.openxmlformats.org/officeDocument/2006/relationships/hyperlink" Target="https://www.sec.gov/Archives/edgar/data/1087294/000162828022014372/pinnaclebank-cpiamend7tolo.htm" TargetMode="External"/><Relationship Id="rId126" Type="http://schemas.openxmlformats.org/officeDocument/2006/relationships/hyperlink" Target="https://www.sec.gov/Archives/edgar/data/1087294/000162828022022735/pinnaclebank-cpiamend8tolo.htm" TargetMode="External"/><Relationship Id="rId127" Type="http://schemas.openxmlformats.org/officeDocument/2006/relationships/hyperlink" Target="https://www.sec.gov/Archives/edgar/data/1087294/000162828022029906/pinnaclebank-cpiamend9tolo.htm" TargetMode="External"/><Relationship Id="rId128" Type="http://schemas.openxmlformats.org/officeDocument/2006/relationships/hyperlink" Target="http://www.sec.gov/Archives/edgar/data/1087294/000095014407004069/g06286exv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2023-03-13T16:24:26Z</dcterms:created>
  <dcterms:modified xsi:type="dcterms:W3CDTF">2023-03-13T16:24:26Z</dcterms:modified>
</cp:coreProperties>
</file>