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9, 2024 (December 9, 2024)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4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On December 9, 2024, Cumberland Pharmaceuticals Inc. (“Cumberland” or the “Company”) announced the U. S. Food and Drug Administration ("FDA") has approved a supplemental New Drug Application (sNDA) for its Acetadote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(N-acetylcysteine for injection) product. Acetadote is an intravenous (IV) formulation of N-acetylcysteine (NAC) indicated to prevent or lessen liver injury after ingestion of potentially toxic quantities of acetaminophen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The newly approved dosing regimen simplifies the administration of Acetadote by combining the first two bags of the standard regimen into a single, slower infusion.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copy of the release is furnished as </w:t>
      </w:r>
      <w:r>
        <w:rPr>
          <w:rFonts w:ascii="Times New Roman" w:cs="Times New Roman" w:eastAsia="Times New Roman" w:hAnsi="Times New Roman"/>
          <w:sz w:val="18"/>
          <w:szCs w:val="18"/>
          <w:u w:val="single" w:color="auto"/>
          <w:color w:val="0000FF"/>
        </w:rPr>
        <w:t>Exhibit 99.1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780" w:type="dxa"/>
            <w:vAlign w:val="bottom"/>
          </w:tcPr>
          <w:p>
            <w:pPr>
              <w:spacing w:after="0"/>
              <w:rPr>
                <w:sz w:val="15"/>
                <w:szCs w:val="15"/>
                <w:color w:val="auto"/>
              </w:rPr>
            </w:pPr>
          </w:p>
        </w:tc>
      </w:tr>
      <w:tr>
        <w:trPr>
          <w:trHeight w:val="445"/>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December 9, 2024</w:t>
            </w:r>
          </w:p>
        </w:tc>
      </w:tr>
      <w:tr>
        <w:trPr>
          <w:trHeight w:val="2890"/>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40" w:type="dxa"/>
            <w:vAlign w:val="bottom"/>
            <w:tcBorders>
              <w:top w:val="single" w:sz="8" w:color="0000FF"/>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6760" w:type="dxa"/>
            <w:vAlign w:val="bottom"/>
            <w:gridSpan w:val="2"/>
          </w:tcPr>
          <w:p>
            <w:pPr>
              <w:ind w:left="258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9, 2024</w:t>
            </w:r>
          </w:p>
        </w:tc>
        <w:tc>
          <w:tcPr>
            <w:tcW w:w="39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4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1999615</wp:posOffset>
            </wp:positionH>
            <wp:positionV relativeFrom="page">
              <wp:posOffset>637540</wp:posOffset>
            </wp:positionV>
            <wp:extent cx="3549015" cy="805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54901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FDA APPROVES ACETADOTE</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2"/>
          <w:szCs w:val="22"/>
          <w:b w:val="1"/>
          <w:bCs w:val="1"/>
          <w:color w:val="auto"/>
        </w:rPr>
        <w:t xml:space="preserve"> sNDA</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New Dosing Regimen Simplifies Administration -</w:t>
      </w:r>
    </w:p>
    <w:p>
      <w:pPr>
        <w:spacing w:after="0" w:line="200" w:lineRule="exact"/>
        <w:rPr>
          <w:sz w:val="20"/>
          <w:szCs w:val="20"/>
          <w:color w:val="auto"/>
        </w:rPr>
      </w:pPr>
    </w:p>
    <w:p>
      <w:pPr>
        <w:spacing w:after="0" w:line="2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NASHVILLE, Tenn. (December 9, 2024) - Cumberland Pharmaceuticals Inc. (Nasdaq: CPIX)</w:t>
      </w:r>
      <w:r>
        <w:rPr>
          <w:rFonts w:ascii="Times New Roman" w:cs="Times New Roman" w:eastAsia="Times New Roman" w:hAnsi="Times New Roman"/>
          <w:sz w:val="22"/>
          <w:szCs w:val="22"/>
          <w:color w:val="auto"/>
        </w:rPr>
        <w:t>, a specialty pharmaceutical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focused on delivering high-quality products to improve patient care, announced today the FDA has approved a supplemental New Drug Application (sNDA) for its Acetadote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(N-acetylcysteine for injection) product. Acetadote is an intravenous (IV) formulation of N-acetylcysteine (NAC) indicated to prevent or lessen liver injury after ingestion of potentially toxic quantities of acetaminophen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w:t>
      </w:r>
    </w:p>
    <w:p>
      <w:pPr>
        <w:spacing w:after="0" w:line="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Acetaminophen, a common over-the-counter pain reliever and fever reducer, is the leading cause of acute liver failure in the United States. Each year, thousands of individuals experience accidental or intentional acetaminophen poisoning, leading to serious liver damage.</w:t>
      </w:r>
    </w:p>
    <w:p>
      <w:pPr>
        <w:spacing w:after="0" w:line="10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newly approved dosing regimen simplifies the administration of Acetadote by combining the first two bags of the standard regimen into a single, slower infusion. This streamlined approach has been implemented in hospitals across multiple countries and demonstrated to reduce the frequency of medication errors and potentially serious non-allergic anaphylactoid reactions (NAARs) without compromising the effectiveness of Acetadote</w:t>
      </w:r>
      <w:r>
        <w:rPr>
          <w:rFonts w:ascii="Times New Roman" w:cs="Times New Roman" w:eastAsia="Times New Roman" w:hAnsi="Times New Roman"/>
          <w:sz w:val="28"/>
          <w:szCs w:val="28"/>
          <w:color w:val="auto"/>
          <w:vertAlign w:val="superscript"/>
        </w:rPr>
        <w:t>2-6</w:t>
      </w:r>
      <w:r>
        <w:rPr>
          <w:rFonts w:ascii="Times New Roman" w:cs="Times New Roman" w:eastAsia="Times New Roman" w:hAnsi="Times New Roman"/>
          <w:sz w:val="22"/>
          <w:szCs w:val="22"/>
          <w:color w:val="auto"/>
        </w:rPr>
        <w:t>. By simplifying the dosing regimen, health care providers can administer the life-saving treatment more efficiently, potentially improving patient outcomes.</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FDA approval is a significant step forward in the treatment of acetaminophen overdose,” said Rick Dart, MD, PhD, Director at the Rocky Mountain Poison and Drug Center. “By streamlining the administration of NAC, we can improve patient outcomes and reduce the risk of adverse events. This simplified dosing regimen is a valuable tool for health care providers in managing this potentially life-threatening condition.”</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“We are thrilled to announce the FDA approval of this simplified dosing regimen for Acetadote,” said A.J. Kazimi, Cumberland's Chief Executive Officer. “This important milestone underscores our commitment to improving patient care and providing innovative solutions for urgent medical needs. By streamlining the administration process, we aim to enhance patient outcomes and reduce the burden on health care providers.”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Key Highlights:</w:t>
      </w:r>
    </w:p>
    <w:p>
      <w:pPr>
        <w:spacing w:after="0" w:line="14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FDA-approved sNDA adds a simplified, IV NAC dosing regimen to the product prescribing information.</w:t>
      </w:r>
    </w:p>
    <w:p>
      <w:pPr>
        <w:spacing w:after="0" w:line="15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IV NAC dosing regimen is both safe and effective.</w:t>
      </w:r>
    </w:p>
    <w:p>
      <w:pPr>
        <w:spacing w:after="0" w:line="15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dosing regimen aims to minimize interruptions in care, medication errors and incidence of dose-related reactions.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Cumberland Pharmaceuticals</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Inc. </w:t>
      </w:r>
      <w:r>
        <w:rPr>
          <w:rFonts w:ascii="Times New Roman" w:cs="Times New Roman" w:eastAsia="Times New Roman" w:hAnsi="Times New Roman"/>
          <w:sz w:val="22"/>
          <w:szCs w:val="22"/>
          <w:color w:val="auto"/>
        </w:rPr>
        <w:t>is the largest biopharmaceutical company founded and headquartered in Tennessee and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focused on providing unique products that improve the quality of patient care. The company develops, acquires, and commercializes products for the hospital acute care, gastroenterology and oncology market segments.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portfolio of FDA-approved brands includes:</w:t>
      </w:r>
    </w:p>
    <w:p>
      <w:pPr>
        <w:spacing w:after="0" w:line="14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Acetadote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acetylcysteine</w:t>
      </w:r>
      <w:r>
        <w:rPr>
          <w:rFonts w:ascii="Times New Roman" w:cs="Times New Roman" w:eastAsia="Times New Roman" w:hAnsi="Times New Roman"/>
          <w:sz w:val="22"/>
          <w:szCs w:val="22"/>
          <w:color w:val="auto"/>
        </w:rPr>
        <w:t>) injection, for the treatment of acetaminophen poisoning;</w:t>
      </w:r>
    </w:p>
    <w:p>
      <w:pPr>
        <w:spacing w:after="0" w:line="7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ibuprofen</w:t>
      </w:r>
      <w:r>
        <w:rPr>
          <w:rFonts w:ascii="Times New Roman" w:cs="Times New Roman" w:eastAsia="Times New Roman" w:hAnsi="Times New Roman"/>
          <w:sz w:val="22"/>
          <w:szCs w:val="22"/>
          <w:color w:val="auto"/>
        </w:rPr>
        <w:t>) injection, for the treatment of pain and fever;</w:t>
      </w:r>
    </w:p>
    <w:p>
      <w:pPr>
        <w:spacing w:after="0" w:line="8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Kristalose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lactulose</w:t>
      </w:r>
      <w:r>
        <w:rPr>
          <w:rFonts w:ascii="Times New Roman" w:cs="Times New Roman" w:eastAsia="Times New Roman" w:hAnsi="Times New Roman"/>
          <w:sz w:val="22"/>
          <w:szCs w:val="22"/>
          <w:color w:val="auto"/>
        </w:rPr>
        <w:t>) oral, a prescription laxative, for the treatment of constipation;</w:t>
      </w:r>
    </w:p>
    <w:p>
      <w:pPr>
        <w:spacing w:after="0" w:line="83" w:lineRule="exact"/>
        <w:rPr>
          <w:rFonts w:ascii="Times New Roman" w:cs="Times New Roman" w:eastAsia="Times New Roman" w:hAnsi="Times New Roman"/>
          <w:sz w:val="22"/>
          <w:szCs w:val="22"/>
          <w:color w:val="auto"/>
        </w:rPr>
      </w:pPr>
    </w:p>
    <w:p>
      <w:pPr>
        <w:ind w:left="660" w:right="560" w:hanging="328"/>
        <w:spacing w:after="0" w:line="226"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Sancuso</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granisetron</w:t>
      </w:r>
      <w:r>
        <w:rPr>
          <w:rFonts w:ascii="Times New Roman" w:cs="Times New Roman" w:eastAsia="Times New Roman" w:hAnsi="Times New Roman"/>
          <w:sz w:val="22"/>
          <w:szCs w:val="22"/>
          <w:color w:val="auto"/>
        </w:rPr>
        <w:t>) transdermal, for the prevention of nausea and vomiting in patients receiving certain types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chemotherapy treatment;</w:t>
      </w:r>
    </w:p>
    <w:p>
      <w:pPr>
        <w:spacing w:after="0" w:line="120" w:lineRule="exact"/>
        <w:rPr>
          <w:rFonts w:ascii="Times New Roman" w:cs="Times New Roman" w:eastAsia="Times New Roman" w:hAnsi="Times New Roman"/>
          <w:sz w:val="22"/>
          <w:szCs w:val="22"/>
          <w:color w:val="auto"/>
        </w:rPr>
      </w:pPr>
    </w:p>
    <w:p>
      <w:pPr>
        <w:ind w:left="660" w:right="140" w:hanging="328"/>
        <w:spacing w:after="0" w:line="226"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conivaptan</w:t>
      </w:r>
      <w:r>
        <w:rPr>
          <w:rFonts w:ascii="Times New Roman" w:cs="Times New Roman" w:eastAsia="Times New Roman" w:hAnsi="Times New Roman"/>
          <w:sz w:val="22"/>
          <w:szCs w:val="22"/>
          <w:color w:val="auto"/>
        </w:rPr>
        <w:t>) injection, to raise serum sodium levels in hospitalized patients with euvolemic and hypervolemic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hyponatremia; and</w:t>
      </w:r>
    </w:p>
    <w:p>
      <w:pPr>
        <w:spacing w:after="0" w:line="120" w:lineRule="exact"/>
        <w:rPr>
          <w:rFonts w:ascii="Times New Roman" w:cs="Times New Roman" w:eastAsia="Times New Roman" w:hAnsi="Times New Roman"/>
          <w:sz w:val="22"/>
          <w:szCs w:val="22"/>
          <w:color w:val="auto"/>
        </w:rPr>
      </w:pPr>
    </w:p>
    <w:p>
      <w:pPr>
        <w:ind w:left="660" w:right="320" w:hanging="328"/>
        <w:spacing w:after="0" w:line="226"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telavancin</w:t>
      </w:r>
      <w:r>
        <w:rPr>
          <w:rFonts w:ascii="Times New Roman" w:cs="Times New Roman" w:eastAsia="Times New Roman" w:hAnsi="Times New Roman"/>
          <w:sz w:val="22"/>
          <w:szCs w:val="22"/>
          <w:color w:val="auto"/>
        </w:rPr>
        <w:t>) injection, for the treatment of certain serious bacterial infections including hospital-acquired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ventilator-associated bacterial pneumonia, as well as complicated skin and skin structure infections.</w:t>
      </w:r>
    </w:p>
    <w:p>
      <w:pPr>
        <w:spacing w:after="0" w:line="1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company also has a series of Phase II clinical programs underway evaluating its ifetroban product candidate in patients with cardiomyopathy associated with Duchenne Muscular Dystrophy, Systemic Sclerosis and Idiopathic Pulmonary Fibrosis.</w:t>
      </w:r>
    </w:p>
    <w:p>
      <w:pPr>
        <w:spacing w:after="0" w:line="9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 xml:space="preserve">For more information on Cumberland’s approved products, including full prescribing information, please visit the individual product websites, which can be found on the company’s website </w:t>
      </w:r>
      <w:r>
        <w:rPr>
          <w:rFonts w:ascii="Times New Roman" w:cs="Times New Roman" w:eastAsia="Times New Roman" w:hAnsi="Times New Roman"/>
          <w:sz w:val="22"/>
          <w:szCs w:val="22"/>
          <w:color w:val="0563C1"/>
        </w:rPr>
        <w:t>www.cumberlandpharma.com</w:t>
      </w:r>
      <w:r>
        <w:rPr>
          <w:rFonts w:ascii="Times New Roman" w:cs="Times New Roman" w:eastAsia="Times New Roman" w:hAnsi="Times New Roman"/>
          <w:sz w:val="22"/>
          <w:szCs w:val="22"/>
          <w:color w:val="auto"/>
        </w:rPr>
        <w: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References:</w:t>
      </w:r>
    </w:p>
    <w:p>
      <w:pPr>
        <w:spacing w:after="0" w:line="15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Acetadote [Package Insert]. Nashville, TN: Cumberland Pharmaceuticals, Inc.; 2024.</w:t>
      </w:r>
    </w:p>
    <w:p>
      <w:pPr>
        <w:spacing w:after="0" w:line="152" w:lineRule="exact"/>
        <w:rPr>
          <w:rFonts w:ascii="Times New Roman" w:cs="Times New Roman" w:eastAsia="Times New Roman" w:hAnsi="Times New Roman"/>
          <w:sz w:val="22"/>
          <w:szCs w:val="22"/>
          <w:color w:val="auto"/>
        </w:rPr>
      </w:pPr>
    </w:p>
    <w:p>
      <w:pPr>
        <w:ind w:left="660" w:right="1100" w:hanging="328"/>
        <w:spacing w:after="0" w:line="271"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O'Callaghan C, Graudins A, Wong A. A two-bag acetylcysteine regimen is associated with shorter delays and interruptions in the treatment of paracetamol overdose. Clin Toxicol (Phila). 2022 Mar;60(3):319-323.</w:t>
      </w:r>
    </w:p>
    <w:p>
      <w:pPr>
        <w:spacing w:after="0" w:line="90" w:lineRule="exact"/>
        <w:rPr>
          <w:rFonts w:ascii="Times New Roman" w:cs="Times New Roman" w:eastAsia="Times New Roman" w:hAnsi="Times New Roman"/>
          <w:sz w:val="22"/>
          <w:szCs w:val="22"/>
          <w:color w:val="auto"/>
        </w:rPr>
      </w:pPr>
    </w:p>
    <w:p>
      <w:pPr>
        <w:ind w:left="660" w:right="260" w:hanging="328"/>
        <w:spacing w:after="0" w:line="271"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Sudanagunta S, Camarena-Michel A, Pennington S, et al. Comparison of Two-Bag Versus Three-Bag N-Acetylcysteine Regimens for Pediatric Acetaminophen Toxicity. Ann Pharmacother. 2023 Jan;57(1):36-43.</w:t>
      </w:r>
    </w:p>
    <w:p>
      <w:pPr>
        <w:spacing w:after="0" w:line="90" w:lineRule="exact"/>
        <w:rPr>
          <w:rFonts w:ascii="Times New Roman" w:cs="Times New Roman" w:eastAsia="Times New Roman" w:hAnsi="Times New Roman"/>
          <w:sz w:val="22"/>
          <w:szCs w:val="22"/>
          <w:color w:val="auto"/>
        </w:rPr>
      </w:pPr>
    </w:p>
    <w:p>
      <w:pPr>
        <w:ind w:left="660" w:right="280" w:hanging="328"/>
        <w:spacing w:after="0" w:line="295" w:lineRule="auto"/>
        <w:tabs>
          <w:tab w:leader="none" w:pos="6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Syafira N, Graudins A, Yarema M, et al. Comparing development of liver injury using the two versus three bag acetylcysteine regimen despite early treatment in paracetamol overdose. Clin Toxicol (Phila). 2022 Apr;60(4):478-485.</w:t>
      </w:r>
    </w:p>
    <w:p>
      <w:pPr>
        <w:spacing w:after="0" w:line="67" w:lineRule="exact"/>
        <w:rPr>
          <w:rFonts w:ascii="Times New Roman" w:cs="Times New Roman" w:eastAsia="Times New Roman" w:hAnsi="Times New Roman"/>
          <w:sz w:val="21"/>
          <w:szCs w:val="21"/>
          <w:color w:val="auto"/>
        </w:rPr>
      </w:pPr>
    </w:p>
    <w:p>
      <w:pPr>
        <w:ind w:left="660" w:right="100" w:hanging="328"/>
        <w:spacing w:after="0" w:line="257"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Wong A, Isbister G, McNulty R, Isoardi K, Harris K, Chiew A, Greene S, Gunja N, Buckley N, Page C, Graudins A. Efficacy of a two bag acetylcysteine regimen to treat paracetamol overdose (2NAC study). EClinicalMedicine. 2020 Mar 19;20:100288</w:t>
      </w:r>
    </w:p>
    <w:p>
      <w:pPr>
        <w:spacing w:after="0" w:line="105" w:lineRule="exact"/>
        <w:rPr>
          <w:rFonts w:ascii="Times New Roman" w:cs="Times New Roman" w:eastAsia="Times New Roman" w:hAnsi="Times New Roman"/>
          <w:sz w:val="22"/>
          <w:szCs w:val="22"/>
          <w:color w:val="auto"/>
        </w:rPr>
      </w:pPr>
    </w:p>
    <w:p>
      <w:pPr>
        <w:ind w:left="660" w:right="80" w:hanging="328"/>
        <w:spacing w:after="0" w:line="271"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Cole JB, Oakland CL, Lee SC, et al. Is two better than three? A systematic review of two-bag intravenous NAC regimens for acetaminophen poisoning. West J Emerg Med. 2023 Sep;24(6)</w:t>
      </w:r>
    </w:p>
    <w:p>
      <w:pPr>
        <w:sectPr>
          <w:pgSz w:w="11900" w:h="16838" w:orient="portrait"/>
          <w:cols w:equalWidth="0" w:num="1">
            <w:col w:w="11240"/>
          </w:cols>
          <w:pgMar w:left="320" w:top="9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macroeconomic conditions, including rising interest rates and inflation,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annual report on Form 10-K as filed with the U.S. Securities and Exchange Commission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Cumberland Pharmaceuticals Inc.</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 Media Contact: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Shayla Simpson Molly Aggas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Cumberland Pharmaceuticals Dalton Agency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(615) 255-0068 (704) 641-6641</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2024-12-09T16:07:11Z</dcterms:created>
  <dcterms:modified xsi:type="dcterms:W3CDTF">2024-12-09T16:07:11Z</dcterms:modified>
</cp:coreProperties>
</file>