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2021 (December 31,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31, 2021, Cumberland Pharmaceuticals Inc. (the “Company” or “Cumberland”) entered into an amendment to expand the capital available on its bank line of credit to $20 million. The Company has previously used proceeds from the line to fund acquisitions, working capital and general corporate purposes.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Amendment was to the Company’s </w:t>
      </w:r>
      <w:r>
        <w:rPr>
          <w:rFonts w:ascii="Arial" w:cs="Arial" w:eastAsia="Arial" w:hAnsi="Arial"/>
          <w:sz w:val="18"/>
          <w:szCs w:val="18"/>
          <w:i w:val="1"/>
          <w:iCs w:val="1"/>
          <w:color w:val="auto"/>
        </w:rPr>
        <w:t>Revolving Credit Loan Agreement</w:t>
      </w:r>
      <w:r>
        <w:rPr>
          <w:rFonts w:ascii="Arial" w:cs="Arial" w:eastAsia="Arial" w:hAnsi="Arial"/>
          <w:sz w:val="18"/>
          <w:szCs w:val="18"/>
          <w:color w:val="auto"/>
        </w:rPr>
        <w:t xml:space="preserve"> with Pinnacle Bank and increased the principal available to $20 million. As of December 31, 2021, the interest rate for funds drawn on the facility is 1.85% - 2.60% depending on the funded debt to EBITDA ratio. Borrowings under the line of credit are collateralized by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6700" w:type="dxa"/>
            <w:vAlign w:val="bottom"/>
            <w:gridSpan w:val="2"/>
          </w:tcPr>
          <w:p>
            <w:pPr>
              <w:ind w:left="252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460" w:type="dxa"/>
            <w:vAlign w:val="bottom"/>
          </w:tcPr>
          <w:p>
            <w:pPr>
              <w:spacing w:after="0"/>
              <w:rPr>
                <w:sz w:val="20"/>
                <w:szCs w:val="20"/>
                <w:color w:val="auto"/>
              </w:rPr>
            </w:pPr>
            <w:r>
              <w:rPr>
                <w:rFonts w:ascii="Arial" w:cs="Arial" w:eastAsia="Arial" w:hAnsi="Arial"/>
                <w:sz w:val="18"/>
                <w:szCs w:val="18"/>
                <w:color w:val="auto"/>
              </w:rPr>
              <w:t>Dated: December 31, 2021</w:t>
            </w:r>
          </w:p>
        </w:tc>
        <w:tc>
          <w:tcPr>
            <w:tcW w:w="3880" w:type="dxa"/>
            <w:vAlign w:val="bottom"/>
          </w:tcPr>
          <w:p>
            <w:pPr>
              <w:ind w:left="252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9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2022-01-03T07:59:16Z</dcterms:created>
  <dcterms:modified xsi:type="dcterms:W3CDTF">2022-01-03T07:59:16Z</dcterms:modified>
</cp:coreProperties>
</file>