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5"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720" w:hanging="678"/>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5"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1470" w:type="dxa"/>
        <w:tblCellMar>
          <w:top w:w="0" w:type="dxa"/>
          <w:left w:w="0" w:type="dxa"/>
          <w:bottom w:w="0" w:type="dxa"/>
          <w:right w:w="0" w:type="dxa"/>
        </w:tblCellMar>
      </w:tblPr>
      <w:tr>
        <w:trPr>
          <w:trHeight w:val="225"/>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tcPr>
          <w:p>
            <w:pPr>
              <w:jc w:val="right"/>
              <w:ind w:right="738"/>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48"/>
        </w:trPr>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tcPr>
          <w:p>
            <w:pPr>
              <w:jc w:val="center"/>
              <w:ind w:left="898"/>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60" w:type="dxa"/>
            <w:vAlign w:val="bottom"/>
          </w:tcPr>
          <w:p>
            <w:pPr>
              <w:jc w:val="center"/>
              <w:ind w:left="89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69"/>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1600 West End Avenue, Suite 1300,</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60" w:type="dxa"/>
            <w:vAlign w:val="bottom"/>
            <w:vMerge w:val="restart"/>
          </w:tcPr>
          <w:p>
            <w:pPr>
              <w:jc w:val="right"/>
              <w:ind w:right="938"/>
              <w:spacing w:after="0"/>
              <w:rPr>
                <w:sz w:val="20"/>
                <w:szCs w:val="20"/>
                <w:color w:val="auto"/>
              </w:rPr>
            </w:pPr>
            <w:r>
              <w:rPr>
                <w:rFonts w:ascii="Arial" w:cs="Arial" w:eastAsia="Arial" w:hAnsi="Arial"/>
                <w:sz w:val="18"/>
                <w:szCs w:val="18"/>
                <w:b w:val="1"/>
                <w:bCs w:val="1"/>
                <w:color w:val="auto"/>
              </w:rPr>
              <w:t>37203</w:t>
            </w:r>
          </w:p>
        </w:tc>
        <w:tc>
          <w:tcPr>
            <w:tcW w:w="0" w:type="dxa"/>
            <w:vAlign w:val="bottom"/>
          </w:tcPr>
          <w:p>
            <w:pPr>
              <w:spacing w:after="0"/>
              <w:rPr>
                <w:sz w:val="1"/>
                <w:szCs w:val="1"/>
                <w:color w:val="auto"/>
              </w:rPr>
            </w:pPr>
          </w:p>
        </w:tc>
      </w:tr>
      <w:tr>
        <w:trPr>
          <w:trHeight w:val="220"/>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60" w:type="dxa"/>
            <w:vAlign w:val="bottom"/>
          </w:tcPr>
          <w:p>
            <w:pPr>
              <w:jc w:val="center"/>
              <w:ind w:left="87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475"/>
        </w:trPr>
        <w:tc>
          <w:tcPr>
            <w:tcW w:w="2720" w:type="dxa"/>
            <w:vAlign w:val="bottom"/>
          </w:tcPr>
          <w:p>
            <w:pPr>
              <w:spacing w:after="0"/>
              <w:rPr>
                <w:sz w:val="24"/>
                <w:szCs w:val="24"/>
                <w:color w:val="auto"/>
              </w:rPr>
            </w:pPr>
          </w:p>
        </w:tc>
        <w:tc>
          <w:tcPr>
            <w:tcW w:w="2160" w:type="dxa"/>
            <w:vAlign w:val="bottom"/>
            <w:gridSpan w:val="4"/>
          </w:tcPr>
          <w:p>
            <w:pPr>
              <w:jc w:val="center"/>
              <w:ind w:left="630"/>
              <w:spacing w:after="0"/>
              <w:rPr>
                <w:sz w:val="20"/>
                <w:szCs w:val="20"/>
                <w:color w:val="auto"/>
              </w:rPr>
            </w:pPr>
            <w:r>
              <w:rPr>
                <w:rFonts w:ascii="Arial" w:cs="Arial" w:eastAsia="Arial" w:hAnsi="Arial"/>
                <w:sz w:val="18"/>
                <w:szCs w:val="18"/>
                <w:b w:val="1"/>
                <w:bCs w:val="1"/>
                <w:color w:val="auto"/>
                <w:w w:val="90"/>
              </w:rPr>
              <w:t>(615) 255-0068</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0" w:type="dxa"/>
            <w:vAlign w:val="bottom"/>
          </w:tcPr>
          <w:p>
            <w:pPr>
              <w:spacing w:after="0"/>
              <w:rPr>
                <w:sz w:val="1"/>
                <w:szCs w:val="1"/>
                <w:color w:val="auto"/>
              </w:rPr>
            </w:pPr>
          </w:p>
        </w:tc>
      </w:tr>
      <w:tr>
        <w:trPr>
          <w:trHeight w:val="201"/>
        </w:trPr>
        <w:tc>
          <w:tcPr>
            <w:tcW w:w="2820" w:type="dxa"/>
            <w:vAlign w:val="bottom"/>
            <w:tcBorders>
              <w:bottom w:val="single" w:sz="8" w:color="auto"/>
            </w:tcBorders>
            <w:gridSpan w:val="2"/>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34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30"/>
        </w:trPr>
        <w:tc>
          <w:tcPr>
            <w:tcW w:w="272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100" w:type="dxa"/>
            <w:vAlign w:val="bottom"/>
          </w:tcPr>
          <w:p>
            <w:pPr>
              <w:spacing w:after="0"/>
              <w:rPr>
                <w:sz w:val="20"/>
                <w:szCs w:val="20"/>
                <w:color w:val="auto"/>
              </w:rPr>
            </w:pPr>
          </w:p>
        </w:tc>
        <w:tc>
          <w:tcPr>
            <w:tcW w:w="206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Trading Symbol</w:t>
            </w:r>
          </w:p>
        </w:tc>
        <w:tc>
          <w:tcPr>
            <w:tcW w:w="3460" w:type="dxa"/>
            <w:vAlign w:val="bottom"/>
            <w:tcBorders>
              <w:right w:val="single" w:sz="8" w:color="auto"/>
            </w:tcBorders>
          </w:tcPr>
          <w:p>
            <w:pPr>
              <w:jc w:val="center"/>
              <w:ind w:right="258"/>
              <w:spacing w:after="0"/>
              <w:rPr>
                <w:sz w:val="20"/>
                <w:szCs w:val="20"/>
                <w:color w:val="auto"/>
              </w:rPr>
            </w:pPr>
            <w:r>
              <w:rPr>
                <w:rFonts w:ascii="Arial" w:cs="Arial" w:eastAsia="Arial" w:hAnsi="Arial"/>
                <w:sz w:val="18"/>
                <w:szCs w:val="18"/>
                <w:color w:val="auto"/>
                <w:w w:val="89"/>
              </w:rPr>
              <w:t>Name of exchange on which registered</w:t>
            </w:r>
          </w:p>
        </w:tc>
        <w:tc>
          <w:tcPr>
            <w:tcW w:w="0" w:type="dxa"/>
            <w:vAlign w:val="bottom"/>
          </w:tcPr>
          <w:p>
            <w:pPr>
              <w:spacing w:after="0"/>
              <w:rPr>
                <w:sz w:val="1"/>
                <w:szCs w:val="1"/>
                <w:color w:val="auto"/>
              </w:rPr>
            </w:pPr>
          </w:p>
        </w:tc>
      </w:tr>
      <w:tr>
        <w:trPr>
          <w:trHeight w:val="230"/>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Borders>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1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3460" w:type="dxa"/>
            <w:vAlign w:val="bottom"/>
            <w:tcBorders>
              <w:top w:val="single" w:sz="8" w:color="auto"/>
              <w:bottom w:val="single" w:sz="8" w:color="auto"/>
              <w:right w:val="single" w:sz="8" w:color="auto"/>
            </w:tcBorders>
          </w:tcPr>
          <w:p>
            <w:pPr>
              <w:jc w:val="center"/>
              <w:ind w:right="258"/>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1" w:lineRule="exact"/>
        <w:rPr>
          <w:sz w:val="24"/>
          <w:szCs w:val="24"/>
          <w:color w:val="auto"/>
        </w:rPr>
      </w:pPr>
    </w:p>
    <w:p>
      <w:pPr>
        <w:jc w:val="both"/>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1"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tbl>
      <w:tblPr>
        <w:tblLayout w:type="fixed"/>
        <w:tblInd w:w="0" w:type="dxa"/>
        <w:tblCellMar>
          <w:top w:w="0" w:type="dxa"/>
          <w:left w:w="0" w:type="dxa"/>
          <w:bottom w:w="0" w:type="dxa"/>
          <w:right w:w="0" w:type="dxa"/>
        </w:tblCellMar>
      </w:tblPr>
      <w:tr>
        <w:trPr>
          <w:trHeight w:val="187"/>
        </w:trPr>
        <w:tc>
          <w:tcPr>
            <w:tcW w:w="2420" w:type="dxa"/>
            <w:vAlign w:val="bottom"/>
          </w:tcPr>
          <w:p>
            <w:pPr>
              <w:spacing w:after="0" w:line="188" w:lineRule="exact"/>
              <w:rPr>
                <w:sz w:val="20"/>
                <w:szCs w:val="20"/>
                <w:color w:val="auto"/>
              </w:rPr>
            </w:pPr>
            <w:r>
              <w:rPr>
                <w:rFonts w:ascii="Arial" w:cs="Arial" w:eastAsia="Arial" w:hAnsi="Arial"/>
                <w:sz w:val="17"/>
                <w:szCs w:val="17"/>
                <w:color w:val="auto"/>
              </w:rPr>
              <w:t>of</w:t>
            </w:r>
          </w:p>
        </w:tc>
        <w:tc>
          <w:tcPr>
            <w:tcW w:w="2900" w:type="dxa"/>
            <w:vAlign w:val="bottom"/>
          </w:tcPr>
          <w:p>
            <w:pPr>
              <w:ind w:left="1040"/>
              <w:spacing w:after="0" w:line="188" w:lineRule="exact"/>
              <w:rPr>
                <w:sz w:val="20"/>
                <w:szCs w:val="20"/>
                <w:color w:val="auto"/>
              </w:rPr>
            </w:pPr>
            <w:r>
              <w:rPr>
                <w:rFonts w:ascii="Arial" w:cs="Arial" w:eastAsia="Arial" w:hAnsi="Arial"/>
                <w:sz w:val="17"/>
                <w:szCs w:val="17"/>
                <w:color w:val="auto"/>
              </w:rPr>
              <w:t>the</w:t>
            </w:r>
          </w:p>
        </w:tc>
        <w:tc>
          <w:tcPr>
            <w:tcW w:w="5080" w:type="dxa"/>
            <w:vAlign w:val="bottom"/>
          </w:tcPr>
          <w:p>
            <w:pPr>
              <w:ind w:left="1660"/>
              <w:spacing w:after="0" w:line="188" w:lineRule="exact"/>
              <w:rPr>
                <w:sz w:val="20"/>
                <w:szCs w:val="20"/>
                <w:color w:val="auto"/>
              </w:rPr>
            </w:pPr>
            <w:r>
              <w:rPr>
                <w:rFonts w:ascii="Arial" w:cs="Arial" w:eastAsia="Arial" w:hAnsi="Arial"/>
                <w:sz w:val="17"/>
                <w:szCs w:val="17"/>
                <w:color w:val="auto"/>
              </w:rPr>
              <w:t>Exchange</w:t>
            </w:r>
          </w:p>
        </w:tc>
        <w:tc>
          <w:tcPr>
            <w:tcW w:w="840" w:type="dxa"/>
            <w:vAlign w:val="bottom"/>
          </w:tcPr>
          <w:p>
            <w:pPr>
              <w:ind w:left="560"/>
              <w:spacing w:after="0" w:line="188" w:lineRule="exact"/>
              <w:rPr>
                <w:sz w:val="20"/>
                <w:szCs w:val="20"/>
                <w:color w:val="auto"/>
              </w:rPr>
            </w:pPr>
            <w:r>
              <w:rPr>
                <w:rFonts w:ascii="Arial" w:cs="Arial" w:eastAsia="Arial" w:hAnsi="Arial"/>
                <w:sz w:val="17"/>
                <w:szCs w:val="17"/>
                <w:color w:val="auto"/>
                <w:w w:val="88"/>
              </w:rPr>
              <w:t>Act.</w:t>
            </w:r>
          </w:p>
        </w:tc>
      </w:tr>
      <w:tr>
        <w:trPr>
          <w:trHeight w:val="229"/>
        </w:trPr>
        <w:tc>
          <w:tcPr>
            <w:tcW w:w="242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680"/>
              <w:spacing w:after="0"/>
              <w:rPr>
                <w:sz w:val="20"/>
                <w:szCs w:val="20"/>
                <w:color w:val="auto"/>
              </w:rPr>
            </w:pPr>
            <w:r>
              <w:rPr>
                <w:rFonts w:ascii="Arial" w:cs="Arial" w:eastAsia="Arial" w:hAnsi="Arial"/>
                <w:sz w:val="17"/>
                <w:szCs w:val="17"/>
                <w:color w:val="auto"/>
              </w:rPr>
              <w:t>Accelerated filer</w:t>
            </w:r>
          </w:p>
        </w:tc>
        <w:tc>
          <w:tcPr>
            <w:tcW w:w="8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ind w:left="2680"/>
              <w:spacing w:after="0"/>
              <w:rPr>
                <w:sz w:val="20"/>
                <w:szCs w:val="20"/>
                <w:color w:val="auto"/>
              </w:rPr>
            </w:pPr>
            <w:r>
              <w:rPr>
                <w:rFonts w:ascii="Arial" w:cs="Arial" w:eastAsia="Arial" w:hAnsi="Arial"/>
                <w:sz w:val="17"/>
                <w:szCs w:val="17"/>
                <w:color w:val="auto"/>
              </w:rPr>
              <w:t>Smaller reporting company</w:t>
            </w:r>
          </w:p>
        </w:tc>
        <w:tc>
          <w:tcPr>
            <w:tcW w:w="84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50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61" w:lineRule="exact"/>
        <w:rPr>
          <w:sz w:val="24"/>
          <w:szCs w:val="24"/>
          <w:color w:val="auto"/>
        </w:rPr>
      </w:pPr>
    </w:p>
    <w:p>
      <w:pPr>
        <w:jc w:val="both"/>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p>
      <w:pPr>
        <w:spacing w:after="0" w:line="196" w:lineRule="exact"/>
        <w:tabs>
          <w:tab w:leader="none" w:pos="84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1" w:lineRule="exact"/>
        <w:rPr>
          <w:sz w:val="24"/>
          <w:szCs w:val="24"/>
          <w:color w:val="auto"/>
        </w:rPr>
      </w:pPr>
    </w:p>
    <w:p>
      <w:pPr>
        <w:ind w:right="160"/>
        <w:spacing w:after="0" w:line="290"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14,371,214 shares of common stock as of August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CUMBERLAND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PART I – FINANCIAL INFORMATION</w:t>
            </w: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Arial" w:cs="Arial" w:eastAsia="Arial" w:hAnsi="Arial"/>
                <w:sz w:val="18"/>
                <w:szCs w:val="18"/>
                <w:color w:val="0000FF"/>
              </w:rPr>
              <w:t>Item 1. Financial Statements (Unaudited)</w:t>
            </w: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Arial" w:cs="Arial" w:eastAsia="Arial" w:hAnsi="Arial"/>
                <w:sz w:val="18"/>
                <w:szCs w:val="18"/>
                <w:color w:val="0000FF"/>
                <w:w w:val="87"/>
              </w:rPr>
              <w:t>Condensed Consolidated Balance Sheets</w:t>
            </w:r>
          </w:p>
        </w:tc>
        <w:tc>
          <w:tcPr>
            <w:tcW w:w="3960" w:type="dxa"/>
            <w:vAlign w:val="bottom"/>
            <w:gridSpan w:val="6"/>
          </w:tcPr>
          <w:p>
            <w:pPr>
              <w:spacing w:after="0"/>
              <w:rPr>
                <w:sz w:val="24"/>
                <w:szCs w:val="24"/>
                <w:color w:val="auto"/>
              </w:rPr>
            </w:pP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3240" w:type="dxa"/>
            <w:vAlign w:val="bottom"/>
            <w:gridSpan w:val="4"/>
          </w:tcPr>
          <w:p>
            <w:pPr>
              <w:spacing w:after="0"/>
              <w:rPr>
                <w:sz w:val="24"/>
                <w:szCs w:val="24"/>
                <w:color w:val="auto"/>
              </w:rPr>
            </w:pP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3180" w:type="dxa"/>
            <w:vAlign w:val="bottom"/>
            <w:gridSpan w:val="3"/>
          </w:tcPr>
          <w:p>
            <w:pPr>
              <w:spacing w:after="0"/>
              <w:rPr>
                <w:sz w:val="24"/>
                <w:szCs w:val="24"/>
                <w:color w:val="auto"/>
              </w:rPr>
            </w:pP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3180" w:type="dxa"/>
            <w:vAlign w:val="bottom"/>
            <w:gridSpan w:val="3"/>
          </w:tcPr>
          <w:p>
            <w:pPr>
              <w:spacing w:after="0"/>
              <w:rPr>
                <w:sz w:val="24"/>
                <w:szCs w:val="24"/>
                <w:color w:val="auto"/>
              </w:rPr>
            </w:pP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4"/>
          </w:tcPr>
          <w:p>
            <w:pPr>
              <w:spacing w:after="0"/>
              <w:rPr>
                <w:sz w:val="20"/>
                <w:szCs w:val="20"/>
                <w:color w:val="auto"/>
              </w:rPr>
            </w:pPr>
            <w:r>
              <w:rPr>
                <w:rFonts w:ascii="Arial" w:cs="Arial" w:eastAsia="Arial" w:hAnsi="Arial"/>
                <w:sz w:val="18"/>
                <w:szCs w:val="18"/>
                <w:color w:val="0000FF"/>
                <w:w w:val="89"/>
              </w:rPr>
              <w:t>Notes to the Unaudited Condensed Consolidated Financial Statements</w:t>
            </w:r>
          </w:p>
        </w:tc>
        <w:tc>
          <w:tcPr>
            <w:tcW w:w="1840" w:type="dxa"/>
            <w:vAlign w:val="bottom"/>
          </w:tcPr>
          <w:p>
            <w:pPr>
              <w:spacing w:after="0"/>
              <w:rPr>
                <w:sz w:val="24"/>
                <w:szCs w:val="24"/>
                <w:color w:val="auto"/>
              </w:rPr>
            </w:pPr>
          </w:p>
        </w:tc>
        <w:tc>
          <w:tcPr>
            <w:tcW w:w="382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15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gridSpan w:val="14"/>
          </w:tcPr>
          <w:p>
            <w:pPr>
              <w:ind w:left="20"/>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4.</w:t>
            </w:r>
          </w:p>
        </w:tc>
        <w:tc>
          <w:tcPr>
            <w:tcW w:w="1800" w:type="dxa"/>
            <w:vAlign w:val="bottom"/>
            <w:gridSpan w:val="5"/>
          </w:tcPr>
          <w:p>
            <w:pPr>
              <w:ind w:left="20"/>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gridSpan w:val="7"/>
          </w:tcPr>
          <w:p>
            <w:pPr>
              <w:spacing w:after="0"/>
              <w:rPr>
                <w:sz w:val="24"/>
                <w:szCs w:val="24"/>
                <w:color w:val="auto"/>
              </w:rPr>
            </w:pPr>
          </w:p>
        </w:tc>
        <w:tc>
          <w:tcPr>
            <w:tcW w:w="21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PART II – OTHER INFORMATION</w:t>
            </w:r>
          </w:p>
        </w:tc>
        <w:tc>
          <w:tcPr>
            <w:tcW w:w="3880" w:type="dxa"/>
            <w:vAlign w:val="bottom"/>
            <w:gridSpan w:val="4"/>
          </w:tcPr>
          <w:p>
            <w:pPr>
              <w:jc w:val="right"/>
              <w:ind w:right="60"/>
              <w:spacing w:after="0"/>
              <w:rPr>
                <w:sz w:val="20"/>
                <w:szCs w:val="20"/>
                <w:color w:val="auto"/>
              </w:rPr>
            </w:pPr>
            <w:r>
              <w:rPr>
                <w:rFonts w:ascii="Arial" w:cs="Arial" w:eastAsia="Arial" w:hAnsi="Arial"/>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1.</w:t>
            </w:r>
          </w:p>
        </w:tc>
        <w:tc>
          <w:tcPr>
            <w:tcW w:w="1360" w:type="dxa"/>
            <w:vAlign w:val="bottom"/>
            <w:gridSpan w:val="4"/>
          </w:tcPr>
          <w:p>
            <w:pPr>
              <w:ind w:left="20"/>
              <w:spacing w:after="0"/>
              <w:rPr>
                <w:sz w:val="20"/>
                <w:szCs w:val="20"/>
                <w:color w:val="auto"/>
              </w:rPr>
            </w:pPr>
            <w:r>
              <w:rPr>
                <w:rFonts w:ascii="Arial" w:cs="Arial" w:eastAsia="Arial" w:hAnsi="Arial"/>
                <w:sz w:val="18"/>
                <w:szCs w:val="18"/>
                <w:color w:val="0000FF"/>
                <w:w w:val="88"/>
              </w:rPr>
              <w:t>Legal Proceedings</w:t>
            </w:r>
          </w:p>
        </w:tc>
        <w:tc>
          <w:tcPr>
            <w:tcW w:w="440" w:type="dxa"/>
            <w:vAlign w:val="bottom"/>
          </w:tcPr>
          <w:p>
            <w:pPr>
              <w:spacing w:after="0"/>
              <w:rPr>
                <w:sz w:val="24"/>
                <w:szCs w:val="24"/>
                <w:color w:val="auto"/>
              </w:rPr>
            </w:pPr>
          </w:p>
        </w:tc>
        <w:tc>
          <w:tcPr>
            <w:tcW w:w="4680" w:type="dxa"/>
            <w:vAlign w:val="bottom"/>
            <w:gridSpan w:val="9"/>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Arial" w:cs="Arial" w:eastAsia="Arial" w:hAnsi="Arial"/>
                <w:sz w:val="18"/>
                <w:szCs w:val="18"/>
                <w:color w:val="0000FF"/>
                <w:w w:val="90"/>
              </w:rPr>
              <w:t>Item 1A. Risk Factors</w:t>
            </w:r>
          </w:p>
        </w:tc>
        <w:tc>
          <w:tcPr>
            <w:tcW w:w="300" w:type="dxa"/>
            <w:vAlign w:val="bottom"/>
          </w:tcPr>
          <w:p>
            <w:pPr>
              <w:spacing w:after="0"/>
              <w:rPr>
                <w:sz w:val="24"/>
                <w:szCs w:val="24"/>
                <w:color w:val="auto"/>
              </w:rPr>
            </w:pPr>
          </w:p>
        </w:tc>
        <w:tc>
          <w:tcPr>
            <w:tcW w:w="5120" w:type="dxa"/>
            <w:vAlign w:val="bottom"/>
            <w:gridSpan w:val="10"/>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2.</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21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0000FF"/>
                <w:w w:val="90"/>
              </w:rPr>
              <w:t>Item 6.</w:t>
            </w:r>
          </w:p>
        </w:tc>
        <w:tc>
          <w:tcPr>
            <w:tcW w:w="4380" w:type="dxa"/>
            <w:vAlign w:val="bottom"/>
            <w:gridSpan w:val="12"/>
          </w:tcPr>
          <w:p>
            <w:pPr>
              <w:ind w:left="20"/>
              <w:spacing w:after="0"/>
              <w:rPr>
                <w:sz w:val="20"/>
                <w:szCs w:val="20"/>
                <w:color w:val="auto"/>
              </w:rPr>
            </w:pPr>
            <w:r>
              <w:rPr>
                <w:rFonts w:ascii="Arial" w:cs="Arial" w:eastAsia="Arial" w:hAnsi="Arial"/>
                <w:sz w:val="18"/>
                <w:szCs w:val="18"/>
                <w:color w:val="0000FF"/>
              </w:rPr>
              <w:t>Exhibits</w:t>
            </w:r>
          </w:p>
        </w:tc>
        <w:tc>
          <w:tcPr>
            <w:tcW w:w="2100" w:type="dxa"/>
            <w:vAlign w:val="bottom"/>
            <w:gridSpan w:val="2"/>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0000FF"/>
                <w:w w:val="79"/>
              </w:rPr>
              <w:t>33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34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3880" w:type="dxa"/>
            <w:vAlign w:val="bottom"/>
            <w:gridSpan w:val="4"/>
          </w:tcPr>
          <w:p>
            <w:pPr>
              <w:jc w:val="right"/>
              <w:ind w:right="60"/>
              <w:spacing w:after="0"/>
              <w:rPr>
                <w:sz w:val="20"/>
                <w:szCs w:val="20"/>
                <w:color w:val="auto"/>
              </w:rPr>
            </w:pPr>
            <w:r>
              <w:rPr>
                <w:rFonts w:ascii="Arial" w:cs="Arial" w:eastAsia="Arial" w:hAnsi="Arial"/>
                <w:sz w:val="18"/>
                <w:szCs w:val="18"/>
                <w:color w:val="0000FF"/>
              </w:rPr>
              <w:t>34</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18,249,086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r>
      <w:tr>
        <w:trPr>
          <w:trHeight w:val="237"/>
        </w:trPr>
        <w:tc>
          <w:tcPr>
            <w:tcW w:w="664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12,218,756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13,163,681</w:t>
            </w:r>
          </w:p>
        </w:tc>
      </w:tr>
      <w:tr>
        <w:trPr>
          <w:trHeight w:val="236"/>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10,928,406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9,863,581</w:t>
            </w: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2,277,885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3,084,978</w:t>
            </w:r>
          </w:p>
        </w:tc>
      </w:tr>
      <w:tr>
        <w:trPr>
          <w:trHeight w:val="236"/>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43,674,133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45,870,210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6,694,452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7,527,167</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284,039</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28,269,781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30,590,678</w:t>
            </w:r>
          </w:p>
        </w:tc>
      </w:tr>
      <w:tr>
        <w:trPr>
          <w:trHeight w:val="23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6,831,502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5,218,403</w:t>
            </w: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2,607,109</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2,520,661</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89,375,360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92,925,158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6"/>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10,912,044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10,819,011</w:t>
            </w: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Operating lease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320,837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172,910</w:t>
            </w:r>
          </w:p>
        </w:tc>
      </w:tr>
      <w:tr>
        <w:trPr>
          <w:trHeight w:val="243"/>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15,726,206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17,587,911</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26,959,087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28,579,832</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13,148,125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16,200,000</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3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5,477,040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4,586,301</w:t>
            </w:r>
          </w:p>
        </w:tc>
      </w:tr>
      <w:tr>
        <w:trPr>
          <w:trHeight w:val="23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6,954,206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7,585,019</w:t>
            </w:r>
          </w:p>
        </w:tc>
      </w:tr>
      <w:tr>
        <w:trPr>
          <w:trHeight w:val="223"/>
        </w:trPr>
        <w:tc>
          <w:tcPr>
            <w:tcW w:w="66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52,538,458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56,951,152</w:t>
            </w: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9"/>
              </w:rPr>
              <w:t>Common stock—no par value; 100,000,000 shares authorized; 14,330,990 and</w:t>
            </w:r>
          </w:p>
        </w:tc>
        <w:tc>
          <w:tcPr>
            <w:tcW w:w="3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88"/>
        </w:trPr>
        <w:tc>
          <w:tcPr>
            <w:tcW w:w="66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w w:val="88"/>
              </w:rPr>
              <w:t>14,366,616 shares issued and outstanding as of June 30, 2023 and December 31, 2022 ,</w:t>
            </w:r>
          </w:p>
        </w:tc>
        <w:tc>
          <w:tcPr>
            <w:tcW w:w="3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47,303,429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47,474,973</w:t>
            </w: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(10,144,457)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(11,208,841)</w:t>
            </w:r>
          </w:p>
        </w:tc>
      </w:tr>
      <w:tr>
        <w:trPr>
          <w:trHeight w:val="237"/>
        </w:trPr>
        <w:tc>
          <w:tcPr>
            <w:tcW w:w="6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shareholders’ equity</w:t>
            </w: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37,158,972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36,266,132</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(292,126)</w:t>
            </w:r>
          </w:p>
        </w:tc>
      </w:tr>
      <w:tr>
        <w:trPr>
          <w:trHeight w:val="223"/>
        </w:trPr>
        <w:tc>
          <w:tcPr>
            <w:tcW w:w="6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36,836,902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35,974,006</w:t>
            </w:r>
          </w:p>
        </w:tc>
      </w:tr>
      <w:tr>
        <w:trPr>
          <w:trHeight w:val="230"/>
        </w:trPr>
        <w:tc>
          <w:tcPr>
            <w:tcW w:w="664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89,375,360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92,925,158</w:t>
            </w:r>
          </w:p>
        </w:tc>
      </w:tr>
      <w:tr>
        <w:trPr>
          <w:trHeight w:val="27"/>
        </w:trPr>
        <w:tc>
          <w:tcPr>
            <w:tcW w:w="66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2"/>
              </w:rPr>
              <w:t>Three months ended June 30,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32"/>
        </w:trPr>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10,888,877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20,113,515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21,474,197</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1,520,774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2,771,038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4,243,769</w:t>
            </w: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4,672,075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4,556,685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8,949,393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9,171,114</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3,568,829</w:t>
            </w:r>
          </w:p>
        </w:tc>
      </w:tr>
      <w:tr>
        <w:trPr>
          <w:trHeight w:val="237"/>
        </w:trPr>
        <w:tc>
          <w:tcPr>
            <w:tcW w:w="5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2,369,883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2,203,975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4,868,876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4,506,324</w:t>
            </w:r>
          </w:p>
        </w:tc>
      </w:tr>
      <w:tr>
        <w:trPr>
          <w:trHeight w:val="23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1,158,248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1,529,453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2,388,319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3,122,698</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10,866,018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12,145,690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21,622,334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24,612,734</w:t>
            </w:r>
          </w:p>
        </w:tc>
      </w:tr>
      <w:tr>
        <w:trPr>
          <w:trHeight w:val="23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(1,508,819)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(3,138,537)</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57,061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31,107</w:t>
            </w: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32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611,330</w:t>
            </w:r>
          </w:p>
        </w:tc>
      </w:tr>
      <w:tr>
        <w:trPr>
          <w:trHeight w:val="222"/>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(378,988)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(257,199)</w:t>
            </w: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869,091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(1,357,766)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1,048,315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(2,753,299)</w:t>
            </w: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862,154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(1,364,666)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1,034,440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(2,767,099)</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 subsidiary attributable to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(1,335,620)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1,064,384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(2,720,873)</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5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attributable to common shareholders</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7"/>
        </w:trPr>
        <w:tc>
          <w:tcPr>
            <w:tcW w:w="5320" w:type="dxa"/>
            <w:vAlign w:val="bottom"/>
          </w:tcPr>
          <w:p>
            <w:pPr>
              <w:ind w:left="360"/>
              <w:spacing w:after="0"/>
              <w:rPr>
                <w:sz w:val="20"/>
                <w:szCs w:val="20"/>
                <w:color w:val="auto"/>
              </w:rPr>
            </w:pPr>
            <w:r>
              <w:rPr>
                <w:rFonts w:ascii="Arial" w:cs="Arial" w:eastAsia="Arial" w:hAnsi="Arial"/>
                <w:sz w:val="18"/>
                <w:szCs w:val="18"/>
                <w:color w:val="auto"/>
              </w:rPr>
              <w:t>-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36"/>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basic</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14,393,711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14,688,505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14,376,260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14,689,798</w:t>
            </w: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 diluted</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14,554,264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14,688,505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14,570,798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14,689,798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76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7"/>
        </w:trPr>
        <w:tc>
          <w:tcPr>
            <w:tcW w:w="76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1,034,440</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(2,767,099)</w:t>
            </w:r>
          </w:p>
        </w:tc>
      </w:tr>
      <w:tr>
        <w:trPr>
          <w:trHeight w:val="23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76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2,456,590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3,272,085</w:t>
            </w:r>
          </w:p>
        </w:tc>
      </w:tr>
      <w:tr>
        <w:trPr>
          <w:trHeight w:val="24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132,148</w:t>
            </w:r>
          </w:p>
        </w:tc>
      </w:tr>
      <w:tr>
        <w:trPr>
          <w:trHeight w:val="229"/>
        </w:trPr>
        <w:tc>
          <w:tcPr>
            <w:tcW w:w="760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(476,606)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(68,334)</w:t>
            </w:r>
          </w:p>
        </w:tc>
      </w:tr>
      <w:tr>
        <w:trPr>
          <w:trHeight w:val="230"/>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6"/>
              </w:rPr>
              <w:t>Decrease (increase) in cash surrender value of life insurance policies over premiums paid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598,355</w:t>
            </w:r>
          </w:p>
        </w:tc>
      </w:tr>
      <w:tr>
        <w:trPr>
          <w:trHeight w:val="237"/>
        </w:trPr>
        <w:tc>
          <w:tcPr>
            <w:tcW w:w="7600" w:type="dxa"/>
            <w:vAlign w:val="bottom"/>
          </w:tcPr>
          <w:p>
            <w:pPr>
              <w:ind w:left="680"/>
              <w:spacing w:after="0"/>
              <w:rPr>
                <w:sz w:val="20"/>
                <w:szCs w:val="20"/>
                <w:color w:val="auto"/>
              </w:rPr>
            </w:pPr>
            <w:r>
              <w:rPr>
                <w:rFonts w:ascii="Arial" w:cs="Arial" w:eastAsia="Arial" w:hAnsi="Arial"/>
                <w:sz w:val="18"/>
                <w:szCs w:val="18"/>
                <w:color w:val="auto"/>
              </w:rPr>
              <w:t>Increase in noncash interest expense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36"/>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receivable of life insurance proceeds</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r>
      <w:tr>
        <w:trPr>
          <w:trHeight w:val="229"/>
        </w:trPr>
        <w:tc>
          <w:tcPr>
            <w:tcW w:w="760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76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944,925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(5,527,690)</w:t>
            </w:r>
          </w:p>
        </w:tc>
      </w:tr>
      <w:tr>
        <w:trPr>
          <w:trHeight w:val="229"/>
        </w:trPr>
        <w:tc>
          <w:tcPr>
            <w:tcW w:w="7600" w:type="dxa"/>
            <w:vAlign w:val="bottom"/>
          </w:tcPr>
          <w:p>
            <w:pPr>
              <w:ind w:left="100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(232,110)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2,949,443</w:t>
            </w:r>
          </w:p>
        </w:tc>
      </w:tr>
      <w:tr>
        <w:trPr>
          <w:trHeight w:val="229"/>
        </w:trPr>
        <w:tc>
          <w:tcPr>
            <w:tcW w:w="76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current assets and other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1,227,030</w:t>
            </w:r>
          </w:p>
        </w:tc>
      </w:tr>
      <w:tr>
        <w:trPr>
          <w:trHeight w:val="237"/>
        </w:trPr>
        <w:tc>
          <w:tcPr>
            <w:tcW w:w="7600" w:type="dxa"/>
            <w:vAlign w:val="bottom"/>
          </w:tcPr>
          <w:p>
            <w:pPr>
              <w:ind w:left="100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534,541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4,658,782</w:t>
            </w:r>
          </w:p>
        </w:tc>
      </w:tr>
      <w:tr>
        <w:trPr>
          <w:trHeight w:val="236"/>
        </w:trPr>
        <w:tc>
          <w:tcPr>
            <w:tcW w:w="7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(1,688,143)</w:t>
            </w: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3,817,152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2,180,038</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760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(179,453)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(164,241)</w:t>
            </w:r>
          </w:p>
        </w:tc>
      </w:tr>
      <w:tr>
        <w:trPr>
          <w:trHeight w:val="236"/>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paid for acquisitions</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r>
      <w:tr>
        <w:trPr>
          <w:trHeight w:val="230"/>
        </w:trPr>
        <w:tc>
          <w:tcPr>
            <w:tcW w:w="7600" w:type="dxa"/>
            <w:vAlign w:val="bottom"/>
          </w:tcPr>
          <w:p>
            <w:pPr>
              <w:ind w:left="680"/>
              <w:spacing w:after="0"/>
              <w:rPr>
                <w:sz w:val="20"/>
                <w:szCs w:val="20"/>
                <w:color w:val="auto"/>
              </w:rPr>
            </w:pPr>
            <w:r>
              <w:rPr>
                <w:rFonts w:ascii="Arial" w:cs="Arial" w:eastAsia="Arial" w:hAnsi="Arial"/>
                <w:sz w:val="18"/>
                <w:szCs w:val="18"/>
                <w:color w:val="auto"/>
              </w:rPr>
              <w:t>Additions to intangible assets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(50,248)</w:t>
            </w:r>
          </w:p>
        </w:tc>
      </w:tr>
      <w:tr>
        <w:trPr>
          <w:trHeight w:val="236"/>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(271,261)</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(13,714,489)</w:t>
            </w:r>
          </w:p>
        </w:tc>
      </w:tr>
      <w:tr>
        <w:trPr>
          <w:trHeight w:val="210"/>
        </w:trPr>
        <w:tc>
          <w:tcPr>
            <w:tcW w:w="76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on line of credit</w:t>
            </w: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39,000,000</w:t>
            </w:r>
          </w:p>
        </w:tc>
      </w:tr>
      <w:tr>
        <w:trPr>
          <w:trHeight w:val="230"/>
        </w:trPr>
        <w:tc>
          <w:tcPr>
            <w:tcW w:w="7600" w:type="dxa"/>
            <w:vAlign w:val="bottom"/>
          </w:tcPr>
          <w:p>
            <w:pPr>
              <w:ind w:left="680"/>
              <w:spacing w:after="0"/>
              <w:rPr>
                <w:sz w:val="20"/>
                <w:szCs w:val="20"/>
                <w:color w:val="auto"/>
              </w:rPr>
            </w:pPr>
            <w:r>
              <w:rPr>
                <w:rFonts w:ascii="Arial" w:cs="Arial" w:eastAsia="Arial" w:hAnsi="Arial"/>
                <w:sz w:val="18"/>
                <w:szCs w:val="18"/>
                <w:color w:val="auto"/>
              </w:rPr>
              <w:t>Repayments on line of credit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(19,051,875)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(35,000,000)</w:t>
            </w:r>
          </w:p>
        </w:tc>
      </w:tr>
      <w:tr>
        <w:trPr>
          <w:trHeight w:val="230"/>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(501,505)</w:t>
            </w:r>
          </w:p>
        </w:tc>
      </w:tr>
      <w:tr>
        <w:trPr>
          <w:trHeight w:val="237"/>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(349,910)</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(788,295)</w:t>
            </w:r>
          </w:p>
        </w:tc>
      </w:tr>
      <w:tr>
        <w:trPr>
          <w:trHeight w:val="229"/>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(5,054,775)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2,710,200</w:t>
            </w: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(1,508,884)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(8,824,251)</w:t>
            </w:r>
          </w:p>
        </w:tc>
      </w:tr>
      <w:tr>
        <w:trPr>
          <w:trHeight w:val="24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18,249,086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18,216,565</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Noncontrolling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Total equity</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deficit</w:t>
            </w: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interests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14,742,754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48,452,906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(5,638,600)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42,601,978</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162,155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159,901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159,901</w:t>
            </w: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(174,149)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(566,043)</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(1,385,253)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(1,402,433)</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14,730,760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48,046,764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(7,023,853)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40,793,403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gridSpan w:val="2"/>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14,730,760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48,046,764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(7,023,853)</w:t>
            </w: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40,793,403</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(27,753)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(27,753)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(83,317)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(196,692)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(1,335,620)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(29,046)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(1,364,666)</w:t>
            </w:r>
          </w:p>
        </w:tc>
        <w:tc>
          <w:tcPr>
            <w:tcW w:w="0" w:type="dxa"/>
            <w:vAlign w:val="bottom"/>
          </w:tcPr>
          <w:p>
            <w:pPr>
              <w:spacing w:after="0"/>
              <w:rPr>
                <w:sz w:val="1"/>
                <w:szCs w:val="1"/>
                <w:color w:val="auto"/>
              </w:rPr>
            </w:pPr>
          </w:p>
        </w:tc>
      </w:tr>
      <w:tr>
        <w:trPr>
          <w:trHeight w:val="254"/>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14,649,693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47,822,319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(8,359,473)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39,204,292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Noncontrolling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6"/>
              </w:rPr>
              <w:t>Total equity</w:t>
            </w: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ind w:left="30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interests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14,366,616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47,474,973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(11,208,841)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35,974,006</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150,260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90,156</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(187,961)</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172,286</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14,430,047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47,377,168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0"/>
              </w:rPr>
              <w:t>(11,016,657)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36,048,487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14,430,047</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47,377,168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(11,016,657)</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36,048,487</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97,877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97,877</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common shares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(99,057)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(171,616)</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(171,616)</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872,200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862,154</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14,330,990</w:t>
            </w:r>
          </w:p>
        </w:tc>
        <w:tc>
          <w:tcPr>
            <w:tcW w:w="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47,303,429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(10,144,457)</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36,836,902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Cumberland Pharmaceuticals Inc. (“Cumberland,” the “Company,” or as used in the context of “we,” “us,” or “our”) is a specialty pharmaceutical company focused on the acquisition, development and commercialization of branded prescription pharmaceutical products. The Company's primary target markets are hospital acute care, gastroenterology and oncology. These medical specialties are characterized by relatively concentrated prescriber bases that the Company believes can be served effectively by small, targeted sales forces. Cumberland is dedicated to providing innovative products that improve quality of care for patients and address unmet or poorly met medical needs. The Company promotes its approved products through its hospital, oncology and field sales forces in the United States. Cumberland has also established international partnerships and continues to build a network of companies outside the U.S. to register and provide our medicines to patients in their countries.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Cumberland focuses its resources on maximizing the commercial potential of its products, as well as developing new product candidates, and has both internal development and commercial capabilities. The Company’s products are manufactured by third parties, which are overseen by Cumberland’s quality control and manufacturing professionals. The Company works closely with its hospital, field and oncology sales teams and its third-party distribution partners to make its products available in the United States.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of the Company have been prepared on a basis consistent with the December 31, 2022,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2022 (the “2022 Annual Report on Form 10-K”). The results of operations for the three and six months ended June 30, 2023, are not necessarily indicative of the results to be expected for the entire fiscal year or any future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adopted both ASU 2016-13 and ASU 2019-05 on January 1, 2023. Please refer to </w:t>
      </w:r>
      <w:r>
        <w:rPr>
          <w:rFonts w:ascii="Arial" w:cs="Arial" w:eastAsia="Arial" w:hAnsi="Arial"/>
          <w:sz w:val="16"/>
          <w:szCs w:val="16"/>
          <w:i w:val="1"/>
          <w:iCs w:val="1"/>
          <w:color w:val="auto"/>
        </w:rPr>
        <w:t>Trade and Notes Receivables Policy</w:t>
      </w:r>
      <w:r>
        <w:rPr>
          <w:rFonts w:ascii="Arial" w:cs="Arial" w:eastAsia="Arial" w:hAnsi="Arial"/>
          <w:sz w:val="16"/>
          <w:szCs w:val="16"/>
          <w:color w:val="auto"/>
        </w:rPr>
        <w:t xml:space="preserve"> below.</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7" w:name="page8"/>
    <w:bookmarkEnd w:id="7"/>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Segments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Trade and Note Receivables Policy</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performed a scoping exercise to ensure completeness over the application of Current Expected Credit Losses (CECL) across the various financial instruments including trade and note receivables. CECL is applicable to all financial assets measured at amortized cost. The authoritative guidance requires that all financial instruments should be evaluated, including cash equivalents such as 3-month T-Bills, even if the expected loss is determined to be zero, or materially zero. All bank balances are maintained in cash or money market funds.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(326-20-55-5):</w:t>
      </w:r>
    </w:p>
    <w:p>
      <w:pPr>
        <w:spacing w:after="0" w:line="5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or external credit score/rating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ratings or classification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asset type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Size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interest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Geographical location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Historical or expected credit loss patterns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Reasonable and supportable forecast periods</w:t>
      </w:r>
    </w:p>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standard requires entities to pool financial assets but allows them to choose which risk characteristics to use. Under the requirements of the guidance, the Company would need to reassess at the end of each reporting period whether the pool of assets continue to display similar risk characteristics.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Accounting Standards Codification ("ASC") 326 did not result in a material impact to the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EARNINGS (LOSS) PER SHARE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the numerator and denominator used to calculate basic and diluted earnings (loss) per share for the three and six months ended June 30, 2023 and 2022:</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Three months ended June 30,</w:t>
            </w:r>
          </w:p>
        </w:tc>
        <w:tc>
          <w:tcPr>
            <w:tcW w:w="900" w:type="dxa"/>
            <w:vAlign w:val="bottom"/>
            <w:tcBorders>
              <w:bottom w:val="single" w:sz="8" w:color="auto"/>
            </w:tcBorders>
          </w:tcPr>
          <w:p>
            <w:pPr>
              <w:spacing w:after="0"/>
              <w:rPr>
                <w:sz w:val="20"/>
                <w:szCs w:val="20"/>
                <w:color w:val="auto"/>
              </w:rPr>
            </w:pPr>
          </w:p>
        </w:tc>
      </w:tr>
      <w:tr>
        <w:trPr>
          <w:trHeight w:val="232"/>
        </w:trPr>
        <w:tc>
          <w:tcPr>
            <w:tcW w:w="6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spacing w:after="0"/>
              <w:rPr>
                <w:sz w:val="20"/>
                <w:szCs w:val="20"/>
                <w:color w:val="auto"/>
              </w:rPr>
            </w:pPr>
          </w:p>
        </w:tc>
      </w:tr>
      <w:tr>
        <w:trPr>
          <w:trHeight w:val="214"/>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872,200</w:t>
            </w:r>
          </w:p>
        </w:tc>
        <w:tc>
          <w:tcPr>
            <w:tcW w:w="14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(1,335,620)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14,393,711</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14,688,505</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160,553</w:t>
            </w:r>
          </w:p>
        </w:tc>
        <w:tc>
          <w:tcPr>
            <w:tcW w:w="120" w:type="dxa"/>
            <w:vAlign w:val="bottom"/>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14,554,264</w:t>
            </w: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14,688,505</w:t>
            </w:r>
          </w:p>
        </w:tc>
      </w:tr>
      <w:tr>
        <w:trPr>
          <w:trHeight w:val="20"/>
        </w:trPr>
        <w:tc>
          <w:tcPr>
            <w:tcW w:w="6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Six months ended June 30,</w:t>
            </w:r>
          </w:p>
        </w:tc>
        <w:tc>
          <w:tcPr>
            <w:tcW w:w="900" w:type="dxa"/>
            <w:vAlign w:val="bottom"/>
            <w:tcBorders>
              <w:bottom w:val="single" w:sz="8" w:color="auto"/>
            </w:tcBorders>
          </w:tcPr>
          <w:p>
            <w:pPr>
              <w:spacing w:after="0"/>
              <w:rPr>
                <w:sz w:val="20"/>
                <w:szCs w:val="20"/>
                <w:color w:val="auto"/>
              </w:rPr>
            </w:pPr>
          </w:p>
        </w:tc>
      </w:tr>
      <w:tr>
        <w:trPr>
          <w:trHeight w:val="232"/>
        </w:trPr>
        <w:tc>
          <w:tcPr>
            <w:tcW w:w="6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900" w:type="dxa"/>
            <w:vAlign w:val="bottom"/>
          </w:tcPr>
          <w:p>
            <w:pPr>
              <w:spacing w:after="0"/>
              <w:rPr>
                <w:sz w:val="20"/>
                <w:szCs w:val="20"/>
                <w:color w:val="auto"/>
              </w:rPr>
            </w:pPr>
          </w:p>
        </w:tc>
      </w:tr>
      <w:tr>
        <w:trPr>
          <w:trHeight w:val="227"/>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shareholders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1,064,384</w:t>
            </w:r>
          </w:p>
        </w:tc>
        <w:tc>
          <w:tcPr>
            <w:tcW w:w="140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(2,720,873)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1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14,376,260</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14,689,798</w:t>
            </w:r>
          </w:p>
        </w:tc>
      </w:tr>
      <w:tr>
        <w:trPr>
          <w:trHeight w:val="23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other securities</w:t>
            </w:r>
          </w:p>
        </w:tc>
        <w:tc>
          <w:tcPr>
            <w:tcW w:w="1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194,538</w:t>
            </w:r>
          </w:p>
        </w:tc>
        <w:tc>
          <w:tcPr>
            <w:tcW w:w="120" w:type="dxa"/>
            <w:vAlign w:val="bottom"/>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Weighted-average shares outstanding – diluted</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14,570,798</w:t>
            </w: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14,689,798</w:t>
            </w:r>
          </w:p>
        </w:tc>
      </w:tr>
      <w:tr>
        <w:trPr>
          <w:trHeight w:val="20"/>
        </w:trPr>
        <w:tc>
          <w:tcPr>
            <w:tcW w:w="6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2023 and 2022, restricted stock awards and options to purchase 413,074 and 289,975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revenues consisted of the following for the three and six months ended June 30, 2023 and 2022: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6"/>
              </w:rPr>
              <w:t>Three months ended June 30,</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9"/>
        </w:trPr>
        <w:tc>
          <w:tcPr>
            <w:tcW w:w="4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48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4,110,718</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3,570,272</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8,425,846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7,515,368</w:t>
            </w: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3,398,548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3,803,759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6,795,758</w:t>
            </w:r>
          </w:p>
        </w:tc>
      </w:tr>
      <w:tr>
        <w:trPr>
          <w:trHeight w:val="237"/>
        </w:trPr>
        <w:tc>
          <w:tcPr>
            <w:tcW w:w="4480" w:type="dxa"/>
            <w:vAlign w:val="bottom"/>
          </w:tcPr>
          <w:p>
            <w:pPr>
              <w:ind w:left="360"/>
              <w:spacing w:after="0"/>
              <w:rPr>
                <w:sz w:val="20"/>
                <w:szCs w:val="20"/>
                <w:color w:val="auto"/>
              </w:rPr>
            </w:pPr>
            <w:r>
              <w:rPr>
                <w:rFonts w:ascii="Arial" w:cs="Arial" w:eastAsia="Arial" w:hAnsi="Arial"/>
                <w:sz w:val="18"/>
                <w:szCs w:val="18"/>
                <w:color w:val="auto"/>
              </w:rPr>
              <w:t>Vibativ</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2,147,826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1,596,821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3,996,013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4,098,255</w:t>
            </w:r>
          </w:p>
        </w:tc>
      </w:tr>
      <w:tr>
        <w:trPr>
          <w:trHeight w:val="23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1,226,314</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1,193,916</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2,161,356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2,153,546</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150,163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126,789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237,884</w:t>
            </w:r>
          </w:p>
        </w:tc>
      </w:tr>
      <w:tr>
        <w:trPr>
          <w:trHeight w:val="243"/>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(134,621)</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(251,623)</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8,062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(3,676)</w:t>
            </w:r>
          </w:p>
        </w:tc>
      </w:tr>
      <w:tr>
        <w:trPr>
          <w:trHeight w:val="229"/>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152,904</w:t>
            </w:r>
          </w:p>
        </w:tc>
      </w:tr>
      <w:tr>
        <w:trPr>
          <w:trHeight w:val="23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1,295,478</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480,163</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1,492,664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775,781</w:t>
            </w:r>
          </w:p>
        </w:tc>
      </w:tr>
      <w:tr>
        <w:trPr>
          <w:trHeight w:val="25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10,888,877</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20,113,515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21,474,197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Omeclamox-Pak net revenue for the second quarter of 2023 was impacted by our currently being out of commercial inventory of this product. The packager for our Omeclamox-Pak product encountered financial difficulties due to the impact of COVID-19. They are under new management and we are awaiting a potential resumption of supply. For the three and six months ended June 30, 2023 and 2022, the amounts noted resulted from normal adjustments by channel partners.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Vaprisol, we are in the process of transitioning to a new manufacturer, who was issued a U.S. Food and Drug Administration ("FDA") Form 483 in the second quarter of 2022. Once these FDA Form 483 related issues are satisfactorily resolved by the manufacturer, we will then resubmit our application for their facility to the FDA for approval. For the three and six months ended June 30, 2023 and 2022, net revenue was impacted by product return and accrual adjustments.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revenues also include funding from federal grant programs including those secured from the FDA and from those secured by Cumberland Emerging Technologies Inc. ("CET") through the Small Business Administration. Grant revenue from these federal grant programs totaled approximately $0.06 million and $0.04 million for the three months ended June 30, 2023 and 2022, respectively, and approximately $0.1 million and $0.08 million for the six months ended June 30, 2023 and 2022, respectively.</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the second quarter of 2023, the Company received $1.0 million relating to a litigation settlement based on two $500,000 milestone payments due to us for the license associated with our Vibativ product.</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other revenue is lease income generated by CET’s Life Sciences Center. The Life Sciences Center is a research center that provides scientists with access to flexible lab space and other resources to develop biomedical products. This lease income, as noted in Footnote 5 - Leases, was approximately $0.1 million and $0.2 million for the three months ended June 30, 2023 and 2022, respectively, and $0.2 million and $0.3 million for the six months ended June 30, 2023 and 2022, respectively.</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works closely with third parties to manufacture and package finished goods for sale. Based on the arrangements with the manufacturer or</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June 30, 2023, there were no cumulative obsolescence and discontinuance losses necessary. At December 31, 2022, the Company had recognized and maintained cumulative net realizable value charges for potential obsolescence and discontinuance losses of approximately $0.5 million.</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Company is responsible for the purchase of the active pharmaceutical ingredient (“API”) for Kristalose and maintains the inventory. As that API is consumed in production, the value of the API is transferred from raw materials to finished goods. API for the Company's Vaprisol brand is also included in</w:t>
      </w:r>
    </w:p>
    <w:p>
      <w:pPr>
        <w:spacing w:after="0"/>
        <w:rPr>
          <w:sz w:val="20"/>
          <w:szCs w:val="20"/>
          <w:color w:val="auto"/>
        </w:rPr>
      </w:pPr>
      <w:r>
        <w:rPr>
          <w:rFonts w:ascii="Arial" w:cs="Arial" w:eastAsia="Arial" w:hAnsi="Arial"/>
          <w:sz w:val="18"/>
          <w:szCs w:val="18"/>
          <w:color w:val="auto"/>
        </w:rPr>
        <w:t>the raw materials inventory. Consigned inventory represents Authorized Generic inventory stored with our partner until shipment.</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part of the Vibativ acquisition, the Company acquired API and work in process inventories of $15.6 million that were all initially classified as non-current inventories at the date of acquisition. At June 30, 2023 and December 31, 2022, total non-current inventory, including Vibativ and our clinical trial drug ifetroban, was $6.7 million and $7.5 million, respectively. The Company had Vibativ finished goods of $0.9 million included in non-current inventory at June 30, 2023, and no non-current inventory at December 31, 2022. The Company also had $0.3 million in non-current inventory for API related to its ifetroban clinical initiatives at June 30, 2023 and December 31, 2022, and $0.2 million and $0.1 million of finished goods,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156"/>
        </w:trPr>
        <w:tc>
          <w:tcPr>
            <w:tcW w:w="6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work in process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12,859,432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12,899,659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126,753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168,923</w:t>
            </w: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4,636,673</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4,322,166</w:t>
            </w:r>
          </w:p>
        </w:tc>
      </w:tr>
      <w:tr>
        <w:trPr>
          <w:trHeight w:val="223"/>
        </w:trPr>
        <w:tc>
          <w:tcPr>
            <w:tcW w:w="670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17,622,858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17,390,748</w:t>
            </w:r>
          </w:p>
        </w:tc>
      </w:tr>
      <w:tr>
        <w:trPr>
          <w:trHeight w:val="229"/>
        </w:trPr>
        <w:tc>
          <w:tcPr>
            <w:tcW w:w="6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non-current inventories</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(6,694,452)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(7,527,167)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Total inventories classified as current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10,928,406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9,863,581</w:t>
            </w:r>
          </w:p>
        </w:tc>
      </w:tr>
      <w:tr>
        <w:trPr>
          <w:trHeight w:val="27"/>
        </w:trPr>
        <w:tc>
          <w:tcPr>
            <w:tcW w:w="67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15, 2021, Cumberland entered into a lease (the "Lease"), pursuant to which the Company leases approximately 16,903 rentable square feet of space (the "Leased Premise") at Broadwest located in Nashville, Tennessee with 1600 West End Avenue Partners, LLC (the "Landlord").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provides for a tenant improvement allowance for the space.</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Company's operating leases also include the lease of approximately 14,200 square feet of wet laboratory and office space in Nashville, Tennessee by CET, our majority-owned subsidiary, where it operates the CET Life Sciences Center. The research lab space at CET, under an agreement amended in July 2012, is leased through April 2028. The Company also subleases a portion of the space under this lease.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spacing w:after="0" w:line="2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borrowing rates, the incremental borrowing rates were calculated based on information available at January 1, 2019 and October 25, 2022. Incremental borrowing rates reflect the Company’s estimated interest rates for collateralized borrowings over similar lease terms. The weighted-average remaining lease term for the Broadwest and CET leases is 10.9 years at June 30, 2023. The weighted-average incremental borrowing rate used to discount the present value of the remaining lease payments is 9.28% for the Broadwest lease and 9.9% for the remaining CET lease. Also included as a ROU asset is an embedded lease of $0.9 million related to our new manufacturer for Vaprisol.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and December 31, 2022,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Right-of-Use 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6,831,502</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5,218,403</w:t>
            </w:r>
          </w:p>
        </w:tc>
      </w:tr>
      <w:tr>
        <w:trPr>
          <w:trHeight w:val="452"/>
        </w:trPr>
        <w:tc>
          <w:tcPr>
            <w:tcW w:w="644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Lease Liabilities</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8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30"/>
        </w:trPr>
        <w:tc>
          <w:tcPr>
            <w:tcW w:w="6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320,837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172,910</w:t>
            </w:r>
          </w:p>
        </w:tc>
      </w:tr>
      <w:tr>
        <w:trPr>
          <w:trHeight w:val="216"/>
        </w:trPr>
        <w:tc>
          <w:tcPr>
            <w:tcW w:w="6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noncurrent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5,477,040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4,586,301</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Total</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5,797,877</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4,759,211</w:t>
            </w:r>
          </w:p>
        </w:tc>
      </w:tr>
      <w:tr>
        <w:trPr>
          <w:trHeight w:val="27"/>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8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940" w:type="dxa"/>
            <w:vAlign w:val="bottom"/>
            <w:tcBorders>
              <w:top w:val="single" w:sz="8" w:color="auto"/>
              <w:bottom w:val="single" w:sz="8" w:color="auto"/>
            </w:tcBorders>
          </w:tcPr>
          <w:p>
            <w:pPr>
              <w:spacing w:after="0"/>
              <w:rPr>
                <w:sz w:val="2"/>
                <w:szCs w:val="2"/>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cumulative future minimum sublease income under non-cancelable operating subleases totals approximately $1.8 million and will be paid through the leases ending in April 2028. Future minimum lease payments under non-cancelable operating leases (with initial or remaining lease terms in excess of one year) are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2660"/>
              <w:spacing w:after="0"/>
              <w:rPr>
                <w:sz w:val="20"/>
                <w:szCs w:val="20"/>
                <w:color w:val="auto"/>
              </w:rPr>
            </w:pPr>
            <w:r>
              <w:rPr>
                <w:rFonts w:ascii="Arial" w:cs="Arial" w:eastAsia="Arial" w:hAnsi="Arial"/>
                <w:sz w:val="18"/>
                <w:szCs w:val="18"/>
                <w:b w:val="1"/>
                <w:bCs w:val="1"/>
                <w:color w:val="auto"/>
              </w:rPr>
              <w:t>Maturity of Lease Liabilities at June 30, 2023</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7"/>
              </w:rPr>
              <w:t>Operating Leases</w:t>
            </w:r>
          </w:p>
        </w:tc>
      </w:tr>
      <w:tr>
        <w:trPr>
          <w:trHeight w:val="23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422,975</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863,320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836,100</w:t>
            </w:r>
          </w:p>
        </w:tc>
      </w:tr>
      <w:tr>
        <w:trPr>
          <w:trHeight w:val="237"/>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909,911</w:t>
            </w:r>
          </w:p>
        </w:tc>
      </w:tr>
      <w:tr>
        <w:trPr>
          <w:trHeight w:val="236"/>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934,180</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After 2027</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5,588,192</w:t>
            </w:r>
          </w:p>
        </w:tc>
      </w:tr>
      <w:tr>
        <w:trPr>
          <w:trHeight w:val="237"/>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9,554,678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3,756,801</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5,797,877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w w:val="96"/>
              </w:rPr>
              <w:t>Three months ended June 30,</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5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226,772</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285,963</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501,029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574,071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Sublease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130,842</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161,804</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245,499</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SHAREHOLDERS’ EQUITY AND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currently has a share repurchase program available to repurchase up to $10 million of its common stock pursuant to Rule 10b-18 of the Securities Exchange Act of 1934. In January 2019, the Company's Board of Directors established the current $10 million repurchase program to replace the prior authorizations. During the six months ended June 30, 2023 and June 30, 2022, the Company repurchased 185,886 shares and 257,466 shares of common stock for approximately $0.4 million and $0.8 million, respectively. At June 30, 2023, approximately $3.4 million was available for the repurchase of common shares under this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purchases and sales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Company's May 2023 trading window, several members of Cumberland's Board of Directors entered into agreements for trading plans to purchase shares of the Company's stock pursuant to Rule 10b5-1 of the Securities Exchange Act of 1934. These purchases are designed to increase ownership in the Company by the members of the Board. Purchases of shares through these plans are expected to begin in August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Sales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2020, which was declared effective in January 2021. On December 27, 2021, the Company filed a related prospectus supplement in connection with the sale and issuance of shares having an aggregate gross sales price of up to $19 million. The Company intends to continue an ATM feature through B. Riley FBR, Inc. that would allow the Company to issue shares of its common stock. The Company did not issue any shares under an ATM during the six months ended June 30, 2023 or June 30,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Grants and Incentive Stock Options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2023 and June 30, 2022, the Company issued 34,250 shares and 65,225 shares of restricted stock, respectively, to employees, advisors and directors. Restricted stock issued to employees and advisors generally cliff-vests on the fourth anniversary of the date of grant and for directors on the one-year anniversary of the date of grant. During the six months ended June 30, 2023 and 2022, the Company also issued 184,500 and 169,800 incentive stock options, respectively, to employees that cliff-vest on the fourth anniversary of the date of grant, and are set to expire in 2033 and 2032, respectively.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compensation expense is presented as a component of general and administrative expense in the condensed consolidated statements of operations as it relates to these restricted share grants and options. For the six months ended June 30, 2023, we recorded a credit of $0.04 million to stock compensation expense related to the forfeiture of unvested restricted stock awards.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Agreement</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2021, the Company entered into a Fifth Amendment to the Revolving Credit Note and Sixth Amendment (the "Sixth Amendment") to Revolving Credit Loan Agreement with Pinnacle Bank (the "Pinnacle Agreement"). The Sixth Amendment increased the principal amount by $5 million to $20 million. On October 28, 2021, the Company entered into a Fourth Amendment to the Revolving Credit Note and Fifth Amendment to Revolving Credit Loan Agreement with Pinnacle Bank. Among other terms, the Fourth Amendment extended the maturity date to October 1, 2024 and includes a specific financial covenant.</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2022, the Company and Pinnacle Bank agreed to modify the financial covenants to align with the current use of the line of credit. 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 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 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fiscal quarter on a rolling four (4) quarter basis. For the quarter ended June 30, 2023, we were in compliance with the Funded Debt Ratio financial covenant.</w:t>
      </w:r>
    </w:p>
    <w:p>
      <w:pPr>
        <w:spacing w:after="0" w:line="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interest rate on the Pinnacle Agreement was based on LIBOR plus an interest rate spread. The pricing under the Pinnacle Agreement provides for an interest rate spread of 1.75% to 2.75% above LIBOR with a minimum LIBOR of 0.90%. The applicable interest rate under the Pinnacle Agreement was 8.0% at June 30, 2023. In addition, a fee of 0.25% per year is charged on the unused line of credit. Interest and the unused line fee are payable quarterly. The LIBOR rate is no longer used as of June 30, 2023, at which time the benchmark rate was changed from LIBOR to Term SOFR.</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Company had $13.1 million and $16.2 million, respectively, in borrowings outstanding under its revolving credit facility.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line of credit are collateralized by substantially all of our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Agreement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2020, Cumberland entered into an agreement with WinHealth Investment (Singapore) Ltd creating </w:t>
      </w:r>
      <w:r>
        <w:rPr>
          <w:rFonts w:ascii="Arial" w:cs="Arial" w:eastAsia="Arial" w:hAnsi="Arial"/>
          <w:sz w:val="17"/>
          <w:szCs w:val="17"/>
          <w:i w:val="1"/>
          <w:iCs w:val="1"/>
          <w:color w:val="auto"/>
        </w:rPr>
        <w:t>WHC Biopharmaceuticals, Pte. Ltd</w:t>
      </w:r>
      <w:r>
        <w:rPr>
          <w:rFonts w:ascii="Arial" w:cs="Arial" w:eastAsia="Arial" w:hAnsi="Arial"/>
          <w:sz w:val="17"/>
          <w:szCs w:val="17"/>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 Company has approximately $53.1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2023 and beyond, through the continued utilization of these net operating loss carryforwards, on any taxable income generated from our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INCOME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realized a $2.8 million gain in the first six months of 2023 for previously paid FDA prescription drug fees. In March 2023, the Company was granted a barrier-to-innovation waiver from the FDA for certain fiscal year 2022 prescription drug fees resulting in a refund of $1.8 million. In June 2023, the Company was granted another waiver from the FDA for the fiscal year 2023 fees in the amount of $1.0 million. Both of these refunds were paid by the FDA in second quarter of 2023.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AGREEMENTS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received related to RediTrex, do not meet the criteria for accounting under ASC Topic 808, </w:t>
      </w:r>
      <w:r>
        <w:rPr>
          <w:rFonts w:ascii="Arial" w:cs="Arial" w:eastAsia="Arial" w:hAnsi="Arial"/>
          <w:sz w:val="17"/>
          <w:szCs w:val="17"/>
          <w:i w:val="1"/>
          <w:iCs w:val="1"/>
          <w:color w:val="auto"/>
        </w:rPr>
        <w:t>Collaborative Agreements</w:t>
      </w:r>
      <w:r>
        <w:rPr>
          <w:rFonts w:ascii="Arial" w:cs="Arial" w:eastAsia="Arial" w:hAnsi="Arial"/>
          <w:sz w:val="17"/>
          <w:szCs w:val="17"/>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p>
      <w:pPr>
        <w:ind w:right="5460"/>
        <w:spacing w:after="0" w:line="409" w:lineRule="auto"/>
        <w:rPr>
          <w:sz w:val="20"/>
          <w:szCs w:val="20"/>
          <w:color w:val="auto"/>
        </w:rPr>
      </w:pPr>
      <w:r>
        <w:rPr>
          <w:rFonts w:ascii="Arial" w:cs="Arial" w:eastAsia="Arial" w:hAnsi="Arial"/>
          <w:sz w:val="18"/>
          <w:szCs w:val="18"/>
          <w:b w:val="1"/>
          <w:bCs w:val="1"/>
          <w:color w:val="auto"/>
        </w:rPr>
        <w:t xml:space="preserve">(11) PRODUCT ACQUISITIONS AND RETURN OF PRODUCT RIGHTS </w:t>
      </w:r>
      <w:r>
        <w:rPr>
          <w:rFonts w:ascii="Arial" w:cs="Arial" w:eastAsia="Arial" w:hAnsi="Arial"/>
          <w:sz w:val="18"/>
          <w:szCs w:val="18"/>
          <w:i w:val="1"/>
          <w:iCs w:val="1"/>
          <w:color w:val="auto"/>
        </w:rPr>
        <w:t>Vibativ</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November 2018, the Company closed on an agreement with Theravance Biopharma ("Theravance") to acquire the global responsibility for Vibativ including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Cumberland has accounted for the transaction as a business combination in accordance with ASC 805 and the product sales are included in the results of operations subsequent to the acquisition date. The Company made an upfront payment of $20.0 million at the closing of the transaction and a $5.0 million milestone payment in early April 2019. In addition, Cumberland has agreed to pay a royalty of up to 20% of on-going net sales of the product after the $2.5 million threshold is met. The future royalty payments were required to be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fair value of the contingent consideration liability that is remeasured on a recurring basis. The contingent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consideration</w:t>
            </w:r>
          </w:p>
        </w:tc>
        <w:tc>
          <w:tcPr>
            <w:tcW w:w="1120" w:type="dxa"/>
            <w:vAlign w:val="bottom"/>
          </w:tcPr>
          <w:p>
            <w:pPr>
              <w:ind w:left="240"/>
              <w:spacing w:after="0"/>
              <w:rPr>
                <w:sz w:val="20"/>
                <w:szCs w:val="20"/>
                <w:color w:val="auto"/>
              </w:rPr>
            </w:pPr>
            <w:r>
              <w:rPr>
                <w:rFonts w:ascii="Arial" w:cs="Arial" w:eastAsia="Arial" w:hAnsi="Arial"/>
                <w:sz w:val="18"/>
                <w:szCs w:val="18"/>
                <w:color w:val="auto"/>
              </w:rPr>
              <w:t>earned</w:t>
            </w:r>
          </w:p>
        </w:tc>
        <w:tc>
          <w:tcPr>
            <w:tcW w:w="800" w:type="dxa"/>
            <w:vAlign w:val="bottom"/>
          </w:tcPr>
          <w:p>
            <w:pPr>
              <w:ind w:left="100"/>
              <w:spacing w:after="0"/>
              <w:rPr>
                <w:sz w:val="20"/>
                <w:szCs w:val="20"/>
                <w:color w:val="auto"/>
              </w:rPr>
            </w:pPr>
            <w:r>
              <w:rPr>
                <w:rFonts w:ascii="Arial" w:cs="Arial" w:eastAsia="Arial" w:hAnsi="Arial"/>
                <w:sz w:val="18"/>
                <w:szCs w:val="18"/>
                <w:color w:val="auto"/>
              </w:rPr>
              <w:t>and</w:t>
            </w:r>
          </w:p>
        </w:tc>
        <w:tc>
          <w:tcPr>
            <w:tcW w:w="860" w:type="dxa"/>
            <w:vAlign w:val="bottom"/>
          </w:tcPr>
          <w:p>
            <w:pPr>
              <w:ind w:left="60"/>
              <w:spacing w:after="0"/>
              <w:rPr>
                <w:sz w:val="20"/>
                <w:szCs w:val="20"/>
                <w:color w:val="auto"/>
              </w:rPr>
            </w:pPr>
            <w:r>
              <w:rPr>
                <w:rFonts w:ascii="Arial" w:cs="Arial" w:eastAsia="Arial" w:hAnsi="Arial"/>
                <w:sz w:val="18"/>
                <w:szCs w:val="18"/>
                <w:color w:val="auto"/>
              </w:rPr>
              <w:t>accrued</w:t>
            </w:r>
          </w:p>
        </w:tc>
        <w:tc>
          <w:tcPr>
            <w:tcW w:w="620" w:type="dxa"/>
            <w:vAlign w:val="bottom"/>
          </w:tcPr>
          <w:p>
            <w:pPr>
              <w:ind w:left="240"/>
              <w:spacing w:after="0"/>
              <w:rPr>
                <w:sz w:val="20"/>
                <w:szCs w:val="20"/>
                <w:color w:val="auto"/>
              </w:rPr>
            </w:pPr>
            <w:r>
              <w:rPr>
                <w:rFonts w:ascii="Arial" w:cs="Arial" w:eastAsia="Arial" w:hAnsi="Arial"/>
                <w:sz w:val="18"/>
                <w:szCs w:val="18"/>
                <w:color w:val="auto"/>
              </w:rPr>
              <w:t>in</w:t>
            </w:r>
          </w:p>
        </w:tc>
        <w:tc>
          <w:tcPr>
            <w:tcW w:w="128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1040" w:type="dxa"/>
            <w:vAlign w:val="bottom"/>
          </w:tcPr>
          <w:p>
            <w:pPr>
              <w:ind w:left="140"/>
              <w:spacing w:after="0"/>
              <w:rPr>
                <w:sz w:val="20"/>
                <w:szCs w:val="20"/>
                <w:color w:val="auto"/>
              </w:rPr>
            </w:pPr>
            <w:r>
              <w:rPr>
                <w:rFonts w:ascii="Arial" w:cs="Arial" w:eastAsia="Arial" w:hAnsi="Arial"/>
                <w:sz w:val="18"/>
                <w:szCs w:val="18"/>
                <w:color w:val="auto"/>
              </w:rPr>
              <w:t>expenses</w:t>
            </w:r>
          </w:p>
        </w:tc>
        <w:tc>
          <w:tcPr>
            <w:tcW w:w="620" w:type="dxa"/>
            <w:vAlign w:val="bottom"/>
          </w:tcPr>
          <w:p>
            <w:pPr>
              <w:ind w:left="240"/>
              <w:spacing w:after="0"/>
              <w:rPr>
                <w:sz w:val="20"/>
                <w:szCs w:val="20"/>
                <w:color w:val="auto"/>
              </w:rPr>
            </w:pPr>
            <w:r>
              <w:rPr>
                <w:rFonts w:ascii="Arial" w:cs="Arial" w:eastAsia="Arial" w:hAnsi="Arial"/>
                <w:sz w:val="18"/>
                <w:szCs w:val="18"/>
                <w:color w:val="auto"/>
              </w:rPr>
              <w:t>is</w:t>
            </w:r>
          </w:p>
        </w:tc>
        <w:tc>
          <w:tcPr>
            <w:tcW w:w="800" w:type="dxa"/>
            <w:vAlign w:val="bottom"/>
          </w:tcPr>
          <w:p>
            <w:pPr>
              <w:ind w:left="240"/>
              <w:spacing w:after="0"/>
              <w:rPr>
                <w:sz w:val="20"/>
                <w:szCs w:val="20"/>
                <w:color w:val="auto"/>
              </w:rPr>
            </w:pPr>
            <w:r>
              <w:rPr>
                <w:rFonts w:ascii="Arial" w:cs="Arial" w:eastAsia="Arial" w:hAnsi="Arial"/>
                <w:sz w:val="18"/>
                <w:szCs w:val="18"/>
                <w:color w:val="auto"/>
              </w:rPr>
              <w:t>paid</w:t>
            </w:r>
          </w:p>
        </w:tc>
        <w:tc>
          <w:tcPr>
            <w:tcW w:w="680" w:type="dxa"/>
            <w:vAlign w:val="bottom"/>
          </w:tcPr>
          <w:p>
            <w:pPr>
              <w:ind w:left="240"/>
              <w:spacing w:after="0"/>
              <w:rPr>
                <w:sz w:val="20"/>
                <w:szCs w:val="20"/>
                <w:color w:val="auto"/>
              </w:rPr>
            </w:pPr>
            <w:r>
              <w:rPr>
                <w:rFonts w:ascii="Arial" w:cs="Arial" w:eastAsia="Arial" w:hAnsi="Arial"/>
                <w:sz w:val="18"/>
                <w:szCs w:val="18"/>
                <w:color w:val="auto"/>
              </w:rPr>
              <w:t>to</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Theravance</w:t>
            </w:r>
          </w:p>
        </w:tc>
        <w:tc>
          <w:tcPr>
            <w:tcW w:w="980" w:type="dxa"/>
            <w:vAlign w:val="bottom"/>
          </w:tcPr>
          <w:p>
            <w:pPr>
              <w:jc w:val="right"/>
              <w:spacing w:after="0"/>
              <w:rPr>
                <w:sz w:val="20"/>
                <w:szCs w:val="20"/>
                <w:color w:val="auto"/>
              </w:rPr>
            </w:pPr>
            <w:r>
              <w:rPr>
                <w:rFonts w:ascii="Arial" w:cs="Arial" w:eastAsia="Arial" w:hAnsi="Arial"/>
                <w:sz w:val="18"/>
                <w:szCs w:val="18"/>
                <w:color w:val="auto"/>
              </w:rPr>
              <w:t>quarterly.</w:t>
            </w:r>
          </w:p>
        </w:tc>
      </w:tr>
      <w:tr>
        <w:trPr>
          <w:trHeight w:val="269"/>
        </w:trPr>
        <w:tc>
          <w:tcPr>
            <w:tcW w:w="23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Balance at December 31, 2022</w:t>
            </w:r>
          </w:p>
        </w:tc>
        <w:tc>
          <w:tcPr>
            <w:tcW w:w="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4,154,823</w:t>
            </w:r>
          </w:p>
        </w:tc>
      </w:tr>
      <w:tr>
        <w:trPr>
          <w:trHeight w:val="237"/>
        </w:trPr>
        <w:tc>
          <w:tcPr>
            <w:tcW w:w="3140" w:type="dxa"/>
            <w:vAlign w:val="bottom"/>
            <w:gridSpan w:val="3"/>
          </w:tcPr>
          <w:p>
            <w:pPr>
              <w:ind w:left="20"/>
              <w:spacing w:after="0"/>
              <w:rPr>
                <w:sz w:val="20"/>
                <w:szCs w:val="20"/>
                <w:color w:val="auto"/>
              </w:rPr>
            </w:pPr>
            <w:r>
              <w:rPr>
                <w:rFonts w:ascii="Arial" w:cs="Arial" w:eastAsia="Arial" w:hAnsi="Arial"/>
                <w:sz w:val="18"/>
                <w:szCs w:val="18"/>
                <w:color w:val="auto"/>
                <w:w w:val="92"/>
              </w:rPr>
              <w:t>Cash payment of royalty during the period</w:t>
            </w: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(245,391)</w:t>
            </w:r>
          </w:p>
        </w:tc>
      </w:tr>
      <w:tr>
        <w:trPr>
          <w:trHeight w:val="236"/>
        </w:trPr>
        <w:tc>
          <w:tcPr>
            <w:tcW w:w="59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2"/>
              </w:rPr>
              <w:t>Change in fair value of contingent consideration included in operating expenses</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109,185</w:t>
            </w:r>
          </w:p>
        </w:tc>
      </w:tr>
      <w:tr>
        <w:trPr>
          <w:trHeight w:val="229"/>
        </w:trPr>
        <w:tc>
          <w:tcPr>
            <w:tcW w:w="5900" w:type="dxa"/>
            <w:vAlign w:val="bottom"/>
            <w:gridSpan w:val="6"/>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292,232</w:t>
            </w:r>
          </w:p>
        </w:tc>
      </w:tr>
      <w:tr>
        <w:trPr>
          <w:trHeight w:val="255"/>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4,310,849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contingent consideration liability of $4.3 million was accounted for as $1.6 million of other current liabilities and $2.7 million of other long-term liabilities on the condensed consolidated balance sheet as of June 30, 2023.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Sancuso</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On January 3, 2022, Cumberland acquired the U.S. rights to the FDA-approved oncology-supportive care medicine Sancuso from Kyowa Kirin,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("Kyowa Kirin"), the U.S. affiliate of Japan-based Kyowa Kirin Co., Ltd.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Cumberland acquired U.S. rights to Sancuso and assumed full commercial responsibility for the product in the U.S. – including its marketing, promotion, distribution, manufacturing and medical support activities.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has accounted for the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The Company believes that $1.5 million of the milestone payments will be earned and paid. In March 2023, Cumberland paid $1.0 million of the $3.5 million milestone payments to Kwoya Kirin for the approval by the FDA of the manufacturing site for the product.</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Cumberland has agreed to pay a royalty of up to 10% of on-going net sales of the product.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acquisition was funded by cash and the Company's revolving credit facility. The fair value for the assets and liabilities assumed were as follows: prepaid expenses of $1.8 million, inventory of $2.6 million, goodwill of $0.03 million, intangible assets of $14.1 million, milestone payable of $1.7 million and contingent liability of $3.4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the contingent consideration liability that is remeasured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4,757,000</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Cash payment of milestones and royalty during the period</w:t>
            </w: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(1,407,598)</w:t>
            </w:r>
          </w:p>
        </w:tc>
      </w:tr>
      <w:tr>
        <w:trPr>
          <w:trHeight w:val="243"/>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 included in operating expenses</w:t>
            </w:r>
          </w:p>
        </w:tc>
        <w:tc>
          <w:tcPr>
            <w:tcW w:w="7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(585,792)</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earned and accrued in operating expenses</w:t>
            </w: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352,390</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3,116,000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contingent consideration liability earned and accrued in operating expenses is paid to Kyowa Kirin quarterly. The contingent consideration liability of $3.1 million was accounted for as $1.9 million of current liabilities and $1.2 million of other long-term liabilities on the condensed consolidated balance sheet as of June 30,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RediTrex</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2016, the Company announced an agreement with the Nordic Group B.V. ("Nordic") to acquire the exclusive U.S. rights to Nordic’s injectable methotrexate product line designed for the treatment of active rheumatoid arthritis, juvenile idiopathic arthritis, severe psoriatic arthritis and severe disabling psoriasis.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consideration for the license, Cumberland paid a deposit of $100,000 at closing. The Company provided $0.9 million in consideration through a grant of 180,000 restricted shares of Cumberland common stock to be vested upon the FDA approval of the first Nordic product. Cumberland also agreed to provide Nordic a series of payments tied to the products’ FDA approval, launch and achievement of certain sales milestones. Under the terms of the agreement, Cumberland was responsible for the product registration and commercialization in the U.S. Nordic was responsible for product manufacturing and supply.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27, 2019, Cumberland received FDA approval for the first Nordic injectable product and authorization to market them under the RediTrex brand name. The 180,000 shares of restricted Cumberland common stock previously provided to Nordic vested upon approval and were valued at $0.9 million on the vesting date. The FDA approval also resulted in a $1.0 million milestone payment due to Nordic. During December 2020, Cumberland introduced RediTrex and the launch that took place in late 2021 resulting in a $1.0 million milestone payment due to Nordic.</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12, 2022, the Company entered into an amendment to our agreement with Nordic whereby they would assume responsibility for RediTrex marketing authorization in the U.S. and the opportunity to commercialize the product in the U.S. after June 30, 2023. Cumberland continued to distribute and support the product through June 30, 2023. In accordance with the terms of the amendment, Nordic has returned the 180,000 restricted Cumberland shares we previously issued to Nordic which were cancelled, refunded to Cumberland the milestone payment of $1.0 million we made associated with the brand's U.S. approval and issued a credit note in favor of the Company in the amount of $1.0 million for the unpaid milestone payment due from us for launch of the product line. The companies will cooperate on any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 w:lineRule="exact"/>
        <w:rPr>
          <w:sz w:val="20"/>
          <w:szCs w:val="20"/>
          <w:color w:val="auto"/>
        </w:rPr>
      </w:pPr>
    </w:p>
    <w:p>
      <w:pPr>
        <w:ind w:right="382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Disclosure regarding forward-looking statements</w:t>
      </w:r>
    </w:p>
    <w:p>
      <w:pPr>
        <w:jc w:val="both"/>
        <w:spacing w:after="0" w:line="288" w:lineRule="auto"/>
        <w:rPr>
          <w:sz w:val="20"/>
          <w:szCs w:val="20"/>
          <w:color w:val="auto"/>
        </w:rPr>
      </w:pPr>
      <w:r>
        <w:rPr>
          <w:rFonts w:ascii="Arial" w:cs="Arial" w:eastAsia="Arial" w:hAnsi="Arial"/>
          <w:sz w:val="16"/>
          <w:szCs w:val="16"/>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w:t>
      </w:r>
    </w:p>
    <w:p>
      <w:pPr>
        <w:spacing w:after="0" w:line="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Forward-Looking Statements” of our Annual Report on Form 10-K for the year ended December 31, 2022,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providing innovative products that improve the quality of care for patients and address poorly met medical needs.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primary target sectors are hospital acute care, gastroenterology and oncology.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international partnerships and are continuing to build a network of companies outside the U.S. to register and provide our medicines to patients in their countries.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FDA approved brands includes:</w:t>
      </w:r>
    </w:p>
    <w:p>
      <w:pPr>
        <w:spacing w:after="0" w:line="15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Acetadote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acetylcysteine</w:t>
      </w:r>
      <w:r>
        <w:rPr>
          <w:rFonts w:ascii="Arial" w:cs="Arial" w:eastAsia="Arial" w:hAnsi="Arial"/>
          <w:sz w:val="18"/>
          <w:szCs w:val="18"/>
          <w:color w:val="auto"/>
        </w:rPr>
        <w:t>) injection, for the treatment of acetaminophen poisoning;</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Caldolor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ibuprofen</w:t>
      </w:r>
      <w:r>
        <w:rPr>
          <w:rFonts w:ascii="Arial" w:cs="Arial" w:eastAsia="Arial" w:hAnsi="Arial"/>
          <w:sz w:val="18"/>
          <w:szCs w:val="18"/>
          <w:color w:val="auto"/>
        </w:rPr>
        <w:t>) injection, for the treatment of pain and fever;</w:t>
      </w:r>
    </w:p>
    <w:p>
      <w:pPr>
        <w:spacing w:after="0" w:line="8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Kristalose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lactulose</w:t>
      </w:r>
      <w:r>
        <w:rPr>
          <w:rFonts w:ascii="Arial" w:cs="Arial" w:eastAsia="Arial" w:hAnsi="Arial"/>
          <w:sz w:val="18"/>
          <w:szCs w:val="18"/>
          <w:color w:val="auto"/>
        </w:rPr>
        <w:t>) oral, a prescription laxative, for the treatment of constipation;</w:t>
      </w:r>
    </w:p>
    <w:p>
      <w:pPr>
        <w:spacing w:after="0" w:line="96" w:lineRule="exact"/>
        <w:rPr>
          <w:rFonts w:ascii="Arial" w:cs="Arial" w:eastAsia="Arial" w:hAnsi="Arial"/>
          <w:sz w:val="18"/>
          <w:szCs w:val="18"/>
          <w:color w:val="auto"/>
        </w:rPr>
      </w:pPr>
    </w:p>
    <w:p>
      <w:pPr>
        <w:ind w:left="1300" w:hanging="320"/>
        <w:spacing w:after="0" w:line="23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Omeclamox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-Pak</w:t>
      </w:r>
      <w:r>
        <w:rPr>
          <w:rFonts w:ascii="Arial" w:cs="Arial" w:eastAsia="Arial" w:hAnsi="Arial"/>
          <w:sz w:val="18"/>
          <w:szCs w:val="18"/>
          <w:color w:val="auto"/>
        </w:rPr>
        <w:t>, (</w:t>
      </w:r>
      <w:r>
        <w:rPr>
          <w:rFonts w:ascii="Arial" w:cs="Arial" w:eastAsia="Arial" w:hAnsi="Arial"/>
          <w:sz w:val="18"/>
          <w:szCs w:val="18"/>
          <w:i w:val="1"/>
          <w:iCs w:val="1"/>
          <w:color w:val="auto"/>
        </w:rPr>
        <w:t>omeprazole, clarithromycin, amoxicillin</w:t>
      </w:r>
      <w:r>
        <w:rPr>
          <w:rFonts w:ascii="Arial" w:cs="Arial" w:eastAsia="Arial" w:hAnsi="Arial"/>
          <w:sz w:val="18"/>
          <w:szCs w:val="18"/>
          <w:color w:val="auto"/>
        </w:rPr>
        <w:t>) oral, for the treatment of Helicobacter pylori (</w:t>
      </w:r>
      <w:r>
        <w:rPr>
          <w:rFonts w:ascii="Arial" w:cs="Arial" w:eastAsia="Arial" w:hAnsi="Arial"/>
          <w:sz w:val="18"/>
          <w:szCs w:val="18"/>
          <w:i w:val="1"/>
          <w:iCs w:val="1"/>
          <w:color w:val="auto"/>
        </w:rPr>
        <w:t>H. pylori</w:t>
      </w:r>
      <w:r>
        <w:rPr>
          <w:rFonts w:ascii="Arial" w:cs="Arial" w:eastAsia="Arial" w:hAnsi="Arial"/>
          <w:sz w:val="18"/>
          <w:szCs w:val="18"/>
          <w:color w:val="auto"/>
        </w:rPr>
        <w:t>) infection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duodenal ulcer disease;</w:t>
      </w:r>
    </w:p>
    <w:p>
      <w:pPr>
        <w:spacing w:after="0" w:line="128" w:lineRule="exact"/>
        <w:rPr>
          <w:rFonts w:ascii="Arial" w:cs="Arial" w:eastAsia="Arial" w:hAnsi="Arial"/>
          <w:sz w:val="18"/>
          <w:szCs w:val="18"/>
          <w:color w:val="auto"/>
        </w:rPr>
      </w:pPr>
    </w:p>
    <w:p>
      <w:pPr>
        <w:ind w:left="1300" w:hanging="320"/>
        <w:spacing w:after="0" w:line="230"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Sancuso</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granisetron)</w:t>
      </w:r>
      <w:r>
        <w:rPr>
          <w:rFonts w:ascii="Arial" w:cs="Arial" w:eastAsia="Arial" w:hAnsi="Arial"/>
          <w:sz w:val="18"/>
          <w:szCs w:val="18"/>
          <w:b w:val="1"/>
          <w:bCs w:val="1"/>
          <w:color w:val="auto"/>
        </w:rPr>
        <w:t xml:space="preserve"> </w:t>
      </w:r>
      <w:r>
        <w:rPr>
          <w:rFonts w:ascii="Arial" w:cs="Arial" w:eastAsia="Arial" w:hAnsi="Arial"/>
          <w:sz w:val="18"/>
          <w:szCs w:val="18"/>
          <w:color w:val="auto"/>
        </w:rPr>
        <w:t>transdermal, for the prevention of nausea and vomiting in patients receiving certain types of chemotherapy</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w:t>
      </w:r>
    </w:p>
    <w:p>
      <w:pPr>
        <w:spacing w:after="0" w:line="118" w:lineRule="exact"/>
        <w:rPr>
          <w:rFonts w:ascii="Arial" w:cs="Arial" w:eastAsia="Arial" w:hAnsi="Arial"/>
          <w:sz w:val="18"/>
          <w:szCs w:val="18"/>
          <w:b w:val="1"/>
          <w:bCs w:val="1"/>
          <w:color w:val="auto"/>
        </w:rPr>
      </w:pPr>
    </w:p>
    <w:p>
      <w:pPr>
        <w:ind w:left="1300" w:hanging="320"/>
        <w:spacing w:after="0" w:line="229"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Vaprisol</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conivaptan</w:t>
      </w:r>
      <w:r>
        <w:rPr>
          <w:rFonts w:ascii="Arial" w:cs="Arial" w:eastAsia="Arial" w:hAnsi="Arial"/>
          <w:sz w:val="18"/>
          <w:szCs w:val="18"/>
          <w:color w:val="auto"/>
        </w:rPr>
        <w:t>) injection, to raise serum sodium levels in hospitalized patients with euvolemic and hypervolemic hyponatremia;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27" w:lineRule="exact"/>
        <w:rPr>
          <w:rFonts w:ascii="Arial" w:cs="Arial" w:eastAsia="Arial" w:hAnsi="Arial"/>
          <w:sz w:val="18"/>
          <w:szCs w:val="18"/>
          <w:b w:val="1"/>
          <w:bCs w:val="1"/>
          <w:color w:val="auto"/>
        </w:rPr>
      </w:pPr>
    </w:p>
    <w:p>
      <w:pPr>
        <w:ind w:left="1300" w:hanging="320"/>
        <w:spacing w:after="0" w:line="230"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Vibativ</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telavancin</w:t>
      </w:r>
      <w:r>
        <w:rPr>
          <w:rFonts w:ascii="Arial" w:cs="Arial" w:eastAsia="Arial" w:hAnsi="Arial"/>
          <w:sz w:val="18"/>
          <w:szCs w:val="18"/>
          <w:color w:val="auto"/>
        </w:rPr>
        <w:t>) injection, for the treatment of certain serious bacterial infections including hospital-acquired and ventilator-associated bacterial pneumonia, as well as complicated skin and skin structure infections.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these commercial brands, we have Phase II clinical programs underway evaluating our ifetroban product candidates for patients with cardiomyopathy associated with 1) Duchenne Muscular Dystrophy (“DMD”), a fatal, genetic neuromuscular disease and 2) Systemic Sclerosis (“SSc”) or scleroderma, a debilitating autoimmune disorder characterized by fibrosis of the skin and internal organs. In June 2023, we received FDA clearance to proceed directly to a Phase II study for patients with Idiopathic Pulmonary Fibrosis, the most common form of progressive fibrosing interstitial lung disease.</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Cumberland has built core competencies in the acquisition, development and commercialization of pharmaceutical products in the U.S.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Cumberland’s growth strategy involves maximizing the success of our existing brands while continuing to build a portfolio of differentiated products. We currently feature seven products approved by the FDA in the United States. We are also continuing to establish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seeking long-term sustainable growth by:</w:t>
      </w:r>
    </w:p>
    <w:p>
      <w:pPr>
        <w:spacing w:after="0" w:line="140" w:lineRule="exact"/>
        <w:rPr>
          <w:sz w:val="20"/>
          <w:szCs w:val="20"/>
          <w:color w:val="auto"/>
        </w:rPr>
      </w:pPr>
    </w:p>
    <w:p>
      <w:pPr>
        <w:jc w:val="both"/>
        <w:ind w:left="660" w:hanging="328"/>
        <w:spacing w:after="0" w:line="30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Supporting and expanding the use of our marketed products. </w:t>
      </w:r>
      <w:r>
        <w:rPr>
          <w:rFonts w:ascii="Arial" w:cs="Arial" w:eastAsia="Arial" w:hAnsi="Arial"/>
          <w:sz w:val="16"/>
          <w:szCs w:val="16"/>
          <w:color w:val="auto"/>
        </w:rPr>
        <w:t>We continue to evaluate our products following their FDA approval to determine</w:t>
      </w:r>
      <w:r>
        <w:rPr>
          <w:rFonts w:ascii="Arial" w:cs="Arial" w:eastAsia="Arial" w:hAnsi="Arial"/>
          <w:sz w:val="16"/>
          <w:szCs w:val="16"/>
          <w:b w:val="1"/>
          <w:bCs w:val="1"/>
          <w:color w:val="auto"/>
        </w:rPr>
        <w:t xml:space="preserve"> </w:t>
      </w:r>
      <w:r>
        <w:rPr>
          <w:rFonts w:ascii="Arial" w:cs="Arial" w:eastAsia="Arial" w:hAnsi="Arial"/>
          <w:sz w:val="16"/>
          <w:szCs w:val="16"/>
          <w:color w:val="auto"/>
        </w:rPr>
        <w:t>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 We will continue to explore such opportunities to bring our products to new patient populations.</w:t>
      </w:r>
    </w:p>
    <w:p>
      <w:pPr>
        <w:spacing w:after="0" w:line="83" w:lineRule="exact"/>
        <w:rPr>
          <w:rFonts w:ascii="Arial" w:cs="Arial" w:eastAsia="Arial" w:hAnsi="Arial"/>
          <w:sz w:val="16"/>
          <w:szCs w:val="16"/>
          <w:color w:val="auto"/>
        </w:rPr>
      </w:pPr>
    </w:p>
    <w:p>
      <w:pPr>
        <w:jc w:val="both"/>
        <w:ind w:left="660" w:hanging="328"/>
        <w:spacing w:after="0" w:line="27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Selectively adding complementary brands. </w:t>
      </w:r>
      <w:r>
        <w:rPr>
          <w:rFonts w:ascii="Arial" w:cs="Arial" w:eastAsia="Arial" w:hAnsi="Arial"/>
          <w:sz w:val="17"/>
          <w:szCs w:val="17"/>
          <w:color w:val="auto"/>
        </w:rPr>
        <w:t>In addition to our product development activities, we are also seeking to acquire products or late-stage development product candidates to continue to build a portfolio of complementary brands. We focus on under-promoted, FDA-approved drugs as well as late-stage development products that address poorly met medical needs. We will continue to target product acquisition candidates that are competitively differentiated, have valuable intellectual property or other protective features, and allow us to leverage our existing infrastructure. Our acquisitions of Vibativ and Sancuso are examples of the implementation of this strategy.</w:t>
      </w:r>
    </w:p>
    <w:p>
      <w:pPr>
        <w:spacing w:after="0" w:line="100"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Progressing our clinical pipeline and incubating future product opportunities at CET. </w:t>
      </w:r>
      <w:r>
        <w:rPr>
          <w:rFonts w:ascii="Arial" w:cs="Arial" w:eastAsia="Arial" w:hAnsi="Arial"/>
          <w:sz w:val="18"/>
          <w:szCs w:val="18"/>
          <w:color w:val="auto"/>
        </w:rPr>
        <w:t>We believe it is important to build a pipeline of</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new product opportunities, as we are doing though our ifetroban Phase II development programs. We are also supplementing our acquisitions and late-stage development activities with early-stage drug development activities with CET.</w:t>
      </w:r>
    </w:p>
    <w:p>
      <w:pPr>
        <w:spacing w:after="0" w:line="94"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Leveraging our infrastructure through co-promotion partnerships. </w:t>
      </w:r>
      <w:r>
        <w:rPr>
          <w:rFonts w:ascii="Arial" w:cs="Arial" w:eastAsia="Arial" w:hAnsi="Arial"/>
          <w:sz w:val="17"/>
          <w:szCs w:val="17"/>
          <w:color w:val="auto"/>
        </w:rPr>
        <w:t>We believe that our commercial infrastructure can help drive prescription</w:t>
      </w:r>
      <w:r>
        <w:rPr>
          <w:rFonts w:ascii="Arial" w:cs="Arial" w:eastAsia="Arial" w:hAnsi="Arial"/>
          <w:sz w:val="17"/>
          <w:szCs w:val="17"/>
          <w:b w:val="1"/>
          <w:bCs w:val="1"/>
          <w:color w:val="auto"/>
        </w:rPr>
        <w:t xml:space="preserve"> </w:t>
      </w:r>
      <w:r>
        <w:rPr>
          <w:rFonts w:ascii="Arial" w:cs="Arial" w:eastAsia="Arial" w:hAnsi="Arial"/>
          <w:sz w:val="17"/>
          <w:szCs w:val="17"/>
          <w:color w:val="auto"/>
        </w:rPr>
        <w:t>volume and product sales. We look for strategic partners that can complement our capabilities and enhance opportunities for our brands. For example, our co-promotion partnerships have allowed us to expand the support for Kristalose across the U.S.</w:t>
      </w:r>
    </w:p>
    <w:p>
      <w:pPr>
        <w:spacing w:after="0" w:line="90" w:lineRule="exact"/>
        <w:rPr>
          <w:rFonts w:ascii="Arial" w:cs="Arial" w:eastAsia="Arial" w:hAnsi="Arial"/>
          <w:sz w:val="17"/>
          <w:szCs w:val="17"/>
          <w:color w:val="auto"/>
        </w:rPr>
      </w:pPr>
    </w:p>
    <w:p>
      <w:pPr>
        <w:jc w:val="both"/>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Building an international contribution to our business. </w:t>
      </w:r>
      <w:r>
        <w:rPr>
          <w:rFonts w:ascii="Arial" w:cs="Arial" w:eastAsia="Arial" w:hAnsi="Arial"/>
          <w:sz w:val="18"/>
          <w:szCs w:val="18"/>
          <w:color w:val="auto"/>
        </w:rPr>
        <w:t>We have established our own commercial capabilities, including three sales divisions, to</w:t>
      </w:r>
      <w:r>
        <w:rPr>
          <w:rFonts w:ascii="Arial" w:cs="Arial" w:eastAsia="Arial" w:hAnsi="Arial"/>
          <w:sz w:val="18"/>
          <w:szCs w:val="18"/>
          <w:b w:val="1"/>
          <w:bCs w:val="1"/>
          <w:color w:val="auto"/>
        </w:rPr>
        <w:t xml:space="preserve"> </w:t>
      </w:r>
      <w:r>
        <w:rPr>
          <w:rFonts w:ascii="Arial" w:cs="Arial" w:eastAsia="Arial" w:hAnsi="Arial"/>
          <w:sz w:val="18"/>
          <w:szCs w:val="18"/>
          <w:color w:val="auto"/>
        </w:rPr>
        <w:t>cover the U.S. market for our products. We are also building a network of select international partners to register our products and make them available to patients in their countries. We will continue to develop and expand our network of international partners while supporting our partners’ registration and commercialization efforts in their respective territories. The acquisition of Vibativ resulted in several new international partners and market opportunities.</w:t>
      </w:r>
    </w:p>
    <w:p>
      <w:pPr>
        <w:spacing w:after="0" w:line="115"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Managing our operations with financial discipline. </w:t>
      </w:r>
      <w:r>
        <w:rPr>
          <w:rFonts w:ascii="Arial" w:cs="Arial" w:eastAsia="Arial" w:hAnsi="Arial"/>
          <w:sz w:val="17"/>
          <w:szCs w:val="17"/>
          <w:color w:val="auto"/>
        </w:rPr>
        <w:t>We continually work to manage our expenses in line with our revenues to deliver positive</w:t>
      </w:r>
      <w:r>
        <w:rPr>
          <w:rFonts w:ascii="Arial" w:cs="Arial" w:eastAsia="Arial" w:hAnsi="Arial"/>
          <w:sz w:val="17"/>
          <w:szCs w:val="17"/>
          <w:b w:val="1"/>
          <w:bCs w:val="1"/>
          <w:color w:val="auto"/>
        </w:rPr>
        <w:t xml:space="preserve"> </w:t>
      </w:r>
      <w:r>
        <w:rPr>
          <w:rFonts w:ascii="Arial" w:cs="Arial" w:eastAsia="Arial" w:hAnsi="Arial"/>
          <w:sz w:val="17"/>
          <w:szCs w:val="17"/>
          <w:color w:val="auto"/>
        </w:rPr>
        <w:t>cash flow from operations. We remain in a strong financial position, with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Caldolor for Treating Infants &amp; Supporting Study Publication</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May 2023, we announced that the FDA has approved expanded labeling for Caldolor, an intravenously delivered formulation of ibuprofen, to now include use in infants. The non-narcotic agent may now be administered for the treatment of pain and fever in patients 3 to 6 months of age.</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newly FDA-approved label includes information regarding the product’s indications and usage, appropriate patient populations, clinical study results, potential side effects, patient safety details and instructions for use in these young children.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this newly approved labeling, Caldolor is the only non-opioid product approved to treat pain in infants that is delivered through injection. Ketorolac and meloxicam are not approved for use in children, as the safety and efficacy of those drugs have not been established for pediatric patients. Acetaminophen injection is not approved for treating pain in children less than 2 years of age, as the safety and efficacy of that drug has not been established for treating pain in those pediatric patients.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2023, we shared the publication of positive results from a clinical study investigating the safety and pharmacokinetics of Caldolor in newborn infants, published in the journal </w:t>
      </w:r>
      <w:r>
        <w:rPr>
          <w:rFonts w:ascii="Arial" w:cs="Arial" w:eastAsia="Arial" w:hAnsi="Arial"/>
          <w:sz w:val="17"/>
          <w:szCs w:val="17"/>
          <w:i w:val="1"/>
          <w:iCs w:val="1"/>
          <w:color w:val="auto"/>
        </w:rPr>
        <w:t>Pediatric Drugs</w:t>
      </w:r>
      <w:r>
        <w:rPr>
          <w:rFonts w:ascii="Arial" w:cs="Arial" w:eastAsia="Arial" w:hAnsi="Arial"/>
          <w:sz w:val="17"/>
          <w:szCs w:val="17"/>
          <w:color w:val="auto"/>
        </w:rPr>
        <w:t>. The clinical study evaluated the safety and drug exposure profile of Caldolor in 24 hospitalized infants between the ages of 1 and 6 months who required treatment for pain or fever. Of the 24 patients included in the study, three were under 3 months of age, and the remaining 21 patients were 3 to 6 months of age. Twenty patients received a single dose, and four patients received multiple doses. In this study, single and multiple 10 mg/kg doses of Caldolor are reported safe, with no drug-related adverse events or renal concerns. Drug exposure following a single dose of Caldolor in infants 1 to 6 months of age was similar to what was previously reported in older children.</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this study support the growing body of evidence that demonstrates Caldolor is a safe therapeutic option available to practitioners for the treatment of fever and pain in infants and children.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NOPAIN Act</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We announced in April 2023 that we expect that our Caldolor injection product will be eligible for special Medicare reimbursement under the </w:t>
      </w:r>
      <w:r>
        <w:rPr>
          <w:rFonts w:ascii="Arial" w:cs="Arial" w:eastAsia="Arial" w:hAnsi="Arial"/>
          <w:sz w:val="17"/>
          <w:szCs w:val="17"/>
          <w:i w:val="1"/>
          <w:iCs w:val="1"/>
          <w:color w:val="auto"/>
        </w:rPr>
        <w:t>Non-Opioids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Prevent Addiction in the Nation Act </w:t>
      </w:r>
      <w:r>
        <w:rPr>
          <w:rFonts w:ascii="Arial" w:cs="Arial" w:eastAsia="Arial" w:hAnsi="Arial"/>
          <w:sz w:val="17"/>
          <w:szCs w:val="17"/>
          <w:color w:val="auto"/>
        </w:rPr>
        <w:t>(the “NOPAIN Act”), which was enacted as part of the Consolidated Appropriations Act of 2023.</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NOPAIN Act requires Medicare to provide separate reimbursement for non-opioid products that are used to manage pain during surgeries conducted in outpatient hospital departments or in ambulatory surgical centers. The NOPAIN Act applies, in part, to products that are indicated to provide analgesia without acting upon the body’s opioid receptors. As a result, we expect that the NOPAIN Act will affect Medicare reimbursement for Caldolor, our non-opioid analgesic injection product.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methodology for reimbursement for non-opioid pain alternatives under the NOPAIN Act will apply to those products that are furnished between January 1, 2025 and January 1, 2028. It is anticipated that in 2024, the Centers for Medicare &amp; Medicaid Services will issue regulations implementing the NOPAIN Act and detailing the conditions for, and amount of, the separate reimbursement.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Caldolor is approved by the FDA for use in adults and pediatric patients 3 months and older for the management of mild to moderate pain as a sole therapy, and for the management of moderate to severe pain as an adjunct to an opioid. A series of published clinical studies have demonstrated that Caldolor significantly reduces patient pain, while also significantly reducing patients’ need for opioids.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Ifetroban Clinical Studies</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been evaluating our ifetroban product candidate, a selective thromboxane-prostanoid receptor antagonist, in a series of clinical studies. It has been dosed in nearly 1,400 subjects and has been found to be safe and well tolerated in healthy volunteers and various patient populations.</w:t>
      </w:r>
    </w:p>
    <w:p>
      <w:pPr>
        <w:spacing w:after="0" w:line="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Patient enrollment is well underway in two company sponsored Phase II clinical programs to evaluate ifetroban in Systemic Sclerosis or scleroderma, a debilitating autoimmune disorder characterized by diffuse fibrosis of the skin and internal organs; and the Cardiomyopathy associated with Duchenne Muscular Dystrophy (“DMD”), a rare and fatal genetic neuromuscular disease that results in deterioration of the skeletal, heart and lung muscles.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June 2023, we presented results from an interim analysis for the FIGHT DMD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trial at the 29th annual </w:t>
      </w:r>
      <w:r>
        <w:rPr>
          <w:rFonts w:ascii="Arial" w:cs="Arial" w:eastAsia="Arial" w:hAnsi="Arial"/>
          <w:sz w:val="18"/>
          <w:szCs w:val="18"/>
          <w:i w:val="1"/>
          <w:iCs w:val="1"/>
          <w:color w:val="auto"/>
        </w:rPr>
        <w:t>Parent Project Muscular Dystrophy Conference</w:t>
      </w:r>
      <w:r>
        <w:rPr>
          <w:rFonts w:ascii="Arial" w:cs="Arial" w:eastAsia="Arial" w:hAnsi="Arial"/>
          <w:sz w:val="18"/>
          <w:szCs w:val="18"/>
          <w:color w:val="auto"/>
        </w:rPr>
        <w:t xml:space="preserve"> in Dallas, Texas. The interim analysis was conducted on data from 25 patients with DMD who completed six of the 12 total months of treatment and assessments. Both doses of ifetroban were reported well tolerated in DMD participants ages 7 years of age or older. There was also a positive trend in leg muscle strength, but no statistically significant differences were yet identified at this point.</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is sponsoring the FIGHT DMD™ trial, a multicenter, randomized, placebo-controlled Phase II study evaluating the safety, pharmacokinetics and efficacy of two doses of oral ifetroban for the treatment of the cardiomyopathy associated DMD. The trial is evaluating 12 months of oral ifetroban in 24 subjects with early-stage cardiomyopathy and 24 subjects with advanced-stage heart disease across 10 U.S. centers that specialize in DMD cardiomyopathy. The safety and efficacy endpoints include left ventricular ejection fraction using cardiac MRI, pulmonary function, quantitative muscle strength, daily activity and quality of life measures.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Orphan Product Division awarded Cumberland $1 million in funding under its Orphan Products Grants Program to support this trial. This was the first DMD trial awarded such funding.</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2023, we announced that the FDA has cleared the Investigational New Drug Application for a Phase II study in patients with Idiopathic Pulmonary Fibrosis ("IPF"), the most common form of progressive fibrosing interstitial lung disease. As a result, we will launch our FIGHTING FIBROSIS trial designed to enroll 128 patients in over 20 medical centers of excellence across the U.S. This Phase II clinical trial will study the safety, tolerability and efficacy of oral ifetroban in patients with IPF. Recent studies have shown ifetroban can both prevent and enhance resolution of lung fibrosis in multiple preclinical models.</w:t>
      </w:r>
    </w:p>
    <w:p>
      <w:pPr>
        <w:spacing w:after="0" w:line="1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also completed Phase II clinical programs with ifetroban in patients with Hepatorenal Syndrome, Portal Hypertension and Aspirin Exasperated Respiratory Disease. Additional preclinical and pilot clinical studies of ifetroban are underway, including several investigator-initiated trials.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2023, the FDA informed us that it had granted two barrier-to-innovation waivers that would result in a refund of approximately $1.8 million and $1.0 million that we previously paid for prescription drug program fees.</w:t>
      </w: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granted each waiver after concluding that Cumberland met the statutory criteria based on the innovation associated with our ifetroban clinical development programs, as the funds could be better used to advance those studies, which are designed to address a series of unmet medical needs.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 received both refunds in June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Sancuso Acquisition and Approval of New Manufacturing Plant</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early 2022, Cumberland acquired the U.S. rights to the FDA-approved oncology-supportive care medicine Sancuso from Kyowa Kirin, Inc., the U.S. affiliate of Japan-based Kyowa Kirin Co., Ltd. 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assumed commercial responsibility for the product in the U.S. – including its marketing, promotion, distribution, manufacturing and medical support activities – early last year and largely completed the transition of Sancuso to Cumberland throughout the remainder of the year. In late 2022, the FDA approved moving the product’s manufacturer to a new facility, which will be a source of future product supplies. In June 2023, we launched an expanded oncology sales division to feature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Agreements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2022, we signed a new agreement with PiSA Pharmaceutical (“PiSA”) for the exclusive supply and distribution of our ibuprofen injection product in Mexico. Cumberland will be responsible for sharing the U.S. dossier and providing product supply, while PiSA will be responsible for obtaining the regulatory approval and then commercializing the product in Mexico. PiSA expects to provide the product in both 400- and 800-milligram vials.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Meanwhile, we continue to support our international partners in their efforts to register our Vibativ brand in their countries.</w:t>
      </w:r>
    </w:p>
    <w:p>
      <w:pPr>
        <w:spacing w:after="0" w:line="1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late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Tabuk is in the process of updating the Vibativ registration in Saudi Arabia with new manufacturing information as they also prepare for the launch in that country.</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 2022, we entered into an agreement with D.B. Pharm to register and commercialize our Vibativ product in South Korea. D.B. Pharm, which also distributes our Caldolor product in South Korea, is progressing their application for the approval of Vibativ.</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Meanwhile, our Vibativ partner for the Chinese market, SciClone Pharmaceuticals, had their approval application in China accepted for review in September 2021. We have since been supporting SciClone and their requests associated with review of that submission. They are working toward the approval and believe that there is significant potential for Vibativ in their country.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Nordic Pharma Arrangements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2022, we entered into an amendment to our agreement with Nordic Pharma (“Nordic”) that addresses the responsibilities and financial arrangements regarding our license to Nordic’s methotrexate line of products for the U.S. (the “License”). Our former line of prefilled methotrexate syringes, marketed under the brand name RediTrex in the U.S., is covered by the License.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Cumberland has transferred the marketing authorization associated with the RediTrex product line to Nordic. As of July 1, 2023, Nordic assumed responsibility for commercializing the methotrexate products in the U.S. Now that we have returned the License, Nordic will provide us with a royalty on their future sales of the products through April 2035.</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Nordic has returned the 180,000 shares we issued to them associated with the original License and has refunded the $1 million we paid following the brand’s approval in the U.S. Nordic has also issued a credit note in favor of Cumberland in the amount of $1 million for the unpaid milestone payment due from us which was associated with our launch of the product line.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Melinta Settlement</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16, 2023, we received consideration related to the breach of contract action with Melinta Therapeutics, LLC and Targanta Therapeutics Corporation (collectively, the “Defendants”) that finalized a settlement agreement that was entered into by the Company and the Defendants to close the case.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2022, the Company filed an action for breach of contract against the Defendants in the United States District Court for the Southern District of New York. The Company and the Defendants are parties to an agreement (the “Agreement”), pursuant to which the Defendants have a license to develop and commercialize products under certain Company patents, in exchange for the Defendants paying the Company certain milestone payments and royalties on net sales of the licensed products.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Specifically, the Agreement requires the Defendants to, among other things, make a $500,000 payment to the Company within 30 days following the first filing of an sNDA in relation to the product (as defined in the Agreement) and a $500,000 payment to the Company following the approval of the first sNDA in relation to the product.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Defendants disclosed the domiciles of its limited partners to the Company, as required by the Court, in October 2022, the action for breach of contract was refiled in the Supreme Court of the State of New York, County of New York in November, 2022.</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complaint alleged that, despite the Defendants filing an NDA and sNDA for the Product and receiving FDA approval for both applications, the Defendants failed to make the required total of $1 million in milestone payments to the Company. The Company sought damages in the amount of no less than $1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New Auditors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completed a review of the appointment of Cumberland’s independent registered public accounting firm for the fiscal year ending December 31, 2023.</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2023, we informed Carr, Riggs &amp; Ingram CPAs and Advisors (“CRI”) that they were selected as the Company’s independent registered public accounting firm for the fiscal year ending December 31, 2023. CRI had obtained provisional approval as of that date, with the formal engagement of CRI being subject to CRI completing its final client acceptance process. CRI subsequently completed its final client acceptance approval process and our Audit Committee formally engaged CRI as Cumberland’s independent registered public accounting firm.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Vaprisol Supply Update</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Demand for our Vaprisol product increased in 2020 during the pandemic, and we worked to support the expanded use of the product in hospitals and clinics during the health care crisis. During 2021, we shipped all remaining inventory of the product and notified the FDA that supplies of the product are not currently available. We have since transferred the manufacturing of the product to a new facility. Our new manufacturing partner is working with the FDA to address several Form 483 and warning letter issues in a timely manner. Meanwhile, we are working with them to support a special, interim supply of compounded product for critically ill patients, while awaiting the needed facility FDA approval to relaunch Vaprisol.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Omeclamox-Pak Supply Update</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packager for Omeclamox-Pak encountered financial difficulties in 2020 due to the impact of the COVID-19 pandemic, and their operations were suspended. As a result, we depleted our inventory of the product and notified the FDA that it is currently unavailable. We are awaiting availability of those operations, while also exploring other alternatives to restart the product’s packaging.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remain committed to our mission of providing innovative products that improve the quality of care for patients and address poorly met medical needs. We are working to fulfill this mission by building a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medical market. We are prepared for and look forward to future opportunities to carry out our mission throughout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2022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 and Judgments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the three months ended June 30, 2022</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three months ended June 30, 2023 and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1460" w:type="dxa"/>
            <w:vAlign w:val="bottom"/>
          </w:tcPr>
          <w:p>
            <w:pPr>
              <w:spacing w:after="0"/>
              <w:rPr>
                <w:sz w:val="20"/>
                <w:szCs w:val="20"/>
                <w:color w:val="auto"/>
              </w:rPr>
            </w:pPr>
          </w:p>
        </w:tc>
      </w:tr>
      <w:tr>
        <w:trPr>
          <w:trHeight w:val="232"/>
        </w:trPr>
        <w:tc>
          <w:tcPr>
            <w:tcW w:w="554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10,888,877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589,725</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5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1,520,774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2,031,884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(511,110)</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4,672,075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4,556,685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115,390</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1,145,038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(678,655)</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2,369,883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2,203,975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165,908</w:t>
            </w:r>
          </w:p>
        </w:tc>
      </w:tr>
      <w:tr>
        <w:trPr>
          <w:trHeight w:val="23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5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1,158,248</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1,529,453</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(371,205)</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10,866,018</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12,145,690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(1,279,672)</w:t>
            </w:r>
          </w:p>
        </w:tc>
      </w:tr>
      <w:tr>
        <w:trPr>
          <w:trHeight w:val="23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(1,846,538)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1,869,397</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57,061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41,995</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981,806</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611,330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(611,330)</w:t>
            </w:r>
          </w:p>
        </w:tc>
      </w:tr>
      <w:tr>
        <w:trPr>
          <w:trHeight w:val="222"/>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(192,635)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(55,011)</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869,091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(1,357,766)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2,226,857</w:t>
            </w:r>
          </w:p>
        </w:tc>
      </w:tr>
      <w:tr>
        <w:trPr>
          <w:trHeight w:val="236"/>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5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862,154</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(1,364,666)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2,226,820</w:t>
            </w:r>
          </w:p>
        </w:tc>
      </w:tr>
      <w:tr>
        <w:trPr>
          <w:trHeight w:val="20"/>
        </w:trPr>
        <w:tc>
          <w:tcPr>
            <w:tcW w:w="5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5540" w:type="dxa"/>
            <w:vAlign w:val="bottom"/>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419"/>
        </w:trPr>
        <w:tc>
          <w:tcPr>
            <w:tcW w:w="612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net revenues by product for the periods presented:</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5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1460" w:type="dxa"/>
            <w:vAlign w:val="bottom"/>
          </w:tcPr>
          <w:p>
            <w:pPr>
              <w:spacing w:after="0"/>
              <w:rPr>
                <w:sz w:val="22"/>
                <w:szCs w:val="22"/>
                <w:color w:val="auto"/>
              </w:rPr>
            </w:pPr>
          </w:p>
        </w:tc>
      </w:tr>
      <w:tr>
        <w:trPr>
          <w:trHeight w:val="223"/>
        </w:trPr>
        <w:tc>
          <w:tcPr>
            <w:tcW w:w="55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54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4,110,718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3,570,272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540,446</w:t>
            </w:r>
          </w:p>
        </w:tc>
      </w:tr>
      <w:tr>
        <w:trPr>
          <w:trHeight w:val="23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3,398,548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(1,481,582)</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Vibativ</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2,147,826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1,596,821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551,005</w:t>
            </w:r>
          </w:p>
        </w:tc>
      </w:tr>
      <w:tr>
        <w:trPr>
          <w:trHeight w:val="24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5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1,226,314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1,193,916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32,398</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Acetadote</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150,163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126,789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23,374</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Vaprisol</w:t>
            </w: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158,478</w:t>
            </w:r>
          </w:p>
        </w:tc>
      </w:tr>
      <w:tr>
        <w:trPr>
          <w:trHeight w:val="237"/>
        </w:trPr>
        <w:tc>
          <w:tcPr>
            <w:tcW w:w="554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5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(26,412)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34,474</w:t>
            </w:r>
          </w:p>
        </w:tc>
      </w:tr>
      <w:tr>
        <w:trPr>
          <w:trHeight w:val="23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(84,183)</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Other revenue</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1,295,478</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815,315</w:t>
            </w:r>
          </w:p>
        </w:tc>
      </w:tr>
      <w:tr>
        <w:trPr>
          <w:trHeight w:val="24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10,888,877</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10,299,152</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589,725</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for the three months ended June 30, 2023, were $10.9 million compared to $10.3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2022. As noted in the table above, net revenue increased during the quarter for four of our marketed products: Kristalose, Vibativ, Caldolor and Acetadote.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of $4.1 million for the second quarter of 2023, represented an increase of $0.5 million when compared to the prior year period. The increase was primarily the result of increased shipments of the product.</w:t>
      </w:r>
    </w:p>
    <w:p>
      <w:pPr>
        <w:spacing w:after="0" w:line="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Acetadote revenue includes net sales of our Acetadote brand and our share of net sales from our Authorized Generic. During the second quarter of 2023, there was an increase of $0.02 million in the product's revenue when compared to the prior year period due to increased shipments of the product.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Vaprisol revenue for the second quarter of 2023 as Cumberland is currently out of inventory of the product. Net revenue was positively impacted due to normal adjustments to expired product returns. We await FDA approval on a new manufacturer.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Caldolor revenue was $1.2 million for the second quarter of 2023, similar to the second quarter of 2022.</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Vibativ revenue was $2.1 million for the three months ended June 30, 2023, an increase of $0.6 million from the same prior year period. The increase in net revenue of the product was the result of increased unit shipments.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Sancuso revenue was $1.9 million for the second quarter of 2023, which was $1.5 million lower than the second quarter of 2022. The decline primarily resulted from larger product returns associated with the inventory acquired at the acquisition of the product and other increased sales deductions.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Omeclamox-Pak had no sales for the second quarter of 2023, as Cumberland is currently out of commercial inventory of this product. The packager for our Omeclamox-Pak product encountered financial difficulties in 2020. Net revenue for the three months ended June 30, 2023, reflects sales deduction adjustments.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of $1.3 million for the three months ended June 30, 2023 was $0.8 million higher than the prior year period due to higher milestone payments recognized.</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Cost of products sold</w:t>
      </w:r>
      <w:r>
        <w:rPr>
          <w:rFonts w:ascii="Arial" w:cs="Arial" w:eastAsia="Arial" w:hAnsi="Arial"/>
          <w:sz w:val="16"/>
          <w:szCs w:val="16"/>
          <w:color w:val="auto"/>
        </w:rPr>
        <w:t>. Cost of products sold for the second quarter of 2023 and 2022 were $1.5 million and $2.0 million, respectively. Cost of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sold, as a percentage of net revenues, were 14.0% during the three months ended June 30, 2023, compared to 19.7% during the three months ended June 30, 2022. The improvement in cost of products sold is primarily due to the availability of new lower cost inventory and less inventory write-downs.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Selling and marketing</w:t>
      </w:r>
      <w:r>
        <w:rPr>
          <w:rFonts w:ascii="Arial" w:cs="Arial" w:eastAsia="Arial" w:hAnsi="Arial"/>
          <w:sz w:val="18"/>
          <w:szCs w:val="18"/>
          <w:color w:val="auto"/>
        </w:rPr>
        <w:t>. Selling and marketing expense for the second quarter of 2023 increased $0.1 million compared to the same period last year.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the timing of spending.</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for the second quarter of 2023 and 2022 were $1.1 million and $1.8 million, respectively.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our research and development costs is variable based on the number of trials, study sites, number of patients and the cost per patient in each of our clinical programs. We continue to fund our ongoing clinical initiatives associated with our pipeline product candidates. The decrease in costs for the second quarter of 2023 results from lower FDA fees in 2023.</w:t>
      </w:r>
    </w:p>
    <w:p>
      <w:pPr>
        <w:spacing w:after="0" w:line="1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increased to $2.4 million for the second quarter of 2023, compared to $2.2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2022, an increase of $0.2 million. The increase was primarily attributable to increases in deferred compensation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Vibativ</w:t>
            </w:r>
          </w:p>
        </w:tc>
        <w:tc>
          <w:tcPr>
            <w:tcW w:w="5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7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37"/>
        </w:trPr>
        <w:tc>
          <w:tcPr>
            <w:tcW w:w="676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3,147,826</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1,596,821</w:t>
            </w:r>
          </w:p>
        </w:tc>
      </w:tr>
      <w:tr>
        <w:trPr>
          <w:trHeight w:val="229"/>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270,571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402,320</w:t>
            </w:r>
          </w:p>
        </w:tc>
      </w:tr>
      <w:tr>
        <w:trPr>
          <w:trHeight w:val="22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597,019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Vibativ contribution</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2,280,236</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1,212,458</w:t>
            </w:r>
          </w:p>
        </w:tc>
      </w:tr>
      <w:tr>
        <w:trPr>
          <w:trHeight w:val="27"/>
        </w:trPr>
        <w:tc>
          <w:tcPr>
            <w:tcW w:w="676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r>
    </w:tbl>
    <w:p>
      <w:pPr>
        <w:spacing w:after="0" w:line="170"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In the second quarter of 2023, net revenue includes a $1,000,000 payment to Cumberland related to a settlement agreement of milestone payments.</w:t>
      </w:r>
    </w:p>
    <w:p>
      <w:pPr>
        <w:spacing w:after="0" w:line="57" w:lineRule="exact"/>
        <w:rPr>
          <w:rFonts w:ascii="Arial" w:cs="Arial" w:eastAsia="Arial" w:hAnsi="Arial"/>
          <w:sz w:val="9"/>
          <w:szCs w:val="9"/>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statements of operations discussed above reflect the following impacts from Sancuso: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5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Three months ended June 30,</w:t>
            </w:r>
          </w:p>
        </w:tc>
      </w:tr>
      <w:tr>
        <w:trPr>
          <w:trHeight w:val="223"/>
        </w:trPr>
        <w:tc>
          <w:tcPr>
            <w:tcW w:w="67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37"/>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1,916,966</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3,648,548</w:t>
            </w:r>
          </w:p>
        </w:tc>
      </w:tr>
      <w:tr>
        <w:trPr>
          <w:trHeight w:val="229"/>
        </w:trPr>
        <w:tc>
          <w:tcPr>
            <w:tcW w:w="6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281,828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360,572</w:t>
            </w:r>
          </w:p>
        </w:tc>
      </w:tr>
      <w:tr>
        <w:trPr>
          <w:trHeight w:val="22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1,407,097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992,922</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Sancuso contribution</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228,041</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2,295,054</w:t>
            </w:r>
          </w:p>
        </w:tc>
      </w:tr>
      <w:tr>
        <w:trPr>
          <w:trHeight w:val="27"/>
        </w:trPr>
        <w:tc>
          <w:tcPr>
            <w:tcW w:w="676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r>
    </w:tbl>
    <w:p>
      <w:pPr>
        <w:spacing w:after="0" w:line="18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Amortization. </w:t>
      </w:r>
      <w:r>
        <w:rPr>
          <w:rFonts w:ascii="Arial" w:cs="Arial" w:eastAsia="Arial" w:hAnsi="Arial"/>
          <w:sz w:val="16"/>
          <w:szCs w:val="16"/>
          <w:color w:val="auto"/>
        </w:rPr>
        <w:t>Amortization expense is the ratable use of our capitalized intangible assets including product and license rights, patents, trademarks and</w:t>
      </w:r>
      <w:r>
        <w:rPr>
          <w:rFonts w:ascii="Arial" w:cs="Arial" w:eastAsia="Arial" w:hAnsi="Arial"/>
          <w:sz w:val="16"/>
          <w:szCs w:val="16"/>
          <w:i w:val="1"/>
          <w:iCs w:val="1"/>
          <w:color w:val="auto"/>
        </w:rPr>
        <w:t xml:space="preserve"> </w:t>
      </w:r>
      <w:r>
        <w:rPr>
          <w:rFonts w:ascii="Arial" w:cs="Arial" w:eastAsia="Arial" w:hAnsi="Arial"/>
          <w:sz w:val="16"/>
          <w:szCs w:val="16"/>
          <w:color w:val="auto"/>
        </w:rPr>
        <w:t>patent defense costs. Amortization for the three months ended June 30, 2023 and 2022, totaled approximately $1.2 million and $1.5 million, respectively. The decline in amortization expense resulted from adjustments to the useful life of Sancuso during the valuation of the product in December 2022.</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June 30, 2023, was comparable to the income tax expense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30, 2022.</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we had approximately $53.1 million in federal net operating loss carryforwards including approximately $44 million of net operating loss carryforwards resulting from the exercise of nonqualified stock options that have historically been used to significantly offset income tax obligations. We expect to continue to pay minimal income taxes during 2023 and beyond, through the continued utilization of these net operating loss carryforwards, on any taxable income generated from our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In the second quarter of 2023, we recognized a $1.0 million refund of 2023 FDA fees to be used to further our product research efforts.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the six months ended June 30, 2022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unaudited interim statements of operations for continuing operations for the six months ended June 30, 2023 and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87"/>
              </w:rPr>
              <w:t>Six months ended June 30,</w:t>
            </w: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55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Change</w:t>
            </w:r>
          </w:p>
        </w:tc>
      </w:tr>
      <w:tr>
        <w:trPr>
          <w:trHeight w:val="227"/>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20,113,515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21,474,197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(1,360,682)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2,771,038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4,243,769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(1,472,731)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8,949,393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9,171,114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(221,721)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2,644,708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3,568,829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4,868,876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4,506,324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362,552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2,388,319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3,122,698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(734,379)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21,622,334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24,612,734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(1,508,819)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(3,138,537)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1,629,718</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107,251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76,144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2,828,871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611,330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(611,330)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(378,988)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(257,199)</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1,048,315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(2,753,299)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3,801,614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1,034,440</w:t>
            </w:r>
          </w:p>
        </w:tc>
        <w:tc>
          <w:tcPr>
            <w:tcW w:w="80" w:type="dxa"/>
            <w:vAlign w:val="bottom"/>
          </w:tcPr>
          <w:p>
            <w:pPr>
              <w:spacing w:after="0"/>
              <w:rPr>
                <w:sz w:val="19"/>
                <w:szCs w:val="19"/>
                <w:color w:val="auto"/>
              </w:rPr>
            </w:pPr>
          </w:p>
        </w:tc>
        <w:tc>
          <w:tcPr>
            <w:tcW w:w="50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(2,767,099)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3,801,539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62"/>
        </w:trPr>
        <w:tc>
          <w:tcPr>
            <w:tcW w:w="5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0"/>
        </w:trPr>
        <w:tc>
          <w:tcPr>
            <w:tcW w:w="6100" w:type="dxa"/>
            <w:vAlign w:val="bottom"/>
            <w:gridSpan w:val="3"/>
          </w:tcPr>
          <w:p>
            <w:pPr>
              <w:spacing w:after="0"/>
              <w:rPr>
                <w:sz w:val="20"/>
                <w:szCs w:val="20"/>
                <w:color w:val="auto"/>
              </w:rPr>
            </w:pPr>
            <w:r>
              <w:rPr>
                <w:rFonts w:ascii="Arial" w:cs="Arial" w:eastAsia="Arial" w:hAnsi="Arial"/>
                <w:sz w:val="18"/>
                <w:szCs w:val="18"/>
                <w:color w:val="auto"/>
                <w:w w:val="92"/>
              </w:rPr>
              <w:t>The following table summarizes net revenues by product for the periods presented:</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5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87"/>
              </w:rPr>
              <w:t>Six months ended June 30,</w:t>
            </w: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Change</w:t>
            </w:r>
          </w:p>
        </w:tc>
        <w:tc>
          <w:tcPr>
            <w:tcW w:w="20" w:type="dxa"/>
            <w:vAlign w:val="bottom"/>
          </w:tcPr>
          <w:p>
            <w:pPr>
              <w:spacing w:after="0"/>
              <w:rPr>
                <w:sz w:val="19"/>
                <w:szCs w:val="19"/>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500" w:type="dxa"/>
            <w:vAlign w:val="bottom"/>
          </w:tcPr>
          <w:p>
            <w:pPr>
              <w:ind w:left="360"/>
              <w:spacing w:after="0"/>
              <w:rPr>
                <w:sz w:val="20"/>
                <w:szCs w:val="20"/>
                <w:color w:val="auto"/>
              </w:rPr>
            </w:pPr>
            <w:r>
              <w:rPr>
                <w:rFonts w:ascii="Arial" w:cs="Arial" w:eastAsia="Arial" w:hAnsi="Arial"/>
                <w:sz w:val="18"/>
                <w:szCs w:val="18"/>
                <w:color w:val="auto"/>
              </w:rPr>
              <w:t>Kristalose</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8,425,846</w:t>
            </w:r>
          </w:p>
        </w:tc>
        <w:tc>
          <w:tcPr>
            <w:tcW w:w="5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7,515,368</w:t>
            </w:r>
          </w:p>
        </w:tc>
        <w:tc>
          <w:tcPr>
            <w:tcW w:w="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910,478</w:t>
            </w:r>
          </w:p>
        </w:tc>
        <w:tc>
          <w:tcPr>
            <w:tcW w:w="20" w:type="dxa"/>
            <w:vAlign w:val="bottom"/>
          </w:tcPr>
          <w:p>
            <w:pPr>
              <w:spacing w:after="0"/>
              <w:rPr>
                <w:sz w:val="20"/>
                <w:szCs w:val="20"/>
                <w:color w:val="auto"/>
              </w:rPr>
            </w:pPr>
          </w:p>
        </w:tc>
      </w:tr>
      <w:tr>
        <w:trPr>
          <w:trHeight w:val="23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Sancuso</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3,803,759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6,795,758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(2,991,999)</w:t>
            </w:r>
          </w:p>
        </w:tc>
        <w:tc>
          <w:tcPr>
            <w:tcW w:w="20" w:type="dxa"/>
            <w:vAlign w:val="bottom"/>
          </w:tcPr>
          <w:p>
            <w:pPr>
              <w:spacing w:after="0"/>
              <w:rPr>
                <w:sz w:val="20"/>
                <w:szCs w:val="20"/>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Vibativ</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3,996,013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4,098,255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(102,242)</w:t>
            </w:r>
          </w:p>
        </w:tc>
        <w:tc>
          <w:tcPr>
            <w:tcW w:w="20" w:type="dxa"/>
            <w:vAlign w:val="bottom"/>
          </w:tcPr>
          <w:p>
            <w:pPr>
              <w:spacing w:after="0"/>
              <w:rPr>
                <w:sz w:val="19"/>
                <w:szCs w:val="19"/>
                <w:color w:val="auto"/>
              </w:rPr>
            </w:pPr>
          </w:p>
        </w:tc>
      </w:tr>
      <w:tr>
        <w:trPr>
          <w:trHeight w:val="243"/>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Caldolor</w:t>
            </w: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2,161,356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2,153,546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7,810</w:t>
            </w:r>
          </w:p>
        </w:tc>
        <w:tc>
          <w:tcPr>
            <w:tcW w:w="20" w:type="dxa"/>
            <w:vAlign w:val="bottom"/>
          </w:tcPr>
          <w:p>
            <w:pPr>
              <w:spacing w:after="0"/>
              <w:rPr>
                <w:sz w:val="21"/>
                <w:szCs w:val="2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Vaprisol</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39,866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(251,623)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291,489</w:t>
            </w:r>
          </w:p>
        </w:tc>
        <w:tc>
          <w:tcPr>
            <w:tcW w:w="20" w:type="dxa"/>
            <w:vAlign w:val="bottom"/>
          </w:tcPr>
          <w:p>
            <w:pPr>
              <w:spacing w:after="0"/>
              <w:rPr>
                <w:sz w:val="19"/>
                <w:szCs w:val="19"/>
                <w:color w:val="auto"/>
              </w:rPr>
            </w:pPr>
          </w:p>
        </w:tc>
      </w:tr>
      <w:tr>
        <w:trPr>
          <w:trHeight w:val="229"/>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Acetadote</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320,019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237,884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82,135</w:t>
            </w:r>
          </w:p>
        </w:tc>
        <w:tc>
          <w:tcPr>
            <w:tcW w:w="20" w:type="dxa"/>
            <w:vAlign w:val="bottom"/>
          </w:tcPr>
          <w:p>
            <w:pPr>
              <w:spacing w:after="0"/>
              <w:rPr>
                <w:sz w:val="19"/>
                <w:szCs w:val="19"/>
                <w:color w:val="auto"/>
              </w:rPr>
            </w:pPr>
          </w:p>
        </w:tc>
      </w:tr>
      <w:tr>
        <w:trPr>
          <w:trHeight w:val="237"/>
        </w:trPr>
        <w:tc>
          <w:tcPr>
            <w:tcW w:w="5500" w:type="dxa"/>
            <w:vAlign w:val="bottom"/>
          </w:tcPr>
          <w:p>
            <w:pPr>
              <w:ind w:left="360"/>
              <w:spacing w:after="0"/>
              <w:rPr>
                <w:sz w:val="20"/>
                <w:szCs w:val="20"/>
                <w:color w:val="auto"/>
              </w:rPr>
            </w:pPr>
            <w:r>
              <w:rPr>
                <w:rFonts w:ascii="Arial" w:cs="Arial" w:eastAsia="Arial" w:hAnsi="Arial"/>
                <w:sz w:val="18"/>
                <w:szCs w:val="18"/>
                <w:color w:val="auto"/>
              </w:rPr>
              <w:t>Omeclamox-Pak</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9,220</w:t>
            </w:r>
          </w:p>
        </w:tc>
        <w:tc>
          <w:tcPr>
            <w:tcW w:w="20" w:type="dxa"/>
            <w:vAlign w:val="bottom"/>
          </w:tcPr>
          <w:p>
            <w:pPr>
              <w:spacing w:after="0"/>
              <w:rPr>
                <w:sz w:val="20"/>
                <w:szCs w:val="20"/>
                <w:color w:val="auto"/>
              </w:rPr>
            </w:pPr>
          </w:p>
        </w:tc>
      </w:tr>
      <w:tr>
        <w:trPr>
          <w:trHeight w:val="23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RediTrex</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(131,552)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152,904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(284,456)</w:t>
            </w:r>
          </w:p>
        </w:tc>
        <w:tc>
          <w:tcPr>
            <w:tcW w:w="20" w:type="dxa"/>
            <w:vAlign w:val="bottom"/>
          </w:tcPr>
          <w:p>
            <w:pPr>
              <w:spacing w:after="0"/>
              <w:rPr>
                <w:sz w:val="20"/>
                <w:szCs w:val="20"/>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Other revenue</w:t>
            </w:r>
          </w:p>
        </w:tc>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1,492,664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775,781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716,883</w:t>
            </w:r>
          </w:p>
        </w:tc>
        <w:tc>
          <w:tcPr>
            <w:tcW w:w="20" w:type="dxa"/>
            <w:vAlign w:val="bottom"/>
          </w:tcPr>
          <w:p>
            <w:pPr>
              <w:spacing w:after="0"/>
              <w:rPr>
                <w:sz w:val="19"/>
                <w:szCs w:val="19"/>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revenues</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20,113,515</w:t>
            </w:r>
          </w:p>
        </w:tc>
        <w:tc>
          <w:tcPr>
            <w:tcW w:w="5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21,474,197</w:t>
            </w:r>
          </w:p>
        </w:tc>
        <w:tc>
          <w:tcPr>
            <w:tcW w:w="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(1,360,682)</w:t>
            </w:r>
          </w:p>
        </w:tc>
        <w:tc>
          <w:tcPr>
            <w:tcW w:w="20" w:type="dxa"/>
            <w:vAlign w:val="bottom"/>
          </w:tcPr>
          <w:p>
            <w:pPr>
              <w:spacing w:after="0"/>
              <w:rPr>
                <w:sz w:val="21"/>
                <w:szCs w:val="2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for the six months ended June 30, 2023, were $20.1 million compared to $21.5 million for the six months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$1.4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Kristalose revenue was $8.4 million during the first six months of 2023, compared to $7.5 million for the prior year period. Revenue increased due to overall increased unit volume in 2023.</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Sancuso revenue was $3.8 million for the six months ended June 30, 2023, compared to $6.8 million for the same period last year. The decline resulted from lower sales volume and higher sales deductions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Vibativ revenue was $4.0 million for the six months ended June 30, 2023, compared to $4.1 million for the same period last year. The decrease in net revenue was a result of higher sales volume for the product during the six months ended June 30, 2022.</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Vaprisol revenue for the first six months of 2023 as Cumberland is currently out of commercial inventory of the product. Net revenue was positively impacted by various sales adjustments.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Omeclamox-Pak had no sales for the six months ended June 30, 2023, as Cumberland is currently out of commercial inventory of this product. The packager for our Omeclamox-Pak product encountered financial difficulties and currently is under new management and a reorganization. We are in discussions about the resumption of packaging the product.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Acetadote revenue includes net sales of our Acetadote brand and our share of net sales from our Authorized Generic. There was a $0.1 million increase in the product's year to date revenue for the six months ended June 30, 2023, when compared to the prior year period as a result of increased sales of our Authorized Generic and a decrease in expired product returns in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Caldolor revenue was $2.2 million for the first two quarters of 2023, at the same level as 2022.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was $1.5 million for the six months ended June 30, 2023, representing a $0.7 million increase from the same period in 2022, as a result of two milestone payments recognized in 2023.</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products sold</w:t>
      </w:r>
      <w:r>
        <w:rPr>
          <w:rFonts w:ascii="Arial" w:cs="Arial" w:eastAsia="Arial" w:hAnsi="Arial"/>
          <w:sz w:val="18"/>
          <w:szCs w:val="18"/>
          <w:color w:val="auto"/>
        </w:rPr>
        <w:t>. Cost of products sold for the first six months of 2023 were $2.8 million, a decrease of $1.5 million compared to the same period last</w:t>
      </w:r>
      <w:r>
        <w:rPr>
          <w:rFonts w:ascii="Arial" w:cs="Arial" w:eastAsia="Arial" w:hAnsi="Arial"/>
          <w:sz w:val="18"/>
          <w:szCs w:val="18"/>
          <w:i w:val="1"/>
          <w:iCs w:val="1"/>
          <w:color w:val="auto"/>
        </w:rPr>
        <w:t xml:space="preserve"> </w:t>
      </w:r>
      <w:r>
        <w:rPr>
          <w:rFonts w:ascii="Arial" w:cs="Arial" w:eastAsia="Arial" w:hAnsi="Arial"/>
          <w:sz w:val="18"/>
          <w:szCs w:val="18"/>
          <w:color w:val="auto"/>
        </w:rPr>
        <w:t>year due to the availability of new lower cost inventory and fewer inventory write downs.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and marketing</w:t>
      </w:r>
      <w:r>
        <w:rPr>
          <w:rFonts w:ascii="Arial" w:cs="Arial" w:eastAsia="Arial" w:hAnsi="Arial"/>
          <w:sz w:val="16"/>
          <w:szCs w:val="16"/>
          <w:color w:val="auto"/>
        </w:rPr>
        <w:t>. Selling and marketing expense for the six months ended June 30, 2023, decreased $0.2 million compared to the prior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decline is primarily attributable to the timing of spending.</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costs were $2.6 million for the first six months of 2023 compared to $3.6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last year. A portion of our research and development costs is variable based on the number of trials, study sites, cost of the per patient study protocol and patients involved in the development of our new product candidates. We continue to fund our ongoing clinical initiatives associated with our pipeline product candidates. In addition, 2023 R&amp;D costs declined by $0.9 million due to reduced FDA fees.</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 for the six months ended June 30, 2023, increased to $4.9 million compared to $4.5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six months ended June 30, 2022. In 2023, we experienced an increase in deferred compensation and hiring expenses.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The</w:t>
            </w:r>
          </w:p>
        </w:tc>
        <w:tc>
          <w:tcPr>
            <w:tcW w:w="1160" w:type="dxa"/>
            <w:vAlign w:val="bottom"/>
          </w:tcPr>
          <w:p>
            <w:pPr>
              <w:ind w:left="140"/>
              <w:spacing w:after="0"/>
              <w:rPr>
                <w:sz w:val="20"/>
                <w:szCs w:val="20"/>
                <w:color w:val="auto"/>
              </w:rPr>
            </w:pPr>
            <w:r>
              <w:rPr>
                <w:rFonts w:ascii="Arial" w:cs="Arial" w:eastAsia="Arial" w:hAnsi="Arial"/>
                <w:sz w:val="18"/>
                <w:szCs w:val="18"/>
                <w:color w:val="auto"/>
              </w:rPr>
              <w:t>components</w:t>
            </w:r>
          </w:p>
        </w:tc>
        <w:tc>
          <w:tcPr>
            <w:tcW w:w="560" w:type="dxa"/>
            <w:vAlign w:val="bottom"/>
          </w:tcPr>
          <w:p>
            <w:pPr>
              <w:ind w:left="140"/>
              <w:spacing w:after="0"/>
              <w:rPr>
                <w:sz w:val="20"/>
                <w:szCs w:val="20"/>
                <w:color w:val="auto"/>
              </w:rPr>
            </w:pPr>
            <w:r>
              <w:rPr>
                <w:rFonts w:ascii="Arial" w:cs="Arial" w:eastAsia="Arial" w:hAnsi="Arial"/>
                <w:sz w:val="18"/>
                <w:szCs w:val="18"/>
                <w:color w:val="auto"/>
              </w:rPr>
              <w:t>of</w:t>
            </w:r>
          </w:p>
        </w:tc>
        <w:tc>
          <w:tcPr>
            <w:tcW w:w="380" w:type="dxa"/>
            <w:vAlign w:val="bottom"/>
          </w:tcPr>
          <w:p>
            <w:pPr>
              <w:ind w:left="20"/>
              <w:spacing w:after="0"/>
              <w:rPr>
                <w:sz w:val="20"/>
                <w:szCs w:val="20"/>
                <w:color w:val="auto"/>
              </w:rPr>
            </w:pPr>
            <w:r>
              <w:rPr>
                <w:rFonts w:ascii="Arial" w:cs="Arial" w:eastAsia="Arial" w:hAnsi="Arial"/>
                <w:sz w:val="18"/>
                <w:szCs w:val="18"/>
                <w:color w:val="auto"/>
              </w:rPr>
              <w:t>the</w:t>
            </w:r>
          </w:p>
        </w:tc>
        <w:tc>
          <w:tcPr>
            <w:tcW w:w="1060" w:type="dxa"/>
            <w:vAlign w:val="bottom"/>
          </w:tcPr>
          <w:p>
            <w:pPr>
              <w:ind w:left="160"/>
              <w:spacing w:after="0"/>
              <w:rPr>
                <w:sz w:val="20"/>
                <w:szCs w:val="20"/>
                <w:color w:val="auto"/>
              </w:rPr>
            </w:pPr>
            <w:r>
              <w:rPr>
                <w:rFonts w:ascii="Arial" w:cs="Arial" w:eastAsia="Arial" w:hAnsi="Arial"/>
                <w:sz w:val="18"/>
                <w:szCs w:val="18"/>
                <w:color w:val="auto"/>
                <w:w w:val="99"/>
              </w:rPr>
              <w:t>statements</w:t>
            </w:r>
          </w:p>
        </w:tc>
        <w:tc>
          <w:tcPr>
            <w:tcW w:w="440" w:type="dxa"/>
            <w:vAlign w:val="bottom"/>
          </w:tcPr>
          <w:p>
            <w:pPr>
              <w:ind w:left="140"/>
              <w:spacing w:after="0"/>
              <w:rPr>
                <w:sz w:val="20"/>
                <w:szCs w:val="20"/>
                <w:color w:val="auto"/>
              </w:rPr>
            </w:pPr>
            <w:r>
              <w:rPr>
                <w:rFonts w:ascii="Arial" w:cs="Arial" w:eastAsia="Arial" w:hAnsi="Arial"/>
                <w:sz w:val="18"/>
                <w:szCs w:val="18"/>
                <w:color w:val="auto"/>
              </w:rPr>
              <w:t>of</w:t>
            </w:r>
          </w:p>
        </w:tc>
        <w:tc>
          <w:tcPr>
            <w:tcW w:w="10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980" w:type="dxa"/>
            <w:vAlign w:val="bottom"/>
          </w:tcPr>
          <w:p>
            <w:pPr>
              <w:ind w:left="140"/>
              <w:spacing w:after="0"/>
              <w:rPr>
                <w:sz w:val="20"/>
                <w:szCs w:val="20"/>
                <w:color w:val="auto"/>
              </w:rPr>
            </w:pPr>
            <w:r>
              <w:rPr>
                <w:rFonts w:ascii="Arial" w:cs="Arial" w:eastAsia="Arial" w:hAnsi="Arial"/>
                <w:sz w:val="18"/>
                <w:szCs w:val="18"/>
                <w:color w:val="auto"/>
              </w:rPr>
              <w:t>discussed</w:t>
            </w:r>
          </w:p>
        </w:tc>
        <w:tc>
          <w:tcPr>
            <w:tcW w:w="700" w:type="dxa"/>
            <w:vAlign w:val="bottom"/>
          </w:tcPr>
          <w:p>
            <w:pPr>
              <w:ind w:left="140"/>
              <w:spacing w:after="0"/>
              <w:rPr>
                <w:sz w:val="20"/>
                <w:szCs w:val="20"/>
                <w:color w:val="auto"/>
              </w:rPr>
            </w:pPr>
            <w:r>
              <w:rPr>
                <w:rFonts w:ascii="Arial" w:cs="Arial" w:eastAsia="Arial" w:hAnsi="Arial"/>
                <w:sz w:val="18"/>
                <w:szCs w:val="18"/>
                <w:color w:val="auto"/>
              </w:rPr>
              <w:t>above</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reflect</w:t>
            </w:r>
          </w:p>
        </w:tc>
        <w:tc>
          <w:tcPr>
            <w:tcW w:w="420" w:type="dxa"/>
            <w:vAlign w:val="bottom"/>
          </w:tcPr>
          <w:p>
            <w:pPr>
              <w:ind w:left="160"/>
              <w:spacing w:after="0"/>
              <w:rPr>
                <w:sz w:val="20"/>
                <w:szCs w:val="20"/>
                <w:color w:val="auto"/>
              </w:rPr>
            </w:pPr>
            <w:r>
              <w:rPr>
                <w:rFonts w:ascii="Arial" w:cs="Arial" w:eastAsia="Arial" w:hAnsi="Arial"/>
                <w:sz w:val="18"/>
                <w:szCs w:val="18"/>
                <w:color w:val="auto"/>
                <w:w w:val="95"/>
              </w:rPr>
              <w:t>the</w:t>
            </w:r>
          </w:p>
        </w:tc>
        <w:tc>
          <w:tcPr>
            <w:tcW w:w="1000" w:type="dxa"/>
            <w:vAlign w:val="bottom"/>
          </w:tcPr>
          <w:p>
            <w:pPr>
              <w:jc w:val="right"/>
              <w:spacing w:after="0"/>
              <w:rPr>
                <w:sz w:val="20"/>
                <w:szCs w:val="20"/>
                <w:color w:val="auto"/>
              </w:rPr>
            </w:pPr>
            <w:r>
              <w:rPr>
                <w:rFonts w:ascii="Arial" w:cs="Arial" w:eastAsia="Arial" w:hAnsi="Arial"/>
                <w:sz w:val="18"/>
                <w:szCs w:val="18"/>
                <w:color w:val="auto"/>
              </w:rPr>
              <w:t>following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impacts</w:t>
            </w:r>
          </w:p>
        </w:tc>
        <w:tc>
          <w:tcPr>
            <w:tcW w:w="560" w:type="dxa"/>
            <w:vAlign w:val="bottom"/>
          </w:tcPr>
          <w:p>
            <w:pPr>
              <w:jc w:val="right"/>
              <w:spacing w:after="0"/>
              <w:rPr>
                <w:sz w:val="20"/>
                <w:szCs w:val="20"/>
                <w:color w:val="auto"/>
              </w:rPr>
            </w:pPr>
            <w:r>
              <w:rPr>
                <w:rFonts w:ascii="Arial" w:cs="Arial" w:eastAsia="Arial" w:hAnsi="Arial"/>
                <w:sz w:val="18"/>
                <w:szCs w:val="18"/>
                <w:color w:val="auto"/>
              </w:rPr>
              <w:t>from</w:t>
            </w:r>
          </w:p>
        </w:tc>
        <w:tc>
          <w:tcPr>
            <w:tcW w:w="820" w:type="dxa"/>
            <w:vAlign w:val="bottom"/>
          </w:tcPr>
          <w:p>
            <w:pPr>
              <w:jc w:val="right"/>
              <w:spacing w:after="0"/>
              <w:rPr>
                <w:sz w:val="20"/>
                <w:szCs w:val="20"/>
                <w:color w:val="auto"/>
              </w:rPr>
            </w:pPr>
            <w:r>
              <w:rPr>
                <w:rFonts w:ascii="Arial" w:cs="Arial" w:eastAsia="Arial" w:hAnsi="Arial"/>
                <w:sz w:val="18"/>
                <w:szCs w:val="18"/>
                <w:color w:val="auto"/>
              </w:rPr>
              <w:t>Vibativ:</w:t>
            </w:r>
          </w:p>
        </w:tc>
      </w:tr>
      <w:tr>
        <w:trPr>
          <w:trHeight w:val="256"/>
        </w:trPr>
        <w:tc>
          <w:tcPr>
            <w:tcW w:w="21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Financial Impact of Vibativ</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w w:val="88"/>
              </w:rPr>
              <w:t>Six months ended June 30,</w:t>
            </w:r>
          </w:p>
        </w:tc>
        <w:tc>
          <w:tcPr>
            <w:tcW w:w="820" w:type="dxa"/>
            <w:vAlign w:val="bottom"/>
            <w:tcBorders>
              <w:bottom w:val="single" w:sz="8" w:color="auto"/>
            </w:tcBorders>
          </w:tcPr>
          <w:p>
            <w:pPr>
              <w:spacing w:after="0"/>
              <w:rPr>
                <w:sz w:val="22"/>
                <w:szCs w:val="22"/>
                <w:color w:val="auto"/>
              </w:rPr>
            </w:pPr>
          </w:p>
        </w:tc>
      </w:tr>
      <w:tr>
        <w:trPr>
          <w:trHeight w:val="232"/>
        </w:trPr>
        <w:tc>
          <w:tcPr>
            <w:tcW w:w="44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20"/>
                <w:szCs w:val="20"/>
                <w:color w:val="auto"/>
              </w:rPr>
            </w:pPr>
          </w:p>
        </w:tc>
      </w:tr>
      <w:tr>
        <w:trPr>
          <w:trHeight w:val="227"/>
        </w:trPr>
        <w:tc>
          <w:tcPr>
            <w:tcW w:w="160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4,996,013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4,248,255</w:t>
            </w:r>
          </w:p>
        </w:tc>
      </w:tr>
      <w:tr>
        <w:trPr>
          <w:trHeight w:val="230"/>
        </w:trPr>
        <w:tc>
          <w:tcPr>
            <w:tcW w:w="21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517,313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1,329,480</w:t>
            </w:r>
          </w:p>
        </w:tc>
      </w:tr>
      <w:tr>
        <w:trPr>
          <w:trHeight w:val="243"/>
        </w:trPr>
        <w:tc>
          <w:tcPr>
            <w:tcW w:w="25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Royalty and operating expenses</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1,116,627</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663,360</w:t>
            </w:r>
          </w:p>
        </w:tc>
      </w:tr>
      <w:tr>
        <w:trPr>
          <w:trHeight w:val="223"/>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Vibativ contribution</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3,362,073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2,255,415</w:t>
            </w:r>
          </w:p>
        </w:tc>
      </w:tr>
      <w:tr>
        <w:trPr>
          <w:trHeight w:val="20"/>
        </w:trPr>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2023 net revenue includes a $1,000,000 payment to Cumberland related to a settlement agreement of milestone payments.</w:t>
      </w:r>
    </w:p>
    <w:p>
      <w:pPr>
        <w:spacing w:after="0" w:line="87"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8"/>
        </w:numPr>
        <w:rPr>
          <w:rFonts w:ascii="Arial" w:cs="Arial" w:eastAsia="Arial" w:hAnsi="Arial"/>
          <w:sz w:val="9"/>
          <w:szCs w:val="9"/>
          <w:color w:val="auto"/>
        </w:rPr>
      </w:pPr>
      <w:r>
        <w:rPr>
          <w:rFonts w:ascii="Arial" w:cs="Arial" w:eastAsia="Arial" w:hAnsi="Arial"/>
          <w:sz w:val="14"/>
          <w:szCs w:val="14"/>
          <w:color w:val="auto"/>
        </w:rPr>
        <w:t>The Vibativ inventory included in the costs of product sold during the period was acquired and paid for by Cumberland as part of the acquisition of the brand during 2018.</w:t>
      </w:r>
    </w:p>
    <w:p>
      <w:pPr>
        <w:sectPr>
          <w:pgSz w:w="11900" w:h="16838" w:orient="portrait"/>
          <w:cols w:equalWidth="0" w:num="1">
            <w:col w:w="11240"/>
          </w:cols>
          <w:pgMar w:left="320" w:top="1421" w:right="339" w:bottom="1440" w:gutter="0" w:footer="0" w:header="0"/>
        </w:sect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Impact of Vibativ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Net revenue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Royalty and operating expenses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Vibativ contribution</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414"/>
        <w:spacing w:after="0"/>
        <w:rPr>
          <w:sz w:val="20"/>
          <w:szCs w:val="20"/>
          <w:color w:val="auto"/>
        </w:rPr>
      </w:pPr>
      <w:r>
        <w:rPr>
          <w:rFonts w:ascii="Arial" w:cs="Arial" w:eastAsia="Arial" w:hAnsi="Arial"/>
          <w:sz w:val="18"/>
          <w:szCs w:val="18"/>
          <w:b w:val="1"/>
          <w:bCs w:val="1"/>
          <w:color w:val="auto"/>
        </w:rPr>
        <w:t>Since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17145</wp:posOffset>
            </wp:positionV>
            <wp:extent cx="1388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 w:lineRule="exact"/>
        <w:rPr>
          <w:sz w:val="20"/>
          <w:szCs w:val="20"/>
          <w:color w:val="auto"/>
        </w:rPr>
      </w:pPr>
    </w:p>
    <w:p>
      <w:pPr>
        <w:ind w:left="1294" w:hanging="1294"/>
        <w:spacing w:after="0"/>
        <w:tabs>
          <w:tab w:leader="none" w:pos="1294" w:val="left"/>
        </w:tabs>
        <w:numPr>
          <w:ilvl w:val="0"/>
          <w:numId w:val="9"/>
        </w:numPr>
        <w:rPr>
          <w:rFonts w:ascii="Arial" w:cs="Arial" w:eastAsia="Arial" w:hAnsi="Arial"/>
          <w:sz w:val="15"/>
          <w:szCs w:val="15"/>
          <w:color w:val="auto"/>
        </w:rPr>
      </w:pPr>
      <w:r>
        <w:rPr>
          <w:rFonts w:ascii="Arial" w:cs="Arial" w:eastAsia="Arial" w:hAnsi="Arial"/>
          <w:sz w:val="15"/>
          <w:szCs w:val="15"/>
          <w:color w:val="auto"/>
        </w:rPr>
        <w:t>48,754,498</w:t>
      </w:r>
    </w:p>
    <w:p>
      <w:pPr>
        <w:spacing w:after="0" w:line="70" w:lineRule="exact"/>
        <w:rPr>
          <w:rFonts w:ascii="Arial" w:cs="Arial" w:eastAsia="Arial" w:hAnsi="Arial"/>
          <w:sz w:val="15"/>
          <w:szCs w:val="15"/>
          <w:color w:val="auto"/>
        </w:rPr>
      </w:pPr>
    </w:p>
    <w:p>
      <w:pPr>
        <w:ind w:left="1294"/>
        <w:spacing w:after="0"/>
        <w:rPr>
          <w:rFonts w:ascii="Arial" w:cs="Arial" w:eastAsia="Arial" w:hAnsi="Arial"/>
          <w:sz w:val="15"/>
          <w:szCs w:val="15"/>
          <w:color w:val="auto"/>
        </w:rPr>
      </w:pPr>
      <w:r>
        <w:rPr>
          <w:rFonts w:ascii="Arial" w:cs="Arial" w:eastAsia="Arial" w:hAnsi="Arial"/>
          <w:sz w:val="15"/>
          <w:szCs w:val="15"/>
          <w:color w:val="auto"/>
        </w:rPr>
        <w:t>16,242,420</w:t>
      </w:r>
    </w:p>
    <w:p>
      <w:pPr>
        <w:spacing w:after="0" w:line="57" w:lineRule="exact"/>
        <w:rPr>
          <w:rFonts w:ascii="Arial" w:cs="Arial" w:eastAsia="Arial" w:hAnsi="Arial"/>
          <w:sz w:val="15"/>
          <w:szCs w:val="15"/>
          <w:color w:val="auto"/>
        </w:rPr>
      </w:pPr>
    </w:p>
    <w:p>
      <w:pPr>
        <w:ind w:left="1374"/>
        <w:spacing w:after="0"/>
        <w:rPr>
          <w:rFonts w:ascii="Arial" w:cs="Arial" w:eastAsia="Arial" w:hAnsi="Arial"/>
          <w:sz w:val="15"/>
          <w:szCs w:val="15"/>
          <w:color w:val="auto"/>
        </w:rPr>
      </w:pPr>
      <w:r>
        <w:rPr>
          <w:rFonts w:ascii="Arial" w:cs="Arial" w:eastAsia="Arial" w:hAnsi="Arial"/>
          <w:sz w:val="16"/>
          <w:szCs w:val="16"/>
          <w:color w:val="auto"/>
        </w:rPr>
        <w:t>7,653,817</w:t>
      </w:r>
    </w:p>
    <w:p>
      <w:pPr>
        <w:spacing w:after="0" w:line="58" w:lineRule="exact"/>
        <w:rPr>
          <w:sz w:val="20"/>
          <w:szCs w:val="20"/>
          <w:color w:val="auto"/>
        </w:rPr>
      </w:pPr>
    </w:p>
    <w:p>
      <w:pPr>
        <w:ind w:left="1294" w:hanging="1294"/>
        <w:spacing w:after="0"/>
        <w:tabs>
          <w:tab w:leader="none" w:pos="1294" w:val="left"/>
        </w:tabs>
        <w:numPr>
          <w:ilvl w:val="0"/>
          <w:numId w:val="10"/>
        </w:numPr>
        <w:rPr>
          <w:rFonts w:ascii="Arial" w:cs="Arial" w:eastAsia="Arial" w:hAnsi="Arial"/>
          <w:sz w:val="15"/>
          <w:szCs w:val="15"/>
          <w:color w:val="auto"/>
        </w:rPr>
      </w:pPr>
      <w:r>
        <w:rPr>
          <w:rFonts w:ascii="Arial" w:cs="Arial" w:eastAsia="Arial" w:hAnsi="Arial"/>
          <w:sz w:val="15"/>
          <w:szCs w:val="15"/>
          <w:color w:val="auto"/>
        </w:rPr>
        <w:t>24,858,261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71120</wp:posOffset>
            </wp:positionV>
            <wp:extent cx="1388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346" w:space="720"/>
            <w:col w:w="2174"/>
          </w:cols>
          <w:pgMar w:left="320" w:top="1421" w:right="339" w:bottom="1440" w:gutter="0" w:footer="0" w:header="0"/>
          <w:type w:val="continuous"/>
        </w:sectPr>
      </w:pPr>
    </w:p>
    <w:p>
      <w:pPr>
        <w:spacing w:after="0" w:line="36"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Net revenue includes a $1,000,000 payment to Cumberland related to a settlement agreement of milestone payments.</w:t>
      </w:r>
    </w:p>
    <w:p>
      <w:pPr>
        <w:spacing w:after="0" w:line="60"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3"/>
          <w:szCs w:val="13"/>
          <w:color w:val="auto"/>
        </w:rPr>
        <w:t>The Vibativ inventory included in the costs of product sold during the period was acquired and paid for by Cumberland as part of the acquisition of the brand during 2018.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color w:val="auto"/>
        </w:rPr>
        <w:t>The components of the statements of operations discussed above reflect the following impacts from Sancuso:</w:t>
      </w:r>
    </w:p>
    <w:p>
      <w:pPr>
        <w:sectPr>
          <w:pgSz w:w="11900" w:h="16838" w:orient="portrait"/>
          <w:cols w:equalWidth="0" w:num="1">
            <w:col w:w="11240"/>
          </w:cols>
          <w:pgMar w:left="320" w:top="1421" w:right="339" w:bottom="1440" w:gutter="0" w:footer="0" w:header="0"/>
        </w:sectPr>
      </w:pPr>
    </w:p>
    <w:p>
      <w:pPr>
        <w:spacing w:after="0" w:line="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Financial Impact of Sancuso</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revenue</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6"/>
          <w:szCs w:val="16"/>
          <w:color w:val="auto"/>
        </w:rPr>
        <w:t>Royalty and operating expenses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Sancuso contribution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3,803,759</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7,045,758</w:t>
            </w:r>
          </w:p>
        </w:tc>
      </w:tr>
      <w:tr>
        <w:trPr>
          <w:trHeight w:val="230"/>
        </w:trPr>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571,306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748,836</w:t>
            </w:r>
          </w:p>
        </w:tc>
      </w:tr>
      <w:tr>
        <w:trPr>
          <w:trHeight w:val="237"/>
        </w:trPr>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1,822,804</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1,903,022</w:t>
            </w:r>
          </w:p>
        </w:tc>
      </w:tr>
      <w:tr>
        <w:trPr>
          <w:trHeight w:val="230"/>
        </w:trPr>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1,409,649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4,393,900</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-642620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-342265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421" w:right="339" w:bottom="1440" w:gutter="0" w:footer="0" w:header="0"/>
          <w:type w:val="continuous"/>
        </w:sectPr>
      </w:pPr>
    </w:p>
    <w:p>
      <w:pPr>
        <w:spacing w:after="0" w:line="11"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20"/>
              <w:spacing w:after="0"/>
              <w:rPr>
                <w:sz w:val="20"/>
                <w:szCs w:val="20"/>
                <w:color w:val="auto"/>
              </w:rPr>
            </w:pPr>
            <w:r>
              <w:rPr>
                <w:rFonts w:ascii="Arial" w:cs="Arial" w:eastAsia="Arial" w:hAnsi="Arial"/>
                <w:sz w:val="18"/>
                <w:szCs w:val="18"/>
                <w:b w:val="1"/>
                <w:bCs w:val="1"/>
                <w:color w:val="auto"/>
              </w:rPr>
              <w:t>Financial Impact of Sancuso</w:t>
            </w: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6"/>
              </w:rPr>
              <w:t>Since Acquisition</w:t>
            </w:r>
          </w:p>
        </w:tc>
      </w:tr>
      <w:tr>
        <w:trPr>
          <w:trHeight w:val="223"/>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17,359,362</w:t>
            </w:r>
          </w:p>
        </w:tc>
      </w:tr>
      <w:tr>
        <w:trPr>
          <w:trHeight w:val="243"/>
        </w:trPr>
        <w:tc>
          <w:tcPr>
            <w:tcW w:w="9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Cost of products sold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2,114,906</w:t>
            </w:r>
          </w:p>
        </w:tc>
      </w:tr>
      <w:tr>
        <w:trPr>
          <w:trHeight w:val="229"/>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and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6,024,830</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Sancuso contribution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9,219,626</w:t>
            </w:r>
          </w:p>
        </w:tc>
      </w:tr>
      <w:tr>
        <w:trPr>
          <w:trHeight w:val="20"/>
        </w:trPr>
        <w:tc>
          <w:tcPr>
            <w:tcW w:w="9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Sancuso inventory included in the costs of product sold during the period was acquired and paid for by Cumberland as part of the acquisition of the brand during 2022.</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Amortization. </w:t>
      </w:r>
      <w:r>
        <w:rPr>
          <w:rFonts w:ascii="Arial" w:cs="Arial" w:eastAsia="Arial" w:hAnsi="Arial"/>
          <w:sz w:val="17"/>
          <w:szCs w:val="17"/>
          <w:color w:val="auto"/>
        </w:rPr>
        <w:t>Amortization expense is the ratable use of our capitalized intangible assets including product and license rights, patents, trademarks and</w:t>
      </w:r>
      <w:r>
        <w:rPr>
          <w:rFonts w:ascii="Arial" w:cs="Arial" w:eastAsia="Arial" w:hAnsi="Arial"/>
          <w:sz w:val="17"/>
          <w:szCs w:val="17"/>
          <w:i w:val="1"/>
          <w:iCs w:val="1"/>
          <w:color w:val="auto"/>
        </w:rPr>
        <w:t xml:space="preserve"> </w:t>
      </w:r>
      <w:r>
        <w:rPr>
          <w:rFonts w:ascii="Arial" w:cs="Arial" w:eastAsia="Arial" w:hAnsi="Arial"/>
          <w:sz w:val="17"/>
          <w:szCs w:val="17"/>
          <w:color w:val="auto"/>
        </w:rPr>
        <w:t>patent defense costs. Amortization for the six months ended June 30, 2023, and six months ended June 30, 2022, totaled approximately $2.4 million and $3.1 million, respectively. The decrease was attributable to the valuation of Sancuso acquisition completed in December 2022.</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six months ended June 30, 2023, as a percentage of income (loss) before income taxes, was 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(0.5)% for the six months ended June 30, 2022.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In 2023, we recognized a $2.8 million refund of FDA fees for the periods of 2022 and 2023 to be used to further our product research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0" w:name="page31"/>
    <w:bookmarkEnd w:id="3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liquidity and working capital as of June 30, 2023 and December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December 31, 2022</w:t>
            </w:r>
          </w:p>
        </w:tc>
      </w:tr>
      <w:tr>
        <w:trPr>
          <w:trHeight w:val="115"/>
        </w:trPr>
        <w:tc>
          <w:tcPr>
            <w:tcW w:w="6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tcPr>
          <w:p>
            <w:pPr>
              <w:spacing w:after="0"/>
              <w:rPr>
                <w:sz w:val="10"/>
                <w:szCs w:val="10"/>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18,249,086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19,757,970</w:t>
            </w:r>
          </w:p>
        </w:tc>
      </w:tr>
      <w:tr>
        <w:trPr>
          <w:trHeight w:val="223"/>
        </w:trPr>
        <w:tc>
          <w:tcPr>
            <w:tcW w:w="6660" w:type="dxa"/>
            <w:vAlign w:val="bottom"/>
            <w:tcBorders>
              <w:top w:val="single" w:sz="8" w:color="CCEEFF"/>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960" w:type="dxa"/>
            <w:vAlign w:val="bottom"/>
            <w:tcBorders>
              <w:top w:val="single" w:sz="8" w:color="auto"/>
            </w:tcBorders>
          </w:tcPr>
          <w:p>
            <w:pPr>
              <w:spacing w:after="0"/>
              <w:rPr>
                <w:sz w:val="19"/>
                <w:szCs w:val="19"/>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(current assets less current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16,715,046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17,290,378</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Current ratio (multiple of current assets to current liabilities)</w:t>
            </w:r>
          </w:p>
        </w:tc>
        <w:tc>
          <w:tcPr>
            <w:tcW w:w="3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6"/>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Revolving line of credit availability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6,851,875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3,800,000</w:t>
            </w:r>
          </w:p>
        </w:tc>
      </w:tr>
      <w:tr>
        <w:trPr>
          <w:trHeight w:val="21"/>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net changes in cash and cash equivalents for the six months ended June 30, 2023 and June 30,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4520" w:type="dxa"/>
            <w:vAlign w:val="bottom"/>
            <w:tcBorders>
              <w:bottom w:val="single" w:sz="8" w:color="auto"/>
            </w:tcBorders>
            <w:gridSpan w:val="5"/>
          </w:tcPr>
          <w:p>
            <w:pPr>
              <w:jc w:val="right"/>
              <w:ind w:right="115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66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102"/>
        </w:trPr>
        <w:tc>
          <w:tcPr>
            <w:tcW w:w="6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80" w:type="dxa"/>
            <w:vAlign w:val="bottom"/>
          </w:tcPr>
          <w:p>
            <w:pPr>
              <w:spacing w:after="0"/>
              <w:rPr>
                <w:sz w:val="8"/>
                <w:szCs w:val="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3,817,152</w:t>
            </w: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2,180,038</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(271,261)</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(13,714,489)</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(5,054,775)</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2,710,200</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(1,508,884)</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(8,824,251)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$1.5 million decrease in cash and cash equivalents for the six months ended June 30, 2023, was primarily attributable to cash used in investing and financing activities. An increase of cash provided by operating activities of $3.8 million was primarily the result of an unfavorable increase in inventory of $0.2 million and the offsetting positive impact from a decrease of accounts receivable of $0.9 million, an increase of net accounts payable and other current liabilities of $0.5 million, an increase of long-term obligations of $0.3 million and the add backs of non-cash expenses of depreciation, amortization and share-based compensation expense totaling $2.6 million. Cash used in investing activities of $0.3 million was the result of additions to property and equipment and intangibles. Financing activities use of cash was $5.1 million and include the repayments on our line of credit of $3.1 million, the $0.3 million in cash used to repurchase shares of our common stock as well as the $1.7 million used for the payment of a Sancuso milestone, plus royalties on sales of Vibativ and Sancuso.</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$8.8 million decrease in cash and cash equivalents for the six months ended June 30, 2022, was primarily attributable to cash used in investing and partially offset by cash provided by operating and financing activities. Cash provided by operating activities of $2.2 million was primarily the result of a decrease in inventory of $2.9 million, decrease in other assets of $1.2 million and increases in accounts payable and other liabilities of $4.7 million, as well as the add back of non-cash expenses of depreciation, amortization and share-based compensation expense totaling $3.4 million. This was partially offset by accounts receivable increasing by $5.5 million, mainly from the addition of Sancuso sales and the decrease in long-term liabilities of $1.7 million. Cash used in investing activities was the result of the acquisition of Sancuso. Our financing activities included the increase in our line of credit of $4.0 million partially offset by the $0.8 million in cash used to repurchase shares of our common stock as well as the $0.5 million used for the payment of royalties for sales of Vibativ.</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2022, the Company entered into the Ninth Amendment to the Revolving Credit Loan Agreement with Pinnacle Bank (as amended, the "Pinnacle Agreement") to update the Funded Debt Ratio to mean the ratio of (i) Funded Debt less the amount of Unrestricted Cash in excess of $8,500,000, to (ii) EBITDA, as determined at the end of each fiscal quarter on a rolling four (4) quarter basis. For the quarter ended June 30, 2023, we were in compliance with the Funded Debt Ratio financial covenant.</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2022, the Company entered into the Eighth Amendment to the Revolving Credit Loan Agreement with Pinnacle Bank permitting the Maximum Funded Debt Ratio to be calculated on a rolling four-quarter basis to be no more than 3.00 to 1.00 for the second and third quarters of 2022 and 2.50 to 1.00 for each quarter thereafter.</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31, 2022, the Company and Pinnacle Bank entered into a Seventh Amendment to the Revolving Credit Loan Agreement to revise and update the Maximum Funded Debt Ratio financial covenant and to delete from the Pinnacle Agreement the Funded Debt to Tangible Capital Ratio financial covenant. These changes were made to more appropriately reflect the impact from the Sancuso acquisition.</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2021, the Company and Pinnacle Bank entered into the Fifth Amendment to the Revolving Credit Note and the Sixth Amendment to the Revolving Credit Loan Agreement in order to increase the principal amount of the Note from $15 million to $20 million. On October 28, 2021, the Company entered into a Fourth Amendment to the Revolving Credit Note and Fifth Amendment to Revolving Credit Loan Agreement with Pinnacle Bank. Among other terms, the Fourth Amendment extended the maturity date to October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2023 and 2022, we did not engage in any off-balance sheet arrangements.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June 30, 2023.</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interest rate risk related to borrowings under our line of credit was based on LIBOR plus an interest rate spread. The pricing under the Pinnacle Agreement provides for an interest rate spread of 1.75% to 2.75% above LIBOR with a minimum LIBOR of 0.90%. The LIBOR rate will no longer be used as of June 30, 2023, at which time the benchmark rate was changed from LIBOR to SOFR. The applicable interest rate under the Pinnacle Agreement was 8.0% at June 30, 2023. As of June 30, 2023, we had $13.1 million in borrowings outstanding under our revolving credit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six months ended June 30, 2023 and 2022. Neither a five percent increase nor decrease from current exchange rates would have a material effect on our operating results or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2023,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Please see discussion of </w:t>
      </w:r>
      <w:r>
        <w:rPr>
          <w:rFonts w:ascii="Arial" w:cs="Arial" w:eastAsia="Arial" w:hAnsi="Arial"/>
          <w:sz w:val="18"/>
          <w:szCs w:val="18"/>
          <w:i w:val="1"/>
          <w:iCs w:val="1"/>
          <w:color w:val="auto"/>
        </w:rPr>
        <w:t>Melinta Settlement</w:t>
      </w:r>
      <w:r>
        <w:rPr>
          <w:rFonts w:ascii="Arial" w:cs="Arial" w:eastAsia="Arial" w:hAnsi="Arial"/>
          <w:sz w:val="18"/>
          <w:szCs w:val="18"/>
          <w:color w:val="auto"/>
        </w:rPr>
        <w:t xml:space="preserve"> in Part I, Item. 2. Management's Discussion and Analysis of Financial Condition and Results of Operations, which is incorporated herein by reference.</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the information required by this item is incorporated by reference from Part I, Item 1. Financial Statements, Notes to Unaudited Condensed Consolidated Financial Statements, Note 10.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other information set forth in this quarterly report, an investor should consider the risk factors included in the Company's Annual Report on Form 10-K for the year ended December 31,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subject to the effects of a rising rate of inflation.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Inflation rates have increased recently to levels not seen in decades. If our costs, in particular costs related to clinical trial expenses and/or employee-related expenses, were to become subject to significant inflationary pressures, it may adversely impact our business, operating results and financial condition. In addition, the United States Federal Reserve has raised, and is expected to continue to raise, interest rates in response to concerns about inflation. Increases in interest rates, especially if coupled with reduced government spending and volatility in financial markets, may further increase economic uncertainty and heighten these risks.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the ongoing conflict between Russia and Ukraine, and employee availability and wage increases.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by month, during the three months ended June 30, 2023:</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jc w:val="center"/>
              <w:ind w:right="163"/>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63"/>
              <w:spacing w:after="0" w:line="13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1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Shares or Units</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63"/>
              <w:spacing w:after="0" w:line="145"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39"/>
        </w:trPr>
        <w:tc>
          <w:tcPr>
            <w:tcW w:w="428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Purchased, which were also Part</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Price Paid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63"/>
              <w:spacing w:after="0" w:line="13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the Publicly Announced Plans</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tcPr>
          <w:p>
            <w:pPr>
              <w:jc w:val="center"/>
              <w:ind w:right="163"/>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8"/>
        </w:trPr>
        <w:tc>
          <w:tcPr>
            <w:tcW w:w="4280" w:type="dxa"/>
            <w:vAlign w:val="bottom"/>
            <w:vMerge w:val="continue"/>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4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99"/>
              </w:rPr>
              <w:t>(or Unit)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15,270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3,535,851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May</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32,427</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3,479,730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51,360</w:t>
            </w: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3,394,220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99,057</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Arial" w:cs="Arial" w:eastAsia="Arial" w:hAnsi="Arial"/>
                <w:sz w:val="18"/>
                <w:szCs w:val="18"/>
                <w:b w:val="1"/>
                <w:bCs w:val="1"/>
                <w:color w:val="auto"/>
                <w:w w:val="95"/>
              </w:rPr>
              <w:t>Item 6. Exhibits</w:t>
            </w:r>
          </w:p>
        </w:tc>
        <w:tc>
          <w:tcPr>
            <w:tcW w:w="11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27"/>
        </w:trPr>
        <w:tc>
          <w:tcPr>
            <w:tcW w:w="1280" w:type="dxa"/>
            <w:vAlign w:val="bottom"/>
          </w:tcPr>
          <w:p>
            <w:pPr>
              <w:ind w:left="20"/>
              <w:spacing w:after="0"/>
              <w:rPr>
                <w:sz w:val="20"/>
                <w:szCs w:val="20"/>
                <w:color w:val="auto"/>
              </w:rPr>
            </w:pPr>
            <w:r>
              <w:rPr>
                <w:rFonts w:ascii="Arial" w:cs="Arial" w:eastAsia="Arial" w:hAnsi="Arial"/>
                <w:sz w:val="18"/>
                <w:szCs w:val="18"/>
                <w:color w:val="auto"/>
              </w:rPr>
              <w:t>No.</w:t>
            </w:r>
          </w:p>
        </w:tc>
        <w:tc>
          <w:tcPr>
            <w:tcW w:w="738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351"/>
        </w:trPr>
        <w:tc>
          <w:tcPr>
            <w:tcW w:w="1280" w:type="dxa"/>
            <w:vAlign w:val="bottom"/>
          </w:tcPr>
          <w:p>
            <w:pPr>
              <w:ind w:left="20"/>
              <w:spacing w:after="0"/>
              <w:rPr>
                <w:sz w:val="20"/>
                <w:szCs w:val="20"/>
                <w:color w:val="auto"/>
              </w:rPr>
            </w:pPr>
            <w:r>
              <w:rPr>
                <w:rFonts w:ascii="Arial" w:cs="Arial" w:eastAsia="Arial" w:hAnsi="Arial"/>
                <w:sz w:val="18"/>
                <w:szCs w:val="18"/>
                <w:color w:val="auto"/>
              </w:rPr>
              <w:t>10.1</w:t>
            </w:r>
          </w:p>
        </w:tc>
        <w:tc>
          <w:tcPr>
            <w:tcW w:w="7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Amendment Number 3 to the Amended and Restated 2007 Long-Term Incentive Compensation Plan,</w:t>
            </w:r>
          </w:p>
        </w:tc>
      </w:tr>
      <w:tr>
        <w:trPr>
          <w:trHeight w:val="169"/>
        </w:trPr>
        <w:tc>
          <w:tcPr>
            <w:tcW w:w="1280" w:type="dxa"/>
            <w:vAlign w:val="bottom"/>
          </w:tcPr>
          <w:p>
            <w:pPr>
              <w:spacing w:after="0"/>
              <w:rPr>
                <w:sz w:val="14"/>
                <w:szCs w:val="14"/>
                <w:color w:val="auto"/>
              </w:rPr>
            </w:pPr>
          </w:p>
        </w:tc>
        <w:tc>
          <w:tcPr>
            <w:tcW w:w="738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7"/>
              </w:rPr>
              <w:t>incorporated herein by reference to Appendix A of the Company’s Schedule 14A (File No.: 001-</w:t>
            </w:r>
          </w:p>
        </w:tc>
      </w:tr>
      <w:tr>
        <w:trPr>
          <w:trHeight w:val="156"/>
        </w:trPr>
        <w:tc>
          <w:tcPr>
            <w:tcW w:w="1280" w:type="dxa"/>
            <w:vAlign w:val="bottom"/>
          </w:tcPr>
          <w:p>
            <w:pPr>
              <w:spacing w:after="0"/>
              <w:rPr>
                <w:sz w:val="13"/>
                <w:szCs w:val="13"/>
                <w:color w:val="auto"/>
              </w:rPr>
            </w:pPr>
          </w:p>
        </w:tc>
        <w:tc>
          <w:tcPr>
            <w:tcW w:w="738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4"/>
              </w:rPr>
              <w:t>33637) as filed with the SEC on March 15, 2023 and approved by the Company's shareholders on</w:t>
            </w:r>
          </w:p>
        </w:tc>
      </w:tr>
      <w:tr>
        <w:trPr>
          <w:trHeight w:val="156"/>
        </w:trPr>
        <w:tc>
          <w:tcPr>
            <w:tcW w:w="1280" w:type="dxa"/>
            <w:vAlign w:val="bottom"/>
          </w:tcPr>
          <w:p>
            <w:pPr>
              <w:spacing w:after="0"/>
              <w:rPr>
                <w:sz w:val="13"/>
                <w:szCs w:val="13"/>
                <w:color w:val="auto"/>
              </w:rPr>
            </w:pPr>
          </w:p>
        </w:tc>
        <w:tc>
          <w:tcPr>
            <w:tcW w:w="7380" w:type="dxa"/>
            <w:vAlign w:val="bottom"/>
            <w:gridSpan w:val="4"/>
          </w:tcPr>
          <w:p>
            <w:pPr>
              <w:spacing w:after="0" w:line="156" w:lineRule="exact"/>
              <w:rPr>
                <w:sz w:val="20"/>
                <w:szCs w:val="20"/>
                <w:color w:val="auto"/>
              </w:rPr>
            </w:pPr>
            <w:r>
              <w:rPr>
                <w:rFonts w:ascii="Arial" w:cs="Arial" w:eastAsia="Arial" w:hAnsi="Arial"/>
                <w:sz w:val="18"/>
                <w:szCs w:val="18"/>
                <w:color w:val="0000FF"/>
              </w:rPr>
              <w:t>April 25, 2023.</w:t>
            </w:r>
          </w:p>
        </w:tc>
      </w:tr>
      <w:tr>
        <w:trPr>
          <w:trHeight w:val="20"/>
        </w:trPr>
        <w:tc>
          <w:tcPr>
            <w:tcW w:w="12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85"/>
        </w:trPr>
        <w:tc>
          <w:tcPr>
            <w:tcW w:w="1280" w:type="dxa"/>
            <w:vAlign w:val="bottom"/>
          </w:tcPr>
          <w:p>
            <w:pPr>
              <w:ind w:left="20"/>
              <w:spacing w:after="0"/>
              <w:rPr>
                <w:sz w:val="20"/>
                <w:szCs w:val="20"/>
                <w:color w:val="auto"/>
              </w:rPr>
            </w:pPr>
            <w:r>
              <w:rPr>
                <w:rFonts w:ascii="Arial" w:cs="Arial" w:eastAsia="Arial" w:hAnsi="Arial"/>
                <w:sz w:val="18"/>
                <w:szCs w:val="18"/>
                <w:color w:val="auto"/>
              </w:rPr>
              <w:t>31.1*</w:t>
            </w:r>
          </w:p>
        </w:tc>
        <w:tc>
          <w:tcPr>
            <w:tcW w:w="7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Chief Executive Officer Pursuant to Rule 13-14(a) of the Securities Exchange Act of</w:t>
            </w:r>
          </w:p>
        </w:tc>
      </w:tr>
      <w:tr>
        <w:trPr>
          <w:trHeight w:val="156"/>
        </w:trPr>
        <w:tc>
          <w:tcPr>
            <w:tcW w:w="1280" w:type="dxa"/>
            <w:vAlign w:val="bottom"/>
          </w:tcPr>
          <w:p>
            <w:pPr>
              <w:spacing w:after="0"/>
              <w:rPr>
                <w:sz w:val="13"/>
                <w:szCs w:val="13"/>
                <w:color w:val="auto"/>
              </w:rPr>
            </w:pPr>
          </w:p>
        </w:tc>
        <w:tc>
          <w:tcPr>
            <w:tcW w:w="558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1934 as Adopted Pursuant to Section 302 of the Sarbanes-Oxley Act of 2002.</w:t>
            </w:r>
          </w:p>
        </w:tc>
        <w:tc>
          <w:tcPr>
            <w:tcW w:w="1800" w:type="dxa"/>
            <w:vAlign w:val="bottom"/>
          </w:tcPr>
          <w:p>
            <w:pPr>
              <w:spacing w:after="0"/>
              <w:rPr>
                <w:sz w:val="13"/>
                <w:szCs w:val="13"/>
                <w:color w:val="auto"/>
              </w:rPr>
            </w:pPr>
          </w:p>
        </w:tc>
      </w:tr>
      <w:tr>
        <w:trPr>
          <w:trHeight w:val="371"/>
        </w:trPr>
        <w:tc>
          <w:tcPr>
            <w:tcW w:w="1280" w:type="dxa"/>
            <w:vAlign w:val="bottom"/>
          </w:tcPr>
          <w:p>
            <w:pPr>
              <w:ind w:left="20"/>
              <w:spacing w:after="0"/>
              <w:rPr>
                <w:sz w:val="20"/>
                <w:szCs w:val="20"/>
                <w:color w:val="auto"/>
              </w:rPr>
            </w:pPr>
            <w:r>
              <w:rPr>
                <w:rFonts w:ascii="Arial" w:cs="Arial" w:eastAsia="Arial" w:hAnsi="Arial"/>
                <w:sz w:val="18"/>
                <w:szCs w:val="18"/>
                <w:color w:val="auto"/>
              </w:rPr>
              <w:t>31.2*</w:t>
            </w:r>
          </w:p>
        </w:tc>
        <w:tc>
          <w:tcPr>
            <w:tcW w:w="7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Certification of Chief Financial Officer Pursuant to Rule 13-14(a) of the Securities Exchange Act of</w:t>
            </w:r>
          </w:p>
        </w:tc>
      </w:tr>
      <w:tr>
        <w:trPr>
          <w:trHeight w:val="169"/>
        </w:trPr>
        <w:tc>
          <w:tcPr>
            <w:tcW w:w="1280" w:type="dxa"/>
            <w:vAlign w:val="bottom"/>
          </w:tcPr>
          <w:p>
            <w:pPr>
              <w:spacing w:after="0"/>
              <w:rPr>
                <w:sz w:val="14"/>
                <w:szCs w:val="14"/>
                <w:color w:val="auto"/>
              </w:rPr>
            </w:pPr>
          </w:p>
        </w:tc>
        <w:tc>
          <w:tcPr>
            <w:tcW w:w="558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89"/>
              </w:rPr>
              <w:t>1934 as Adopted Pursuant to Section 302 of the Sarbanes-Oxley Act of 2002.</w:t>
            </w:r>
          </w:p>
        </w:tc>
        <w:tc>
          <w:tcPr>
            <w:tcW w:w="1800" w:type="dxa"/>
            <w:vAlign w:val="bottom"/>
          </w:tcPr>
          <w:p>
            <w:pPr>
              <w:spacing w:after="0"/>
              <w:rPr>
                <w:sz w:val="14"/>
                <w:szCs w:val="14"/>
                <w:color w:val="auto"/>
              </w:rPr>
            </w:pPr>
          </w:p>
        </w:tc>
      </w:tr>
      <w:tr>
        <w:trPr>
          <w:trHeight w:val="372"/>
        </w:trPr>
        <w:tc>
          <w:tcPr>
            <w:tcW w:w="1280" w:type="dxa"/>
            <w:vAlign w:val="bottom"/>
          </w:tcPr>
          <w:p>
            <w:pPr>
              <w:ind w:left="20"/>
              <w:spacing w:after="0"/>
              <w:rPr>
                <w:sz w:val="20"/>
                <w:szCs w:val="20"/>
                <w:color w:val="auto"/>
              </w:rPr>
            </w:pPr>
            <w:r>
              <w:rPr>
                <w:rFonts w:ascii="Arial" w:cs="Arial" w:eastAsia="Arial" w:hAnsi="Arial"/>
                <w:sz w:val="18"/>
                <w:szCs w:val="18"/>
                <w:color w:val="auto"/>
              </w:rPr>
              <w:t>32.1**</w:t>
            </w:r>
          </w:p>
        </w:tc>
        <w:tc>
          <w:tcPr>
            <w:tcW w:w="7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Chief Executive and Principal Financial Officer Pursuant to 18 U.S.C. Section 1350,</w:t>
            </w:r>
          </w:p>
        </w:tc>
      </w:tr>
      <w:tr>
        <w:trPr>
          <w:trHeight w:val="156"/>
        </w:trPr>
        <w:tc>
          <w:tcPr>
            <w:tcW w:w="1280" w:type="dxa"/>
            <w:vAlign w:val="bottom"/>
          </w:tcPr>
          <w:p>
            <w:pPr>
              <w:spacing w:after="0"/>
              <w:rPr>
                <w:sz w:val="13"/>
                <w:szCs w:val="13"/>
                <w:color w:val="auto"/>
              </w:rPr>
            </w:pPr>
          </w:p>
        </w:tc>
        <w:tc>
          <w:tcPr>
            <w:tcW w:w="7380" w:type="dxa"/>
            <w:vAlign w:val="bottom"/>
            <w:gridSpan w:val="4"/>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r>
      <w:tr>
        <w:trPr>
          <w:trHeight w:val="20"/>
        </w:trPr>
        <w:tc>
          <w:tcPr>
            <w:tcW w:w="1280" w:type="dxa"/>
            <w:vAlign w:val="bottom"/>
          </w:tcPr>
          <w:p>
            <w:pPr>
              <w:spacing w:after="0" w:line="20" w:lineRule="exact"/>
              <w:rPr>
                <w:sz w:val="1"/>
                <w:szCs w:val="1"/>
                <w:color w:val="auto"/>
              </w:rPr>
            </w:pPr>
          </w:p>
        </w:tc>
        <w:tc>
          <w:tcPr>
            <w:tcW w:w="5160" w:type="dxa"/>
            <w:vAlign w:val="bottom"/>
            <w:gridSpan w:val="2"/>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r>
      <w:tr>
        <w:trPr>
          <w:trHeight w:val="371"/>
        </w:trPr>
        <w:tc>
          <w:tcPr>
            <w:tcW w:w="1280" w:type="dxa"/>
            <w:vAlign w:val="bottom"/>
          </w:tcPr>
          <w:p>
            <w:pPr>
              <w:ind w:left="20"/>
              <w:spacing w:after="0"/>
              <w:rPr>
                <w:sz w:val="20"/>
                <w:szCs w:val="20"/>
                <w:color w:val="auto"/>
              </w:rPr>
            </w:pPr>
            <w:r>
              <w:rPr>
                <w:rFonts w:ascii="Arial" w:cs="Arial" w:eastAsia="Arial" w:hAnsi="Arial"/>
                <w:sz w:val="18"/>
                <w:szCs w:val="18"/>
                <w:color w:val="auto"/>
              </w:rPr>
              <w:t>101.INS*</w:t>
            </w:r>
          </w:p>
        </w:tc>
        <w:tc>
          <w:tcPr>
            <w:tcW w:w="7380" w:type="dxa"/>
            <w:vAlign w:val="bottom"/>
            <w:gridSpan w:val="4"/>
          </w:tcPr>
          <w:p>
            <w:pPr>
              <w:spacing w:after="0"/>
              <w:rPr>
                <w:sz w:val="20"/>
                <w:szCs w:val="20"/>
                <w:color w:val="auto"/>
              </w:rPr>
            </w:pPr>
            <w:r>
              <w:rPr>
                <w:rFonts w:ascii="Arial" w:cs="Arial" w:eastAsia="Arial" w:hAnsi="Arial"/>
                <w:sz w:val="18"/>
                <w:szCs w:val="18"/>
                <w:color w:val="auto"/>
                <w:w w:val="98"/>
              </w:rPr>
              <w:t>INLINE XBRL INSTANCE DOCUMENT - THE INSTANCE DOCUMENT DOES NOT APPEAR</w:t>
            </w:r>
          </w:p>
        </w:tc>
      </w:tr>
      <w:tr>
        <w:trPr>
          <w:trHeight w:val="176"/>
        </w:trPr>
        <w:tc>
          <w:tcPr>
            <w:tcW w:w="1280" w:type="dxa"/>
            <w:vAlign w:val="bottom"/>
          </w:tcPr>
          <w:p>
            <w:pPr>
              <w:spacing w:after="0"/>
              <w:rPr>
                <w:sz w:val="15"/>
                <w:szCs w:val="15"/>
                <w:color w:val="auto"/>
              </w:rPr>
            </w:pPr>
          </w:p>
        </w:tc>
        <w:tc>
          <w:tcPr>
            <w:tcW w:w="7380" w:type="dxa"/>
            <w:vAlign w:val="bottom"/>
            <w:gridSpan w:val="4"/>
          </w:tcPr>
          <w:p>
            <w:pPr>
              <w:spacing w:after="0" w:line="176" w:lineRule="exact"/>
              <w:rPr>
                <w:sz w:val="20"/>
                <w:szCs w:val="20"/>
                <w:color w:val="auto"/>
              </w:rPr>
            </w:pPr>
            <w:r>
              <w:rPr>
                <w:rFonts w:ascii="Arial" w:cs="Arial" w:eastAsia="Arial" w:hAnsi="Arial"/>
                <w:sz w:val="18"/>
                <w:szCs w:val="18"/>
                <w:color w:val="auto"/>
              </w:rPr>
              <w:t>IN THE INTERACTIVE DATA FILE BECAUSE ITS XBRL TAGS ARE EMBEDDED WITHIN</w:t>
            </w:r>
          </w:p>
        </w:tc>
      </w:tr>
      <w:tr>
        <w:trPr>
          <w:trHeight w:val="230"/>
        </w:trPr>
        <w:tc>
          <w:tcPr>
            <w:tcW w:w="1280" w:type="dxa"/>
            <w:vAlign w:val="bottom"/>
          </w:tcPr>
          <w:p>
            <w:pPr>
              <w:spacing w:after="0"/>
              <w:rPr>
                <w:sz w:val="20"/>
                <w:szCs w:val="20"/>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THE INLINE XBRL DOCUMENT.</w:t>
            </w:r>
          </w:p>
        </w:tc>
      </w:tr>
      <w:tr>
        <w:trPr>
          <w:trHeight w:val="404"/>
        </w:trPr>
        <w:tc>
          <w:tcPr>
            <w:tcW w:w="1280" w:type="dxa"/>
            <w:vAlign w:val="bottom"/>
          </w:tcPr>
          <w:p>
            <w:pPr>
              <w:ind w:left="20"/>
              <w:spacing w:after="0"/>
              <w:rPr>
                <w:sz w:val="20"/>
                <w:szCs w:val="20"/>
                <w:color w:val="auto"/>
              </w:rPr>
            </w:pPr>
            <w:r>
              <w:rPr>
                <w:rFonts w:ascii="Arial" w:cs="Arial" w:eastAsia="Arial" w:hAnsi="Arial"/>
                <w:sz w:val="18"/>
                <w:szCs w:val="18"/>
                <w:color w:val="auto"/>
              </w:rPr>
              <w:t>101.SCH*</w:t>
            </w:r>
          </w:p>
        </w:tc>
        <w:tc>
          <w:tcPr>
            <w:tcW w:w="738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280" w:type="dxa"/>
            <w:vAlign w:val="bottom"/>
          </w:tcPr>
          <w:p>
            <w:pPr>
              <w:ind w:left="20"/>
              <w:spacing w:after="0"/>
              <w:rPr>
                <w:sz w:val="20"/>
                <w:szCs w:val="20"/>
                <w:color w:val="auto"/>
              </w:rPr>
            </w:pPr>
            <w:r>
              <w:rPr>
                <w:rFonts w:ascii="Arial" w:cs="Arial" w:eastAsia="Arial" w:hAnsi="Arial"/>
                <w:sz w:val="18"/>
                <w:szCs w:val="18"/>
                <w:color w:val="auto"/>
              </w:rPr>
              <w:t>101.CAL*</w:t>
            </w:r>
          </w:p>
        </w:tc>
        <w:tc>
          <w:tcPr>
            <w:tcW w:w="738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1280" w:type="dxa"/>
            <w:vAlign w:val="bottom"/>
          </w:tcPr>
          <w:p>
            <w:pPr>
              <w:ind w:left="20"/>
              <w:spacing w:after="0"/>
              <w:rPr>
                <w:sz w:val="20"/>
                <w:szCs w:val="20"/>
                <w:color w:val="auto"/>
              </w:rPr>
            </w:pPr>
            <w:r>
              <w:rPr>
                <w:rFonts w:ascii="Arial" w:cs="Arial" w:eastAsia="Arial" w:hAnsi="Arial"/>
                <w:sz w:val="18"/>
                <w:szCs w:val="18"/>
                <w:color w:val="auto"/>
              </w:rPr>
              <w:t>101.DEF*</w:t>
            </w:r>
          </w:p>
        </w:tc>
        <w:tc>
          <w:tcPr>
            <w:tcW w:w="738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280" w:type="dxa"/>
            <w:vAlign w:val="bottom"/>
          </w:tcPr>
          <w:p>
            <w:pPr>
              <w:ind w:left="20"/>
              <w:spacing w:after="0"/>
              <w:rPr>
                <w:sz w:val="20"/>
                <w:szCs w:val="20"/>
                <w:color w:val="auto"/>
              </w:rPr>
            </w:pPr>
            <w:r>
              <w:rPr>
                <w:rFonts w:ascii="Arial" w:cs="Arial" w:eastAsia="Arial" w:hAnsi="Arial"/>
                <w:sz w:val="18"/>
                <w:szCs w:val="18"/>
                <w:color w:val="auto"/>
              </w:rPr>
              <w:t>101.LAB*</w:t>
            </w:r>
          </w:p>
        </w:tc>
        <w:tc>
          <w:tcPr>
            <w:tcW w:w="738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1280" w:type="dxa"/>
            <w:vAlign w:val="bottom"/>
          </w:tcPr>
          <w:p>
            <w:pPr>
              <w:ind w:left="20"/>
              <w:spacing w:after="0"/>
              <w:rPr>
                <w:sz w:val="20"/>
                <w:szCs w:val="20"/>
                <w:color w:val="auto"/>
              </w:rPr>
            </w:pPr>
            <w:r>
              <w:rPr>
                <w:rFonts w:ascii="Arial" w:cs="Arial" w:eastAsia="Arial" w:hAnsi="Arial"/>
                <w:sz w:val="18"/>
                <w:szCs w:val="18"/>
                <w:color w:val="auto"/>
              </w:rPr>
              <w:t>101.PRE*</w:t>
            </w:r>
          </w:p>
        </w:tc>
        <w:tc>
          <w:tcPr>
            <w:tcW w:w="738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66"/>
        </w:trPr>
        <w:tc>
          <w:tcPr>
            <w:tcW w:w="1280" w:type="dxa"/>
            <w:vAlign w:val="bottom"/>
          </w:tcPr>
          <w:p>
            <w:pPr>
              <w:spacing w:after="0"/>
              <w:rPr>
                <w:sz w:val="24"/>
                <w:szCs w:val="24"/>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w:t>
            </w:r>
          </w:p>
        </w:tc>
      </w:tr>
    </w:tbl>
    <w:p>
      <w:pPr>
        <w:ind w:left="920" w:right="6439" w:hanging="894"/>
        <w:spacing w:after="0" w:line="397" w:lineRule="auto"/>
        <w:tabs>
          <w:tab w:leader="none" w:pos="1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CONTAINED IN EXHIBIT 101) * Filed herewith.</w:t>
      </w:r>
    </w:p>
    <w:p>
      <w:pPr>
        <w:spacing w:after="0" w:line="1" w:lineRule="exact"/>
        <w:rPr>
          <w:rFonts w:ascii="Arial" w:cs="Arial" w:eastAsia="Arial" w:hAnsi="Arial"/>
          <w:sz w:val="18"/>
          <w:szCs w:val="18"/>
          <w:color w:val="auto"/>
        </w:rPr>
      </w:pPr>
    </w:p>
    <w:p>
      <w:pPr>
        <w:ind w:left="1280" w:hanging="354"/>
        <w:spacing w:after="0"/>
        <w:tabs>
          <w:tab w:leader="none" w:pos="1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63" w:right="1440"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Cumberland Pharmaceuticals Inc.</w:t>
      </w:r>
    </w:p>
    <w:p>
      <w:pPr>
        <w:spacing w:after="0" w:line="293" w:lineRule="exact"/>
        <w:rPr>
          <w:sz w:val="20"/>
          <w:szCs w:val="20"/>
          <w:color w:val="auto"/>
        </w:rPr>
      </w:pPr>
    </w:p>
    <w:p>
      <w:pPr>
        <w:ind w:left="680"/>
        <w:spacing w:after="0"/>
        <w:tabs>
          <w:tab w:leader="none" w:pos="6320" w:val="left"/>
          <w:tab w:leader="none" w:pos="708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089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John Hamm</w:t>
      </w:r>
    </w:p>
    <w:p>
      <w:pPr>
        <w:spacing w:after="0" w:line="3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147" w:right="37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AMENDMENT NUMBER 3</w:t>
      </w:r>
    </w:p>
    <w:p>
      <w:pPr>
        <w:jc w:val="center"/>
        <w:spacing w:after="0" w:line="204" w:lineRule="auto"/>
        <w:rPr>
          <w:sz w:val="20"/>
          <w:szCs w:val="20"/>
          <w:color w:val="auto"/>
        </w:rPr>
      </w:pPr>
      <w:r>
        <w:rPr>
          <w:rFonts w:ascii="Arial" w:cs="Arial" w:eastAsia="Arial" w:hAnsi="Arial"/>
          <w:sz w:val="22"/>
          <w:szCs w:val="22"/>
          <w:b w:val="1"/>
          <w:bCs w:val="1"/>
          <w:color w:val="auto"/>
        </w:rPr>
        <w:t>TO THE CUMBERLAND PHARMACEUTICALS INC.</w:t>
      </w:r>
    </w:p>
    <w:p>
      <w:pPr>
        <w:jc w:val="center"/>
        <w:spacing w:after="0" w:line="205" w:lineRule="auto"/>
        <w:rPr>
          <w:sz w:val="20"/>
          <w:szCs w:val="20"/>
          <w:color w:val="auto"/>
        </w:rPr>
      </w:pPr>
      <w:r>
        <w:rPr>
          <w:rFonts w:ascii="Arial" w:cs="Arial" w:eastAsia="Arial" w:hAnsi="Arial"/>
          <w:sz w:val="22"/>
          <w:szCs w:val="22"/>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LONG-TERM INCENTIVE COMPENSATION PLAN</w:t>
      </w:r>
    </w:p>
    <w:p>
      <w:pPr>
        <w:spacing w:after="0" w:line="155" w:lineRule="exact"/>
        <w:rPr>
          <w:sz w:val="20"/>
          <w:szCs w:val="20"/>
          <w:color w:val="auto"/>
        </w:rPr>
      </w:pPr>
    </w:p>
    <w:p>
      <w:pPr>
        <w:jc w:val="both"/>
        <w:spacing w:after="0" w:line="220"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Cumberland Pharmaceuticals Inc. (the “Company”), a corporation organized under the laws of Tennessee,</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originally adopted the Cumberland Pharmaceuticals Inc. 2007 Long-Term Incentive Compensation Plan on April 18, 2007, amended and restated by that certain amended and restated 2007 Long-Term Incentive Compensation Plan, effective as of April 17, 2012 (the "Plan");</w:t>
      </w:r>
    </w:p>
    <w:p>
      <w:pPr>
        <w:spacing w:after="0" w:line="152" w:lineRule="exact"/>
        <w:rPr>
          <w:sz w:val="20"/>
          <w:szCs w:val="20"/>
          <w:color w:val="auto"/>
        </w:rPr>
      </w:pPr>
    </w:p>
    <w:p>
      <w:pPr>
        <w:jc w:val="both"/>
        <w:spacing w:after="0" w:line="23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under Section 12 of the Plan, the Board of Directors of the Company (the “Board”) may, at any time, amend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as permitted by applicable statutes, except that it may not revoke or alter the Plan in a manner unfavorable to the grantees of any Incentives awarded under the Plan or any Incentives then outstanding, nor may the Board amend the Plan without shareholder approval if such approval is required by any applicable law or regulation;</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determined that it is advantageous to the Company to amend the Plan to allow 750,000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Stock of the Company to be reserved for issuance under the Plan; and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capitalized terms used and not defined herein shall have the meanings set forth in the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hereby amended as follows:</w:t>
      </w:r>
    </w:p>
    <w:p>
      <w:pPr>
        <w:spacing w:after="0" w:line="185" w:lineRule="exact"/>
        <w:rPr>
          <w:sz w:val="20"/>
          <w:szCs w:val="20"/>
          <w:color w:val="auto"/>
        </w:rPr>
      </w:pPr>
    </w:p>
    <w:p>
      <w:pPr>
        <w:jc w:val="both"/>
        <w:ind w:left="660" w:right="640"/>
        <w:spacing w:after="0" w:line="223" w:lineRule="auto"/>
        <w:rPr>
          <w:sz w:val="20"/>
          <w:szCs w:val="20"/>
          <w:color w:val="auto"/>
        </w:rPr>
      </w:pPr>
      <w:r>
        <w:rPr>
          <w:rFonts w:ascii="Arial" w:cs="Arial" w:eastAsia="Arial" w:hAnsi="Arial"/>
          <w:sz w:val="22"/>
          <w:szCs w:val="22"/>
          <w:color w:val="auto"/>
        </w:rPr>
        <w:t>Section 6(a) of the Plan is hereby stricken in its entirety and replaced with the following: “</w:t>
      </w:r>
      <w:r>
        <w:rPr>
          <w:rFonts w:ascii="Arial" w:cs="Arial" w:eastAsia="Arial" w:hAnsi="Arial"/>
          <w:sz w:val="22"/>
          <w:szCs w:val="22"/>
          <w:i w:val="1"/>
          <w:iCs w:val="1"/>
          <w:color w:val="auto"/>
        </w:rPr>
        <w:t>Maximum Shares</w:t>
      </w:r>
      <w:r>
        <w:rPr>
          <w:rFonts w:ascii="Arial" w:cs="Arial" w:eastAsia="Arial" w:hAnsi="Arial"/>
          <w:sz w:val="22"/>
          <w:szCs w:val="22"/>
          <w:color w:val="auto"/>
        </w:rPr>
        <w:t>. Subject to adjustment as provided in this Section 6, there is hereby reserved for issuance under the Plan up to 3,150,000 shares of Stock of the Company”</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Except as expressly set forth in this amendment, all other terms and conditions set forth in the Plan shall remain in full force and effect.</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IN WITNESS WHEREOF, the undersigned Corporate Secretary of the Company hereby certifies that the foregoing Amendment Number 3 to the Cumberland Pharmaceuticals Inc. Amended and Restated 2007 Long-Term Incentive Compensation Plan was</w:t>
      </w:r>
    </w:p>
    <w:p>
      <w:pPr>
        <w:ind w:firstLine="8"/>
        <w:spacing w:after="0" w:line="224" w:lineRule="auto"/>
        <w:tabs>
          <w:tab w:leader="none" w:pos="294" w:val="left"/>
        </w:tabs>
        <w:numPr>
          <w:ilvl w:val="0"/>
          <w:numId w:val="16"/>
        </w:numPr>
        <w:rPr>
          <w:rFonts w:ascii="Arial" w:cs="Arial" w:eastAsia="Arial" w:hAnsi="Arial"/>
          <w:sz w:val="22"/>
          <w:szCs w:val="22"/>
          <w:color w:val="auto"/>
        </w:rPr>
      </w:pPr>
      <w:r>
        <w:rPr>
          <w:rFonts w:ascii="Arial" w:cs="Arial" w:eastAsia="Arial" w:hAnsi="Arial"/>
          <w:sz w:val="22"/>
          <w:szCs w:val="22"/>
          <w:color w:val="auto"/>
        </w:rPr>
        <w:t>approved by the Board of Directors and (ii) approved by a majority of the holders of all of the Company’s outstanding common and preferred stock.</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Dated: March 8, 2023</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___/s/ Jean W. Marstiller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Jean W. Marstiller</w:t>
      </w:r>
    </w:p>
    <w:p>
      <w:pPr>
        <w:spacing w:after="0"/>
        <w:rPr>
          <w:sz w:val="20"/>
          <w:szCs w:val="20"/>
          <w:color w:val="auto"/>
        </w:rPr>
      </w:pPr>
      <w:r>
        <w:rPr>
          <w:rFonts w:ascii="Arial" w:cs="Arial" w:eastAsia="Arial" w:hAnsi="Arial"/>
          <w:sz w:val="22"/>
          <w:szCs w:val="22"/>
          <w:color w:val="auto"/>
        </w:rPr>
        <w:t>Corporate Secretary</w:t>
      </w:r>
    </w:p>
    <w:p>
      <w:pPr>
        <w:sectPr>
          <w:pgSz w:w="11900" w:h="16838" w:orient="portrait"/>
          <w:cols w:equalWidth="0" w:num="1">
            <w:col w:w="11240"/>
          </w:cols>
          <w:pgMar w:left="320" w:top="138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A.J. Kazimi, certify that:</w:t>
      </w:r>
    </w:p>
    <w:p>
      <w:pPr>
        <w:spacing w:after="0" w:line="50" w:lineRule="exact"/>
        <w:rPr>
          <w:sz w:val="20"/>
          <w:szCs w:val="20"/>
          <w:color w:val="auto"/>
        </w:rPr>
      </w:pPr>
    </w:p>
    <w:p>
      <w:pPr>
        <w:ind w:left="700" w:hanging="67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rFonts w:ascii="Arial" w:cs="Arial" w:eastAsia="Arial" w:hAnsi="Arial"/>
          <w:sz w:val="18"/>
          <w:szCs w:val="18"/>
          <w:color w:val="auto"/>
        </w:rPr>
      </w:pPr>
    </w:p>
    <w:p>
      <w:pPr>
        <w:jc w:val="both"/>
        <w:ind w:left="700" w:right="80" w:hanging="674"/>
        <w:spacing w:after="0" w:line="22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8"/>
          <w:szCs w:val="18"/>
          <w:color w:val="auto"/>
        </w:rPr>
      </w:pPr>
    </w:p>
    <w:p>
      <w:pPr>
        <w:ind w:left="700" w:right="300" w:hanging="674"/>
        <w:spacing w:after="0" w:line="258" w:lineRule="auto"/>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700" w:right="80" w:hanging="674"/>
        <w:spacing w:after="0" w:line="229"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540" w:right="480" w:hanging="316"/>
        <w:spacing w:after="0" w:line="255"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700" w:right="220" w:hanging="674"/>
        <w:spacing w:after="0" w:line="289"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540" w:right="380" w:hanging="316"/>
        <w:spacing w:after="0" w:line="258"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780"/>
        <w:spacing w:after="0"/>
        <w:tabs>
          <w:tab w:leader="none" w:pos="6820" w:val="left"/>
        </w:tabs>
        <w:rPr>
          <w:sz w:val="20"/>
          <w:szCs w:val="20"/>
          <w:color w:val="auto"/>
        </w:rPr>
      </w:pPr>
      <w:r>
        <w:rPr>
          <w:rFonts w:ascii="Arial" w:cs="Arial" w:eastAsia="Arial" w:hAnsi="Arial"/>
          <w:sz w:val="18"/>
          <w:szCs w:val="18"/>
          <w:color w:val="auto"/>
        </w:rPr>
        <w:t>August 11, 2023 By:</w:t>
      </w:r>
      <w:r>
        <w:rPr>
          <w:sz w:val="20"/>
          <w:szCs w:val="20"/>
          <w:color w:val="auto"/>
        </w:rPr>
        <w:tab/>
      </w:r>
      <w:r>
        <w:rPr>
          <w:rFonts w:ascii="Arial" w:cs="Arial" w:eastAsia="Arial" w:hAnsi="Arial"/>
          <w:sz w:val="16"/>
          <w:szCs w:val="16"/>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786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A.J. Kazimi</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John Hamm, certify that:</w:t>
      </w:r>
    </w:p>
    <w:p>
      <w:pPr>
        <w:spacing w:after="0" w:line="50" w:lineRule="exact"/>
        <w:rPr>
          <w:sz w:val="20"/>
          <w:szCs w:val="20"/>
          <w:color w:val="auto"/>
        </w:rPr>
      </w:pPr>
    </w:p>
    <w:p>
      <w:pPr>
        <w:ind w:left="700" w:hanging="674"/>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Cumberland Pharmaceuticals Inc.;</w:t>
      </w:r>
    </w:p>
    <w:p>
      <w:pPr>
        <w:spacing w:after="0" w:line="144" w:lineRule="exact"/>
        <w:rPr>
          <w:rFonts w:ascii="Arial" w:cs="Arial" w:eastAsia="Arial" w:hAnsi="Arial"/>
          <w:sz w:val="18"/>
          <w:szCs w:val="18"/>
          <w:color w:val="auto"/>
        </w:rPr>
      </w:pPr>
    </w:p>
    <w:p>
      <w:pPr>
        <w:jc w:val="both"/>
        <w:ind w:left="700" w:right="80" w:hanging="674"/>
        <w:spacing w:after="0" w:line="22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8"/>
          <w:szCs w:val="18"/>
          <w:color w:val="auto"/>
        </w:rPr>
      </w:pPr>
    </w:p>
    <w:p>
      <w:pPr>
        <w:ind w:left="700" w:right="300" w:hanging="674"/>
        <w:spacing w:after="0" w:line="258"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700" w:right="80" w:hanging="674"/>
        <w:spacing w:after="0" w:line="22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540" w:right="480" w:hanging="316"/>
        <w:spacing w:after="0" w:line="255"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540" w:right="180" w:hanging="316"/>
        <w:spacing w:after="0" w:line="250"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540" w:right="20" w:hanging="316"/>
        <w:spacing w:after="0" w:line="265" w:lineRule="auto"/>
        <w:tabs>
          <w:tab w:leader="none" w:pos="5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700" w:right="220" w:hanging="674"/>
        <w:spacing w:after="0" w:line="289"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540" w:right="380" w:hanging="316"/>
        <w:spacing w:after="0" w:line="258"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40" w:hanging="316"/>
        <w:spacing w:after="0" w:line="260" w:lineRule="auto"/>
        <w:tabs>
          <w:tab w:leader="none" w:pos="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820"/>
        <w:spacing w:after="0"/>
        <w:tabs>
          <w:tab w:leader="none" w:pos="6820" w:val="left"/>
        </w:tabs>
        <w:rPr>
          <w:sz w:val="20"/>
          <w:szCs w:val="20"/>
          <w:color w:val="auto"/>
        </w:rPr>
      </w:pPr>
      <w:r>
        <w:rPr>
          <w:rFonts w:ascii="Arial" w:cs="Arial" w:eastAsia="Arial" w:hAnsi="Arial"/>
          <w:sz w:val="18"/>
          <w:szCs w:val="18"/>
          <w:color w:val="auto"/>
        </w:rPr>
        <w:t>August 11, 2023 By:</w:t>
      </w:r>
      <w:r>
        <w:rPr>
          <w:sz w:val="20"/>
          <w:szCs w:val="20"/>
          <w:color w:val="auto"/>
        </w:rPr>
        <w:tab/>
      </w:r>
      <w:r>
        <w:rPr>
          <w:rFonts w:ascii="Arial" w:cs="Arial" w:eastAsia="Arial" w:hAnsi="Arial"/>
          <w:sz w:val="16"/>
          <w:szCs w:val="16"/>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786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John Hamm</w:t>
      </w:r>
    </w:p>
    <w:p>
      <w:pPr>
        <w:spacing w:after="0" w:line="3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3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 connection with the Quarterly Report on Form 10-Q for the fiscal quarter ended June 30, 2023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spacing w:after="0" w:line="1" w:lineRule="exact"/>
        <w:rPr>
          <w:sz w:val="20"/>
          <w:szCs w:val="20"/>
          <w:color w:val="auto"/>
        </w:rPr>
      </w:pPr>
    </w:p>
    <w:p>
      <w:pPr>
        <w:ind w:left="700" w:hanging="674"/>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700" w:hanging="674"/>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27774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A.J. Kazimi</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August 11,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27774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Hamm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August 11, 2023</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04"/>
    </w:lvl>
    <w:lvl w:ilvl="1">
      <w:lvlJc w:val="left"/>
      <w:lvlText w:val="*"/>
      <w:numFmt w:val="bullet"/>
      <w:start w:val="1"/>
    </w:lvl>
  </w:abstractNum>
  <w:abstractNum w:abstractNumId="14">
    <w:nsid w:val="25E45D32"/>
    <w:multiLevelType w:val="hybridMultilevel"/>
    <w:lvl w:ilvl="0">
      <w:lvlJc w:val="left"/>
      <w:lvlText w:val="%1"/>
      <w:numFmt w:val="decimal"/>
      <w:start w:val="1"/>
    </w:lvl>
    <w:lvl w:ilvl="1">
      <w:lvlJc w:val="left"/>
      <w:lvlText w:val="**"/>
      <w:numFmt w:val="bullet"/>
      <w:start w:val="1"/>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2023-08-11T16:12:11Z</dcterms:created>
  <dcterms:modified xsi:type="dcterms:W3CDTF">2023-08-11T16:12:11Z</dcterms:modified>
</cp:coreProperties>
</file>