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-10795</wp:posOffset>
            </wp:positionV>
            <wp:extent cx="137160" cy="1847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84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20" w:right="340" w:hanging="244"/>
        <w:spacing w:after="0" w:line="183" w:lineRule="auto"/>
        <w:tabs>
          <w:tab w:leader="none" w:pos="320" w:val="left"/>
        </w:tabs>
        <w:numPr>
          <w:ilvl w:val="0"/>
          <w:numId w:val="1"/>
        </w:numPr>
        <w:rPr>
          <w:rFonts w:ascii="Arial" w:cs="Arial" w:eastAsia="Arial" w:hAnsi="Arial"/>
          <w:sz w:val="24"/>
          <w:szCs w:val="24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2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-609600</wp:posOffset>
            </wp:positionV>
            <wp:extent cx="57150" cy="6229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12065</wp:posOffset>
            </wp:positionV>
            <wp:extent cx="6997065" cy="4917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91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40"/>
            <w:col w:w="846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2"/>
                </w:rPr>
                <w:t>Bonner Michael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CUMBERLAND PHARMACEUTICALS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spacing w:after="0" w:line="206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2525 WEST END AVENUE, SUITE 950</w:t>
            </w: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03/17/2021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37203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03/17/2021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1,067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3.22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19,220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05/17/2021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7,500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7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03/17/2025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03/17/2031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5,000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03/17/2025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03/17/2031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-2059940</wp:posOffset>
            </wp:positionV>
            <wp:extent cx="28575" cy="2065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shares purchased by the Company to cover the tax withholding obligations for the vesting of shares.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Resigned position as Chief Financial Officer effective May 17, 2021. All unvested equity awards forfeited upon resignation.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vesting on March 17, 2025.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Michael Bonner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06/11/2021</w:t>
            </w:r>
          </w:p>
        </w:tc>
      </w:tr>
      <w:tr>
        <w:trPr>
          <w:trHeight w:val="21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800" w:hanging="2"/>
        <w:spacing w:after="0" w:line="323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79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2021-06-11T16:09:46Z</dcterms:created>
  <dcterms:modified xsi:type="dcterms:W3CDTF">2021-06-11T16:09:46Z</dcterms:modified>
</cp:coreProperties>
</file>