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w:t>
      </w:r>
    </w:p>
    <w:p>
      <w:pPr>
        <w:spacing w:after="0"/>
        <w:rPr>
          <w:sz w:val="20"/>
          <w:szCs w:val="20"/>
          <w:color w:val="auto"/>
        </w:rPr>
      </w:pPr>
      <w:r>
        <w:rPr>
          <w:rFonts w:ascii="Arial" w:cs="Arial" w:eastAsia="Arial" w:hAnsi="Arial"/>
          <w:sz w:val="18"/>
          <w:szCs w:val="18"/>
          <w:b w:val="1"/>
          <w:bCs w:val="1"/>
          <w:color w:val="auto"/>
        </w:rPr>
        <w:t>(To Prospectus Dated January 8, 2021)</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Up to $19,000,000 of Shares</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52"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00" w:lineRule="exact"/>
        <w:rPr>
          <w:sz w:val="24"/>
          <w:szCs w:val="24"/>
          <w:color w:val="auto"/>
        </w:rPr>
      </w:pPr>
    </w:p>
    <w:p>
      <w:pPr>
        <w:spacing w:after="0" w:line="201" w:lineRule="exact"/>
        <w:rPr>
          <w:sz w:val="24"/>
          <w:szCs w:val="24"/>
          <w:color w:val="auto"/>
        </w:rPr>
      </w:pPr>
    </w:p>
    <w:p>
      <w:pPr>
        <w:jc w:val="both"/>
        <w:ind w:firstLine="648"/>
        <w:spacing w:after="0" w:line="214" w:lineRule="auto"/>
        <w:rPr>
          <w:sz w:val="20"/>
          <w:szCs w:val="20"/>
          <w:color w:val="auto"/>
        </w:rPr>
      </w:pPr>
      <w:r>
        <w:rPr>
          <w:rFonts w:ascii="Arial" w:cs="Arial" w:eastAsia="Arial" w:hAnsi="Arial"/>
          <w:sz w:val="18"/>
          <w:szCs w:val="18"/>
          <w:color w:val="auto"/>
        </w:rPr>
        <w:t>On November 7, 2017, we entered into a sales agreement (as amended by Amendment No. 1 to the sales agreement, dated December 27, 2021) with B. Riley Securities, Inc. (formerly B. Riley FBR, Inc.) or the Agent, relating to shares of our common stock offered by this prospectus supplement. In accordance with the terms of the sales agreement, pursuant to this prospectus supplement we may offer and sell shares of our common stock having an aggregate offering price of up to $19,000,000 from time to time through or to the Agent acting as our agent or principal. As of the date of this prospectus supplement, we had previously sold $200,909 of shares under the sales agreement, and we are offering $19,000,000 of shares under the sales agreement pursuant to this prospectus supplement.</w:t>
      </w:r>
    </w:p>
    <w:p>
      <w:pPr>
        <w:spacing w:after="0" w:line="121" w:lineRule="exact"/>
        <w:rPr>
          <w:sz w:val="24"/>
          <w:szCs w:val="24"/>
          <w:color w:val="auto"/>
        </w:rPr>
      </w:pPr>
    </w:p>
    <w:p>
      <w:pPr>
        <w:jc w:val="both"/>
        <w:ind w:firstLine="648"/>
        <w:spacing w:after="0" w:line="216" w:lineRule="auto"/>
        <w:rPr>
          <w:sz w:val="20"/>
          <w:szCs w:val="20"/>
          <w:color w:val="auto"/>
        </w:rPr>
      </w:pPr>
      <w:r>
        <w:rPr>
          <w:rFonts w:ascii="Arial" w:cs="Arial" w:eastAsia="Arial" w:hAnsi="Arial"/>
          <w:sz w:val="18"/>
          <w:szCs w:val="18"/>
          <w:color w:val="auto"/>
        </w:rPr>
        <w:t>Sales of our common stock, if any, under this prospectus may be made in sales deemed to be “at the market offerings” as defined in Rule 415 promulgated under the Securities Act of 1933, as amended, or the Securities Act. The Agent will act as sales agent on a best efforts basis and will use commercially reasonable efforts to sell on our behalf all of the shares of common stock requested to be sold by us, consistent with its normal trading and sales practices, on mutually agreed terms between the Agent and us. There is no arrangement for funds to be received in any escrow, trust or similar arrangement.</w:t>
      </w:r>
    </w:p>
    <w:p>
      <w:pPr>
        <w:spacing w:after="0" w:line="122" w:lineRule="exact"/>
        <w:rPr>
          <w:sz w:val="24"/>
          <w:szCs w:val="24"/>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aggregate market value of our outstanding common equity held by non-affiliates on December 23, 2021 was $44,115,661 based on 14,754,554 shares of common stock outstanding, of which 8,616,340 were held by non-affiliates, and a closing sale price on the Nasdaq Global Market on December 23, 2021, of $5.12. During the 12 calendar months prior to and including the date hereof, we have not sold any shares of common stock pursuant to General Instruction I.B.6. of Form S-3.</w:t>
      </w:r>
    </w:p>
    <w:p>
      <w:pPr>
        <w:spacing w:after="0" w:line="190" w:lineRule="exact"/>
        <w:rPr>
          <w:sz w:val="24"/>
          <w:szCs w:val="24"/>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Agent is entitled to compensation of 3.0% of the gross sales price per share sold. In connection with the sale of our common stock on our behalf, the Agent will be deemed to be an “underwriter” within the meaning of the Securities Act and the compensation of the Agent will be deemed to be underwriting commissions or discounts. We have also agreed to provide indemnification and contribution to the Agent with respect to certain liabilities, including liabilities under the Securities Act.</w:t>
      </w:r>
    </w:p>
    <w:p>
      <w:pPr>
        <w:spacing w:after="0" w:line="136"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INVESTING IN OUR COMMON STOCK INVOLVES RISKS. SEE THE “RISK FACTORS” ON PAGE S-4 OF THIS PROSPECTUS SUPPLEMENT AND ANY SIMILAR SECTION CONTAINED IN THE DOCUMENTS INCORPORATED BY REFERENCE INTO THIS PROSPECTUS SUPPLEMENT AND PROSPECTUS.</w:t>
      </w:r>
    </w:p>
    <w:p>
      <w:pPr>
        <w:spacing w:after="0" w:line="122" w:lineRule="exact"/>
        <w:rPr>
          <w:sz w:val="24"/>
          <w:szCs w:val="24"/>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Our common stock is listed on the Nasdaq Global Market under the symbol “CPIX.” On December 23, 2021, the last reported sale price of our common stock on the Nasdaq Global Market was $5.12 per share.</w:t>
      </w:r>
    </w:p>
    <w:p>
      <w:pPr>
        <w:spacing w:after="0" w:line="11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 RILEY SECURITIES</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December 27, 2021.</w:t>
      </w:r>
    </w:p>
    <w:p>
      <w:pPr>
        <w:sectPr>
          <w:pgSz w:w="11900" w:h="16838" w:orient="portrait"/>
          <w:cols w:equalWidth="0" w:num="1">
            <w:col w:w="11240"/>
          </w:cols>
          <w:pgMar w:left="320" w:top="109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10680" w:type="dxa"/>
            <w:vAlign w:val="bottom"/>
          </w:tcPr>
          <w:p>
            <w:pPr>
              <w:spacing w:after="0"/>
              <w:rPr>
                <w:sz w:val="20"/>
                <w:szCs w:val="20"/>
                <w:color w:val="auto"/>
              </w:rPr>
            </w:pPr>
            <w:r>
              <w:rPr>
                <w:rFonts w:ascii="Arial" w:cs="Arial" w:eastAsia="Arial" w:hAnsi="Arial"/>
                <w:sz w:val="18"/>
                <w:szCs w:val="18"/>
                <w:b w:val="1"/>
                <w:bCs w:val="1"/>
                <w:color w:val="auto"/>
              </w:rPr>
              <w:t>PROSPECTUS SUPPLEMENT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680" w:type="dxa"/>
            <w:vAlign w:val="bottom"/>
          </w:tcPr>
          <w:p>
            <w:pPr>
              <w:ind w:left="80"/>
              <w:spacing w:after="0"/>
              <w:rPr>
                <w:sz w:val="20"/>
                <w:szCs w:val="20"/>
                <w:color w:val="auto"/>
              </w:rPr>
            </w:pPr>
            <w:r>
              <w:rPr>
                <w:rFonts w:ascii="Arial" w:cs="Arial" w:eastAsia="Arial" w:hAnsi="Arial"/>
                <w:sz w:val="18"/>
                <w:szCs w:val="18"/>
                <w:color w:val="auto"/>
              </w:rPr>
              <w:t>ABOUT THIS PROSPECTUS SUPPLEMENT</w:t>
            </w:r>
          </w:p>
        </w:tc>
        <w:tc>
          <w:tcPr>
            <w:tcW w:w="340" w:type="dxa"/>
            <w:vAlign w:val="bottom"/>
            <w:gridSpan w:val="2"/>
          </w:tcPr>
          <w:p>
            <w:pPr>
              <w:spacing w:after="0"/>
              <w:rPr>
                <w:rFonts w:ascii="Arial" w:cs="Arial" w:eastAsia="Arial" w:hAnsi="Arial"/>
                <w:sz w:val="18"/>
                <w:szCs w:val="18"/>
                <w:color w:val="auto"/>
              </w:rPr>
            </w:pPr>
            <w:hyperlink w:anchor="page2">
              <w:r>
                <w:rPr>
                  <w:rFonts w:ascii="Arial" w:cs="Arial" w:eastAsia="Arial" w:hAnsi="Arial"/>
                  <w:sz w:val="18"/>
                  <w:szCs w:val="18"/>
                  <w:color w:val="auto"/>
                </w:rPr>
                <w:t>S-1</w:t>
              </w:r>
            </w:hyperlink>
          </w:p>
        </w:tc>
      </w:tr>
      <w:tr>
        <w:trPr>
          <w:trHeight w:val="20"/>
        </w:trPr>
        <w:tc>
          <w:tcPr>
            <w:tcW w:w="10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680" w:type="dxa"/>
            <w:vAlign w:val="bottom"/>
          </w:tcPr>
          <w:p>
            <w:pPr>
              <w:ind w:left="80"/>
              <w:spacing w:after="0"/>
              <w:rPr>
                <w:sz w:val="20"/>
                <w:szCs w:val="20"/>
                <w:color w:val="auto"/>
              </w:rPr>
            </w:pPr>
            <w:r>
              <w:rPr>
                <w:rFonts w:ascii="Arial" w:cs="Arial" w:eastAsia="Arial" w:hAnsi="Arial"/>
                <w:sz w:val="18"/>
                <w:szCs w:val="18"/>
                <w:color w:val="auto"/>
              </w:rPr>
              <w:t>PROSPECTUS SUPPLEMENT SUMMARY</w:t>
            </w:r>
          </w:p>
        </w:tc>
        <w:tc>
          <w:tcPr>
            <w:tcW w:w="34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S-2</w:t>
              </w:r>
            </w:hyperlink>
          </w:p>
        </w:tc>
      </w:tr>
      <w:tr>
        <w:trPr>
          <w:trHeight w:val="20"/>
        </w:trPr>
        <w:tc>
          <w:tcPr>
            <w:tcW w:w="10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680" w:type="dxa"/>
            <w:vAlign w:val="bottom"/>
          </w:tcPr>
          <w:p>
            <w:pPr>
              <w:ind w:left="80"/>
              <w:spacing w:after="0"/>
              <w:rPr>
                <w:sz w:val="20"/>
                <w:szCs w:val="20"/>
                <w:color w:val="auto"/>
              </w:rPr>
            </w:pPr>
            <w:r>
              <w:rPr>
                <w:rFonts w:ascii="Arial" w:cs="Arial" w:eastAsia="Arial" w:hAnsi="Arial"/>
                <w:sz w:val="18"/>
                <w:szCs w:val="18"/>
                <w:color w:val="auto"/>
              </w:rPr>
              <w:t>THE OFFERING</w:t>
            </w:r>
          </w:p>
        </w:tc>
        <w:tc>
          <w:tcPr>
            <w:tcW w:w="34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S-</w:t>
              </w:r>
            </w:hyperlink>
            <w:hyperlink w:anchor="page2">
              <w:r>
                <w:rPr>
                  <w:rFonts w:ascii="Arial" w:cs="Arial" w:eastAsia="Arial" w:hAnsi="Arial"/>
                  <w:sz w:val="18"/>
                  <w:szCs w:val="18"/>
                  <w:color w:val="auto"/>
                </w:rPr>
                <w:t>3</w:t>
              </w:r>
            </w:hyperlink>
          </w:p>
        </w:tc>
      </w:tr>
      <w:tr>
        <w:trPr>
          <w:trHeight w:val="20"/>
        </w:trPr>
        <w:tc>
          <w:tcPr>
            <w:tcW w:w="10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68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340" w:type="dxa"/>
            <w:vAlign w:val="bottom"/>
            <w:gridSpan w:val="2"/>
          </w:tcPr>
          <w:p>
            <w:pPr>
              <w:spacing w:after="0"/>
              <w:rPr>
                <w:rFonts w:ascii="Arial" w:cs="Arial" w:eastAsia="Arial" w:hAnsi="Arial"/>
                <w:sz w:val="18"/>
                <w:szCs w:val="18"/>
                <w:color w:val="auto"/>
              </w:rPr>
            </w:pPr>
            <w:hyperlink w:anchor="page5">
              <w:r>
                <w:rPr>
                  <w:rFonts w:ascii="Arial" w:cs="Arial" w:eastAsia="Arial" w:hAnsi="Arial"/>
                  <w:sz w:val="18"/>
                  <w:szCs w:val="18"/>
                  <w:color w:val="auto"/>
                </w:rPr>
                <w:t>S-</w:t>
              </w:r>
            </w:hyperlink>
            <w:hyperlink w:anchor="page2">
              <w:r>
                <w:rPr>
                  <w:rFonts w:ascii="Arial" w:cs="Arial" w:eastAsia="Arial" w:hAnsi="Arial"/>
                  <w:sz w:val="18"/>
                  <w:szCs w:val="18"/>
                  <w:color w:val="auto"/>
                </w:rPr>
                <w:t>4</w:t>
              </w:r>
            </w:hyperlink>
          </w:p>
        </w:tc>
      </w:tr>
      <w:tr>
        <w:trPr>
          <w:trHeight w:val="20"/>
        </w:trPr>
        <w:tc>
          <w:tcPr>
            <w:tcW w:w="10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68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340" w:type="dxa"/>
            <w:vAlign w:val="bottom"/>
            <w:gridSpan w:val="2"/>
          </w:tcPr>
          <w:p>
            <w:pPr>
              <w:spacing w:after="0"/>
              <w:rPr>
                <w:rFonts w:ascii="Arial" w:cs="Arial" w:eastAsia="Arial" w:hAnsi="Arial"/>
                <w:sz w:val="18"/>
                <w:szCs w:val="18"/>
                <w:color w:val="auto"/>
              </w:rPr>
            </w:pPr>
            <w:hyperlink w:anchor="page6">
              <w:r>
                <w:rPr>
                  <w:rFonts w:ascii="Arial" w:cs="Arial" w:eastAsia="Arial" w:hAnsi="Arial"/>
                  <w:sz w:val="18"/>
                  <w:szCs w:val="18"/>
                  <w:color w:val="auto"/>
                </w:rPr>
                <w:t>S-</w:t>
              </w:r>
            </w:hyperlink>
            <w:hyperlink w:anchor="page2">
              <w:r>
                <w:rPr>
                  <w:rFonts w:ascii="Arial" w:cs="Arial" w:eastAsia="Arial" w:hAnsi="Arial"/>
                  <w:sz w:val="18"/>
                  <w:szCs w:val="18"/>
                  <w:color w:val="auto"/>
                </w:rPr>
                <w:t>5</w:t>
              </w:r>
            </w:hyperlink>
          </w:p>
        </w:tc>
      </w:tr>
      <w:tr>
        <w:trPr>
          <w:trHeight w:val="20"/>
        </w:trPr>
        <w:tc>
          <w:tcPr>
            <w:tcW w:w="10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680" w:type="dxa"/>
            <w:vAlign w:val="bottom"/>
          </w:tcPr>
          <w:p>
            <w:pPr>
              <w:ind w:left="80"/>
              <w:spacing w:after="0"/>
              <w:rPr>
                <w:sz w:val="20"/>
                <w:szCs w:val="20"/>
                <w:color w:val="auto"/>
              </w:rPr>
            </w:pPr>
            <w:r>
              <w:rPr>
                <w:rFonts w:ascii="Arial" w:cs="Arial" w:eastAsia="Arial" w:hAnsi="Arial"/>
                <w:sz w:val="18"/>
                <w:szCs w:val="18"/>
                <w:color w:val="auto"/>
              </w:rPr>
              <w:t>DILUTION</w:t>
            </w:r>
          </w:p>
        </w:tc>
        <w:tc>
          <w:tcPr>
            <w:tcW w:w="340" w:type="dxa"/>
            <w:vAlign w:val="bottom"/>
            <w:gridSpan w:val="2"/>
          </w:tcPr>
          <w:p>
            <w:pPr>
              <w:spacing w:after="0"/>
              <w:rPr>
                <w:rFonts w:ascii="Arial" w:cs="Arial" w:eastAsia="Arial" w:hAnsi="Arial"/>
                <w:sz w:val="18"/>
                <w:szCs w:val="18"/>
                <w:color w:val="auto"/>
              </w:rPr>
            </w:pPr>
            <w:hyperlink w:anchor="page6">
              <w:r>
                <w:rPr>
                  <w:rFonts w:ascii="Arial" w:cs="Arial" w:eastAsia="Arial" w:hAnsi="Arial"/>
                  <w:sz w:val="18"/>
                  <w:szCs w:val="18"/>
                  <w:color w:val="auto"/>
                </w:rPr>
                <w:t>S-</w:t>
              </w:r>
            </w:hyperlink>
            <w:r>
              <w:rPr>
                <w:rFonts w:ascii="Arial" w:cs="Arial" w:eastAsia="Arial" w:hAnsi="Arial"/>
                <w:sz w:val="18"/>
                <w:szCs w:val="18"/>
                <w:color w:val="auto"/>
              </w:rPr>
              <w:t>6</w:t>
            </w:r>
          </w:p>
        </w:tc>
      </w:tr>
      <w:tr>
        <w:trPr>
          <w:trHeight w:val="20"/>
        </w:trPr>
        <w:tc>
          <w:tcPr>
            <w:tcW w:w="10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680" w:type="dxa"/>
            <w:vAlign w:val="bottom"/>
          </w:tcPr>
          <w:p>
            <w:pPr>
              <w:ind w:left="80"/>
              <w:spacing w:after="0"/>
              <w:rPr>
                <w:sz w:val="20"/>
                <w:szCs w:val="20"/>
                <w:color w:val="auto"/>
              </w:rPr>
            </w:pPr>
            <w:r>
              <w:rPr>
                <w:rFonts w:ascii="Arial" w:cs="Arial" w:eastAsia="Arial" w:hAnsi="Arial"/>
                <w:sz w:val="18"/>
                <w:szCs w:val="18"/>
                <w:color w:val="auto"/>
              </w:rPr>
              <w:t>CAUTIONARY STATEMENTS REGARDING FORWARD-LOOKING STATEMENTS</w:t>
            </w:r>
          </w:p>
        </w:tc>
        <w:tc>
          <w:tcPr>
            <w:tcW w:w="340" w:type="dxa"/>
            <w:vAlign w:val="bottom"/>
            <w:gridSpan w:val="2"/>
          </w:tcPr>
          <w:p>
            <w:pPr>
              <w:spacing w:after="0"/>
              <w:rPr>
                <w:rFonts w:ascii="Arial" w:cs="Arial" w:eastAsia="Arial" w:hAnsi="Arial"/>
                <w:sz w:val="18"/>
                <w:szCs w:val="18"/>
                <w:color w:val="auto"/>
              </w:rPr>
            </w:pPr>
            <w:hyperlink w:anchor="page9">
              <w:r>
                <w:rPr>
                  <w:rFonts w:ascii="Arial" w:cs="Arial" w:eastAsia="Arial" w:hAnsi="Arial"/>
                  <w:sz w:val="18"/>
                  <w:szCs w:val="18"/>
                  <w:color w:val="auto"/>
                </w:rPr>
                <w:t>S-</w:t>
              </w:r>
            </w:hyperlink>
            <w:r>
              <w:rPr>
                <w:rFonts w:ascii="Arial" w:cs="Arial" w:eastAsia="Arial" w:hAnsi="Arial"/>
                <w:sz w:val="18"/>
                <w:szCs w:val="18"/>
                <w:color w:val="auto"/>
              </w:rPr>
              <w:t>7</w:t>
            </w:r>
          </w:p>
        </w:tc>
      </w:tr>
      <w:tr>
        <w:trPr>
          <w:trHeight w:val="20"/>
        </w:trPr>
        <w:tc>
          <w:tcPr>
            <w:tcW w:w="10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680" w:type="dxa"/>
            <w:vAlign w:val="bottom"/>
          </w:tcPr>
          <w:p>
            <w:pPr>
              <w:ind w:left="80"/>
              <w:spacing w:after="0"/>
              <w:rPr>
                <w:sz w:val="20"/>
                <w:szCs w:val="20"/>
                <w:color w:val="auto"/>
              </w:rPr>
            </w:pPr>
            <w:r>
              <w:rPr>
                <w:rFonts w:ascii="Arial" w:cs="Arial" w:eastAsia="Arial" w:hAnsi="Arial"/>
                <w:sz w:val="18"/>
                <w:szCs w:val="18"/>
                <w:color w:val="auto"/>
              </w:rPr>
              <w:t>PLAN OF DISTRIBUTION</w:t>
            </w:r>
          </w:p>
        </w:tc>
        <w:tc>
          <w:tcPr>
            <w:tcW w:w="340" w:type="dxa"/>
            <w:vAlign w:val="bottom"/>
            <w:gridSpan w:val="2"/>
          </w:tcPr>
          <w:p>
            <w:pPr>
              <w:spacing w:after="0"/>
              <w:rPr>
                <w:rFonts w:ascii="Arial" w:cs="Arial" w:eastAsia="Arial" w:hAnsi="Arial"/>
                <w:sz w:val="18"/>
                <w:szCs w:val="18"/>
                <w:color w:val="auto"/>
              </w:rPr>
            </w:pPr>
            <w:hyperlink w:anchor="page11">
              <w:r>
                <w:rPr>
                  <w:rFonts w:ascii="Arial" w:cs="Arial" w:eastAsia="Arial" w:hAnsi="Arial"/>
                  <w:sz w:val="18"/>
                  <w:szCs w:val="18"/>
                  <w:color w:val="auto"/>
                </w:rPr>
                <w:t>S-</w:t>
              </w:r>
            </w:hyperlink>
            <w:r>
              <w:rPr>
                <w:rFonts w:ascii="Arial" w:cs="Arial" w:eastAsia="Arial" w:hAnsi="Arial"/>
                <w:sz w:val="18"/>
                <w:szCs w:val="18"/>
                <w:color w:val="auto"/>
              </w:rPr>
              <w:t>9</w:t>
            </w:r>
          </w:p>
        </w:tc>
      </w:tr>
      <w:tr>
        <w:trPr>
          <w:trHeight w:val="20"/>
        </w:trPr>
        <w:tc>
          <w:tcPr>
            <w:tcW w:w="10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680" w:type="dxa"/>
            <w:vAlign w:val="bottom"/>
          </w:tcPr>
          <w:p>
            <w:pPr>
              <w:ind w:left="80"/>
              <w:spacing w:after="0"/>
              <w:rPr>
                <w:sz w:val="20"/>
                <w:szCs w:val="20"/>
                <w:color w:val="auto"/>
              </w:rPr>
            </w:pPr>
            <w:r>
              <w:rPr>
                <w:rFonts w:ascii="Arial" w:cs="Arial" w:eastAsia="Arial" w:hAnsi="Arial"/>
                <w:sz w:val="18"/>
                <w:szCs w:val="18"/>
                <w:color w:val="auto"/>
              </w:rPr>
              <w:t>LEGAL MATTERS</w:t>
            </w:r>
          </w:p>
        </w:tc>
        <w:tc>
          <w:tcPr>
            <w:tcW w:w="340" w:type="dxa"/>
            <w:vAlign w:val="bottom"/>
            <w:tcBorders>
              <w:bottom w:val="single" w:sz="8" w:color="auto"/>
            </w:tcBorders>
            <w:gridSpan w:val="2"/>
          </w:tcPr>
          <w:p>
            <w:pPr>
              <w:spacing w:after="0"/>
              <w:rPr>
                <w:rFonts w:ascii="Arial" w:cs="Arial" w:eastAsia="Arial" w:hAnsi="Arial"/>
                <w:sz w:val="18"/>
                <w:szCs w:val="18"/>
                <w:color w:val="auto"/>
                <w:w w:val="84"/>
              </w:rPr>
            </w:pPr>
            <w:hyperlink w:anchor="page13">
              <w:r>
                <w:rPr>
                  <w:rFonts w:ascii="Arial" w:cs="Arial" w:eastAsia="Arial" w:hAnsi="Arial"/>
                  <w:sz w:val="18"/>
                  <w:szCs w:val="18"/>
                  <w:color w:val="auto"/>
                  <w:w w:val="84"/>
                </w:rPr>
                <w:t>S-</w:t>
              </w:r>
            </w:hyperlink>
            <w:r>
              <w:rPr>
                <w:rFonts w:ascii="Arial" w:cs="Arial" w:eastAsia="Arial" w:hAnsi="Arial"/>
                <w:sz w:val="18"/>
                <w:szCs w:val="18"/>
                <w:color w:val="auto"/>
                <w:w w:val="84"/>
              </w:rPr>
              <w:t>10</w:t>
            </w:r>
          </w:p>
        </w:tc>
      </w:tr>
      <w:tr>
        <w:trPr>
          <w:trHeight w:val="209"/>
        </w:trPr>
        <w:tc>
          <w:tcPr>
            <w:tcW w:w="10680" w:type="dxa"/>
            <w:vAlign w:val="bottom"/>
          </w:tcPr>
          <w:p>
            <w:pPr>
              <w:ind w:left="80"/>
              <w:spacing w:after="0"/>
              <w:rPr>
                <w:sz w:val="20"/>
                <w:szCs w:val="20"/>
                <w:color w:val="auto"/>
              </w:rPr>
            </w:pPr>
            <w:r>
              <w:rPr>
                <w:rFonts w:ascii="Arial" w:cs="Arial" w:eastAsia="Arial" w:hAnsi="Arial"/>
                <w:sz w:val="18"/>
                <w:szCs w:val="18"/>
                <w:color w:val="auto"/>
              </w:rPr>
              <w:t>EXPERTS</w:t>
            </w:r>
          </w:p>
        </w:tc>
        <w:tc>
          <w:tcPr>
            <w:tcW w:w="340" w:type="dxa"/>
            <w:vAlign w:val="bottom"/>
            <w:tcBorders>
              <w:bottom w:val="single" w:sz="8" w:color="auto"/>
            </w:tcBorders>
            <w:gridSpan w:val="2"/>
          </w:tcPr>
          <w:p>
            <w:pPr>
              <w:spacing w:after="0"/>
              <w:rPr>
                <w:rFonts w:ascii="Arial" w:cs="Arial" w:eastAsia="Arial" w:hAnsi="Arial"/>
                <w:sz w:val="18"/>
                <w:szCs w:val="18"/>
                <w:color w:val="auto"/>
                <w:w w:val="84"/>
              </w:rPr>
            </w:pPr>
            <w:hyperlink w:anchor="page13">
              <w:r>
                <w:rPr>
                  <w:rFonts w:ascii="Arial" w:cs="Arial" w:eastAsia="Arial" w:hAnsi="Arial"/>
                  <w:sz w:val="18"/>
                  <w:szCs w:val="18"/>
                  <w:color w:val="auto"/>
                  <w:w w:val="84"/>
                </w:rPr>
                <w:t>S-</w:t>
              </w:r>
            </w:hyperlink>
            <w:r>
              <w:rPr>
                <w:rFonts w:ascii="Arial" w:cs="Arial" w:eastAsia="Arial" w:hAnsi="Arial"/>
                <w:sz w:val="18"/>
                <w:szCs w:val="18"/>
                <w:color w:val="auto"/>
                <w:w w:val="84"/>
              </w:rPr>
              <w:t>10</w:t>
            </w:r>
          </w:p>
        </w:tc>
      </w:tr>
      <w:tr>
        <w:trPr>
          <w:trHeight w:val="210"/>
        </w:trPr>
        <w:tc>
          <w:tcPr>
            <w:tcW w:w="10680" w:type="dxa"/>
            <w:vAlign w:val="bottom"/>
          </w:tcPr>
          <w:p>
            <w:pPr>
              <w:ind w:left="80"/>
              <w:spacing w:after="0"/>
              <w:rPr>
                <w:sz w:val="20"/>
                <w:szCs w:val="20"/>
                <w:color w:val="auto"/>
              </w:rPr>
            </w:pPr>
            <w:r>
              <w:rPr>
                <w:rFonts w:ascii="Arial" w:cs="Arial" w:eastAsia="Arial" w:hAnsi="Arial"/>
                <w:sz w:val="18"/>
                <w:szCs w:val="18"/>
                <w:color w:val="auto"/>
              </w:rPr>
              <w:t>WHERE YOU CAN FIND MORE INFORMATION; INCORPORATION BY REFERENCE</w:t>
            </w:r>
          </w:p>
        </w:tc>
        <w:tc>
          <w:tcPr>
            <w:tcW w:w="340" w:type="dxa"/>
            <w:vAlign w:val="bottom"/>
            <w:tcBorders>
              <w:bottom w:val="single" w:sz="8" w:color="auto"/>
            </w:tcBorders>
            <w:gridSpan w:val="2"/>
          </w:tcPr>
          <w:p>
            <w:pPr>
              <w:spacing w:after="0"/>
              <w:rPr>
                <w:rFonts w:ascii="Arial" w:cs="Arial" w:eastAsia="Arial" w:hAnsi="Arial"/>
                <w:sz w:val="18"/>
                <w:szCs w:val="18"/>
                <w:color w:val="auto"/>
                <w:w w:val="84"/>
              </w:rPr>
            </w:pPr>
            <w:hyperlink w:anchor="page13">
              <w:r>
                <w:rPr>
                  <w:rFonts w:ascii="Arial" w:cs="Arial" w:eastAsia="Arial" w:hAnsi="Arial"/>
                  <w:sz w:val="18"/>
                  <w:szCs w:val="18"/>
                  <w:color w:val="auto"/>
                  <w:w w:val="84"/>
                </w:rPr>
                <w:t>S-</w:t>
              </w:r>
            </w:hyperlink>
            <w:r>
              <w:rPr>
                <w:rFonts w:ascii="Arial" w:cs="Arial" w:eastAsia="Arial" w:hAnsi="Arial"/>
                <w:sz w:val="18"/>
                <w:szCs w:val="18"/>
                <w:color w:val="auto"/>
                <w:w w:val="84"/>
              </w:rPr>
              <w:t>10</w:t>
            </w:r>
          </w:p>
        </w:tc>
      </w:tr>
      <w:tr>
        <w:trPr>
          <w:trHeight w:val="561"/>
        </w:trPr>
        <w:tc>
          <w:tcPr>
            <w:tcW w:w="10680" w:type="dxa"/>
            <w:vAlign w:val="bottom"/>
          </w:tcPr>
          <w:p>
            <w:pPr>
              <w:spacing w:after="0"/>
              <w:rPr>
                <w:sz w:val="20"/>
                <w:szCs w:val="20"/>
                <w:color w:val="auto"/>
              </w:rPr>
            </w:pPr>
            <w:r>
              <w:rPr>
                <w:rFonts w:ascii="Arial" w:cs="Arial" w:eastAsia="Arial" w:hAnsi="Arial"/>
                <w:sz w:val="18"/>
                <w:szCs w:val="18"/>
                <w:b w:val="1"/>
                <w:bCs w:val="1"/>
                <w:color w:val="auto"/>
              </w:rPr>
              <w:t>PROSPECTUS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10680" w:type="dxa"/>
            <w:vAlign w:val="bottom"/>
          </w:tcPr>
          <w:p>
            <w:pPr>
              <w:ind w:left="20"/>
              <w:spacing w:after="0"/>
              <w:rPr>
                <w:sz w:val="20"/>
                <w:szCs w:val="20"/>
                <w:color w:val="auto"/>
              </w:rPr>
            </w:pPr>
            <w:r>
              <w:rPr>
                <w:rFonts w:ascii="Arial" w:cs="Arial" w:eastAsia="Arial" w:hAnsi="Arial"/>
                <w:sz w:val="18"/>
                <w:szCs w:val="18"/>
                <w:color w:val="auto"/>
              </w:rPr>
              <w:t>ABOUT THIS PROSPECTUS</w:t>
            </w:r>
          </w:p>
        </w:tc>
        <w:tc>
          <w:tcPr>
            <w:tcW w:w="240" w:type="dxa"/>
            <w:vAlign w:val="bottom"/>
          </w:tcPr>
          <w:p>
            <w:pPr>
              <w:ind w:lef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r>
      <w:tr>
        <w:trPr>
          <w:trHeight w:val="230"/>
        </w:trPr>
        <w:tc>
          <w:tcPr>
            <w:tcW w:w="1068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240" w:type="dxa"/>
            <w:vAlign w:val="bottom"/>
          </w:tcPr>
          <w:p>
            <w:pPr>
              <w:ind w:lef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9"/>
        </w:trPr>
        <w:tc>
          <w:tcPr>
            <w:tcW w:w="10680" w:type="dxa"/>
            <w:vAlign w:val="bottom"/>
          </w:tcPr>
          <w:p>
            <w:pPr>
              <w:ind w:left="20"/>
              <w:spacing w:after="0"/>
              <w:rPr>
                <w:sz w:val="20"/>
                <w:szCs w:val="20"/>
                <w:color w:val="auto"/>
              </w:rPr>
            </w:pPr>
            <w:r>
              <w:rPr>
                <w:rFonts w:ascii="Arial" w:cs="Arial" w:eastAsia="Arial" w:hAnsi="Arial"/>
                <w:sz w:val="18"/>
                <w:szCs w:val="18"/>
                <w:color w:val="auto"/>
              </w:rPr>
              <w:t>CAUTIONARY STATEMENTS REGARDING FORWARD-LOOKING STATEMENTS</w:t>
            </w:r>
          </w:p>
        </w:tc>
        <w:tc>
          <w:tcPr>
            <w:tcW w:w="240" w:type="dxa"/>
            <w:vAlign w:val="bottom"/>
          </w:tcPr>
          <w:p>
            <w:pPr>
              <w:ind w:lef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10680" w:type="dxa"/>
            <w:vAlign w:val="bottom"/>
          </w:tcPr>
          <w:p>
            <w:pPr>
              <w:ind w:left="20"/>
              <w:spacing w:after="0"/>
              <w:rPr>
                <w:sz w:val="20"/>
                <w:szCs w:val="20"/>
                <w:color w:val="auto"/>
              </w:rPr>
            </w:pPr>
            <w:r>
              <w:rPr>
                <w:rFonts w:ascii="Arial" w:cs="Arial" w:eastAsia="Arial" w:hAnsi="Arial"/>
                <w:sz w:val="18"/>
                <w:szCs w:val="18"/>
                <w:color w:val="auto"/>
              </w:rPr>
              <w:t>OUR COMPANY</w:t>
            </w:r>
          </w:p>
        </w:tc>
        <w:tc>
          <w:tcPr>
            <w:tcW w:w="240" w:type="dxa"/>
            <w:vAlign w:val="bottom"/>
          </w:tcPr>
          <w:p>
            <w:pPr>
              <w:ind w:lef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9"/>
        </w:trPr>
        <w:tc>
          <w:tcPr>
            <w:tcW w:w="10680" w:type="dxa"/>
            <w:vAlign w:val="bottom"/>
          </w:tcPr>
          <w:p>
            <w:pPr>
              <w:ind w:left="20"/>
              <w:spacing w:after="0"/>
              <w:rPr>
                <w:sz w:val="20"/>
                <w:szCs w:val="20"/>
                <w:color w:val="auto"/>
              </w:rPr>
            </w:pPr>
            <w:r>
              <w:rPr>
                <w:rFonts w:ascii="Arial" w:cs="Arial" w:eastAsia="Arial" w:hAnsi="Arial"/>
                <w:sz w:val="18"/>
                <w:szCs w:val="18"/>
                <w:color w:val="auto"/>
              </w:rPr>
              <w:t>USE OF PROCEEDS</w:t>
            </w:r>
          </w:p>
        </w:tc>
        <w:tc>
          <w:tcPr>
            <w:tcW w:w="240" w:type="dxa"/>
            <w:vAlign w:val="bottom"/>
          </w:tcPr>
          <w:p>
            <w:pPr>
              <w:ind w:lef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10680" w:type="dxa"/>
            <w:vAlign w:val="bottom"/>
          </w:tcPr>
          <w:p>
            <w:pPr>
              <w:ind w:left="20"/>
              <w:spacing w:after="0"/>
              <w:rPr>
                <w:sz w:val="20"/>
                <w:szCs w:val="20"/>
                <w:color w:val="auto"/>
              </w:rPr>
            </w:pPr>
            <w:r>
              <w:rPr>
                <w:rFonts w:ascii="Arial" w:cs="Arial" w:eastAsia="Arial" w:hAnsi="Arial"/>
                <w:sz w:val="18"/>
                <w:szCs w:val="18"/>
                <w:color w:val="auto"/>
              </w:rPr>
              <w:t>DESCRIPTION OF CAPITAL STOCK</w:t>
            </w:r>
          </w:p>
        </w:tc>
        <w:tc>
          <w:tcPr>
            <w:tcW w:w="240" w:type="dxa"/>
            <w:vAlign w:val="bottom"/>
          </w:tcPr>
          <w:p>
            <w:pPr>
              <w:ind w:lef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30"/>
        </w:trPr>
        <w:tc>
          <w:tcPr>
            <w:tcW w:w="10680" w:type="dxa"/>
            <w:vAlign w:val="bottom"/>
          </w:tcPr>
          <w:p>
            <w:pPr>
              <w:ind w:left="20"/>
              <w:spacing w:after="0"/>
              <w:rPr>
                <w:sz w:val="20"/>
                <w:szCs w:val="20"/>
                <w:color w:val="auto"/>
              </w:rPr>
            </w:pPr>
            <w:r>
              <w:rPr>
                <w:rFonts w:ascii="Arial" w:cs="Arial" w:eastAsia="Arial" w:hAnsi="Arial"/>
                <w:sz w:val="18"/>
                <w:szCs w:val="18"/>
                <w:color w:val="auto"/>
              </w:rPr>
              <w:t>DESCRIPTION OF WARRANTS</w:t>
            </w:r>
          </w:p>
        </w:tc>
        <w:tc>
          <w:tcPr>
            <w:tcW w:w="240" w:type="dxa"/>
            <w:vAlign w:val="bottom"/>
          </w:tcPr>
          <w:p>
            <w:pPr>
              <w:ind w:lef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30"/>
        </w:trPr>
        <w:tc>
          <w:tcPr>
            <w:tcW w:w="10680" w:type="dxa"/>
            <w:vAlign w:val="bottom"/>
          </w:tcPr>
          <w:p>
            <w:pPr>
              <w:ind w:left="20"/>
              <w:spacing w:after="0"/>
              <w:rPr>
                <w:sz w:val="20"/>
                <w:szCs w:val="20"/>
                <w:color w:val="auto"/>
              </w:rPr>
            </w:pPr>
            <w:r>
              <w:rPr>
                <w:rFonts w:ascii="Arial" w:cs="Arial" w:eastAsia="Arial" w:hAnsi="Arial"/>
                <w:sz w:val="18"/>
                <w:szCs w:val="18"/>
                <w:color w:val="auto"/>
              </w:rPr>
              <w:t>DESCRIPTION OF DEBT SECURITIES</w:t>
            </w:r>
          </w:p>
        </w:tc>
        <w:tc>
          <w:tcPr>
            <w:tcW w:w="240" w:type="dxa"/>
            <w:vAlign w:val="bottom"/>
          </w:tcPr>
          <w:p>
            <w:pPr>
              <w:ind w:lef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30"/>
        </w:trPr>
        <w:tc>
          <w:tcPr>
            <w:tcW w:w="10680" w:type="dxa"/>
            <w:vAlign w:val="bottom"/>
          </w:tcPr>
          <w:p>
            <w:pPr>
              <w:ind w:left="20"/>
              <w:spacing w:after="0"/>
              <w:rPr>
                <w:sz w:val="20"/>
                <w:szCs w:val="20"/>
                <w:color w:val="auto"/>
              </w:rPr>
            </w:pPr>
            <w:r>
              <w:rPr>
                <w:rFonts w:ascii="Arial" w:cs="Arial" w:eastAsia="Arial" w:hAnsi="Arial"/>
                <w:sz w:val="18"/>
                <w:szCs w:val="18"/>
                <w:color w:val="auto"/>
              </w:rPr>
              <w:t>DESCRIPTION OF UNITS</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15</w:t>
            </w:r>
          </w:p>
        </w:tc>
      </w:tr>
      <w:tr>
        <w:trPr>
          <w:trHeight w:val="230"/>
        </w:trPr>
        <w:tc>
          <w:tcPr>
            <w:tcW w:w="10680" w:type="dxa"/>
            <w:vAlign w:val="bottom"/>
          </w:tcPr>
          <w:p>
            <w:pPr>
              <w:ind w:left="20"/>
              <w:spacing w:after="0"/>
              <w:rPr>
                <w:sz w:val="20"/>
                <w:szCs w:val="20"/>
                <w:color w:val="auto"/>
              </w:rPr>
            </w:pPr>
            <w:r>
              <w:rPr>
                <w:rFonts w:ascii="Arial" w:cs="Arial" w:eastAsia="Arial" w:hAnsi="Arial"/>
                <w:sz w:val="18"/>
                <w:szCs w:val="18"/>
                <w:color w:val="auto"/>
              </w:rPr>
              <w:t>PLAN OF DISTRIBUTION</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17</w:t>
            </w:r>
          </w:p>
        </w:tc>
      </w:tr>
      <w:tr>
        <w:trPr>
          <w:trHeight w:val="229"/>
        </w:trPr>
        <w:tc>
          <w:tcPr>
            <w:tcW w:w="10680" w:type="dxa"/>
            <w:vAlign w:val="bottom"/>
          </w:tcPr>
          <w:p>
            <w:pPr>
              <w:ind w:left="20"/>
              <w:spacing w:after="0"/>
              <w:rPr>
                <w:sz w:val="20"/>
                <w:szCs w:val="20"/>
                <w:color w:val="auto"/>
              </w:rPr>
            </w:pPr>
            <w:r>
              <w:rPr>
                <w:rFonts w:ascii="Arial" w:cs="Arial" w:eastAsia="Arial" w:hAnsi="Arial"/>
                <w:sz w:val="18"/>
                <w:szCs w:val="18"/>
                <w:color w:val="auto"/>
              </w:rPr>
              <w:t>LEGAL MATTERS</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18</w:t>
            </w:r>
          </w:p>
        </w:tc>
      </w:tr>
      <w:tr>
        <w:trPr>
          <w:trHeight w:val="230"/>
        </w:trPr>
        <w:tc>
          <w:tcPr>
            <w:tcW w:w="10680" w:type="dxa"/>
            <w:vAlign w:val="bottom"/>
          </w:tcPr>
          <w:p>
            <w:pPr>
              <w:ind w:left="20"/>
              <w:spacing w:after="0"/>
              <w:rPr>
                <w:sz w:val="20"/>
                <w:szCs w:val="20"/>
                <w:color w:val="auto"/>
              </w:rPr>
            </w:pPr>
            <w:r>
              <w:rPr>
                <w:rFonts w:ascii="Arial" w:cs="Arial" w:eastAsia="Arial" w:hAnsi="Arial"/>
                <w:sz w:val="18"/>
                <w:szCs w:val="18"/>
                <w:color w:val="auto"/>
              </w:rPr>
              <w:t>EXPERTS</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19</w:t>
            </w:r>
          </w:p>
        </w:tc>
      </w:tr>
      <w:tr>
        <w:trPr>
          <w:trHeight w:val="230"/>
        </w:trPr>
        <w:tc>
          <w:tcPr>
            <w:tcW w:w="10680" w:type="dxa"/>
            <w:vAlign w:val="bottom"/>
          </w:tcPr>
          <w:p>
            <w:pPr>
              <w:ind w:left="20"/>
              <w:spacing w:after="0"/>
              <w:rPr>
                <w:sz w:val="20"/>
                <w:szCs w:val="20"/>
                <w:color w:val="auto"/>
              </w:rPr>
            </w:pPr>
            <w:r>
              <w:rPr>
                <w:rFonts w:ascii="Arial" w:cs="Arial" w:eastAsia="Arial" w:hAnsi="Arial"/>
                <w:sz w:val="18"/>
                <w:szCs w:val="18"/>
                <w:color w:val="auto"/>
              </w:rPr>
              <w:t>WHERE YOU CAN FIND MORE INFORMATION</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19</w:t>
            </w:r>
          </w:p>
        </w:tc>
      </w:tr>
      <w:tr>
        <w:trPr>
          <w:trHeight w:val="230"/>
        </w:trPr>
        <w:tc>
          <w:tcPr>
            <w:tcW w:w="10680" w:type="dxa"/>
            <w:vAlign w:val="bottom"/>
          </w:tcPr>
          <w:p>
            <w:pPr>
              <w:ind w:left="20"/>
              <w:spacing w:after="0"/>
              <w:rPr>
                <w:sz w:val="20"/>
                <w:szCs w:val="20"/>
                <w:color w:val="auto"/>
              </w:rPr>
            </w:pPr>
            <w:r>
              <w:rPr>
                <w:rFonts w:ascii="Arial" w:cs="Arial" w:eastAsia="Arial" w:hAnsi="Arial"/>
                <w:sz w:val="18"/>
                <w:szCs w:val="18"/>
                <w:color w:val="auto"/>
              </w:rPr>
              <w:t>INFORMATION INCORPORATED BY REFERENCE</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020"/>
          </w:cols>
          <w:pgMar w:left="320" w:top="999"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This prospectus supplement is part of a registration statement that we have filed with the U.S. Securities and Exchange Commission, or the SEC, utilizing a “shelf registration” process. By using a shelf registration statement, we may offer shares of our common stock having an aggregate offering price of up to $19,000,000 from time to time under this prospectus at prices and on terms to be determined by market conditions at the time of offering.</w:t>
      </w:r>
    </w:p>
    <w:p>
      <w:pPr>
        <w:spacing w:after="0" w:line="120"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We provide information to you about this offering of shares of our common stock in two separate documents that are bound together: (1) this prospectus supplement, which describes the specific details regarding this offering and our sales agreement;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the information in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12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supplement and in any free writing prospectus that we may authorize for use in connection with this offering. We have not, and the Agent has not, authorized any other person to provide you with different information. If anyone provides you with different or inconsistent information, you should not rely on it. We are not, and the Agent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This prospectus incorporates by reference, and any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and any related free writing prospectus, and under similar headings in the other documents that are incorporated by reference into this prospectus. Accordingly, investors should not place undue reliance on this information.</w:t>
      </w:r>
    </w:p>
    <w:p>
      <w:pPr>
        <w:spacing w:after="0" w:line="13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Incorporation by Reference.”</w:t>
      </w:r>
    </w:p>
    <w:p>
      <w:pPr>
        <w:spacing w:after="0" w:line="13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When we refer to “Cumberland,” “we,” “our,” “us” and the “Company” in this prospectus, we mean Cumberland Pharmaceuticals Inc. and its consolidated subsidiaries, unless otherwise specified. When we refer to “you,” we mean the holders of our common stock.</w:t>
      </w:r>
    </w:p>
    <w:p>
      <w:pPr>
        <w:spacing w:after="0" w:line="12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Some of our trademarks and service marks are used in this prospectus. This prospectus may also include trademarks, tradenames, and service marks that are the property of other organizations. Solely for convenience, our trademarks and tradenames referred to in this prospectus may appear without the ® and TM 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S-1</w:t>
      </w:r>
    </w:p>
    <w:p>
      <w:pPr>
        <w:sectPr>
          <w:pgSz w:w="11900" w:h="16838" w:orient="portrait"/>
          <w:cols w:equalWidth="0" w:num="1">
            <w:col w:w="11240"/>
          </w:cols>
          <w:pgMar w:left="320" w:top="86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40575" cy="2031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031365"/>
                    </a:xfrm>
                    <a:prstGeom prst="rect">
                      <a:avLst/>
                    </a:prstGeom>
                    <a:noFill/>
                  </pic:spPr>
                </pic:pic>
              </a:graphicData>
            </a:graphic>
          </wp:anchor>
        </w:drawing>
        <w:t>PROSPECTUS SUPPLEMENT SUMMARY</w:t>
      </w:r>
    </w:p>
    <w:p>
      <w:pPr>
        <w:spacing w:after="0" w:line="14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7"/>
          <w:szCs w:val="17"/>
          <w:i w:val="1"/>
          <w:iCs w:val="1"/>
          <w:color w:val="auto"/>
        </w:rPr>
        <w:t>This summary provides a general overview of selected information and does not contain all of the information you should consider before buying our common stock. Therefore, you should read the entire prospectus and any free writing prospectus that we have authorized for use in connection with this offering carefully, including the information incorporated by reference, before deciding to invest in our common stock. Investors should carefully consider the information set forth under “Risk Factors” beginning on page S-4 of this prospectus supplement, on page 2 of the prospectus and in our annual report on Form 10-K and our quarterly reports on Form 10-Q incorporated by reference herein.</w:t>
      </w:r>
    </w:p>
    <w:p>
      <w:pPr>
        <w:spacing w:after="0" w:line="13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Cumberland is a specialty pharmaceutical company focused on the acquisition, development and commercialization of branded prescription products. Our primary target markets are hospital acute care, gastroenterology and rheumatology.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Tennessee corporation. Our principal executive offices are located at 2525 West End Avenue, Suite 950, Nashville, Tennessee 37203.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Our telephone number is (615) 255-0068.</w:t>
      </w:r>
    </w:p>
    <w:p>
      <w:pPr>
        <w:spacing w:after="0" w:line="12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u w:val="single" w:color="auto"/>
          <w:color w:val="0000FF"/>
        </w:rPr>
        <w:t>www.cumberlandpharma.com</w:t>
      </w:r>
      <w:r>
        <w:rPr>
          <w:rFonts w:ascii="Arial" w:cs="Arial" w:eastAsia="Arial" w:hAnsi="Arial"/>
          <w:sz w:val="18"/>
          <w:szCs w:val="18"/>
          <w:color w:val="auto"/>
        </w:rPr>
        <w:t>, which contains information about us. Our website and the information contained on it and connected to it will not be deemed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00"/>
          </w:cols>
          <w:pgMar w:left="400" w:top="931"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40575"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188595"/>
                    </a:xfrm>
                    <a:prstGeom prst="rect">
                      <a:avLst/>
                    </a:prstGeom>
                    <a:noFill/>
                  </pic:spPr>
                </pic:pic>
              </a:graphicData>
            </a:graphic>
          </wp:anchor>
        </w:drawing>
        <w:t>THE OFFERING</w:t>
      </w:r>
    </w:p>
    <w:p>
      <w:pPr>
        <w:spacing w:after="0" w:line="81" w:lineRule="exact"/>
        <w:rPr>
          <w:sz w:val="20"/>
          <w:szCs w:val="20"/>
          <w:color w:val="auto"/>
        </w:rPr>
      </w:pPr>
    </w:p>
    <w:p>
      <w:pPr>
        <w:jc w:val="both"/>
        <w:ind w:left="20" w:right="40"/>
        <w:spacing w:after="0" w:line="257" w:lineRule="auto"/>
        <w:rPr>
          <w:sz w:val="20"/>
          <w:szCs w:val="20"/>
          <w:color w:val="auto"/>
        </w:rPr>
      </w:pPr>
      <w:r>
        <w:rPr>
          <w:rFonts w:ascii="Arial" w:cs="Arial" w:eastAsia="Arial" w:hAnsi="Arial"/>
          <w:sz w:val="18"/>
          <w:szCs w:val="18"/>
          <w:color w:val="auto"/>
        </w:rPr>
        <w:t>The following description contains basic information about our common stock and this offering. This description is not complete and does not contain all of the information that you should consider before making a decision to invest in our common stock. For a more complete understanding of our common stock, you should read the section entitled “Description of Capital Stock” beginning on page 5 of the accompanying prospectus. To the extent the following information is inconsistent with the information in the accompanying prospectus, the information in this prospectus supplement supersedes such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Issuer</w:t>
            </w:r>
          </w:p>
        </w:tc>
        <w:tc>
          <w:tcPr>
            <w:tcW w:w="5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Cumberland Pharmaceuticals, Inc.</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spacing w:after="0"/>
              <w:rPr>
                <w:sz w:val="19"/>
                <w:szCs w:val="19"/>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Shares of our common stock having an aggregate offering price of up to</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 offered by us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$19,000,000.</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spacing w:after="0"/>
              <w:rPr>
                <w:sz w:val="19"/>
                <w:szCs w:val="19"/>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“At the market offering” that may be made from time to time through or to,</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B. Riley Securities, as sales agent or principal. See “Plan of Distribution” on</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Manner of offering</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page S-9.</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spacing w:after="0"/>
              <w:rPr>
                <w:sz w:val="19"/>
                <w:szCs w:val="19"/>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We intend to use the net proceeds, if any, from this offering for working</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capital and general corporate purposes, including research and development</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Use of Proceeds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expenses and capital expenditures. See “Use of Proceeds” on page S-5.</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spacing w:after="0"/>
              <w:rPr>
                <w:sz w:val="19"/>
                <w:szCs w:val="19"/>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You should read the “Risk Factors” section of this prospectus supplement,</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the prospectus and in the documents incorporated by reference in this</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prospectus for a discussion of factors to consider before deciding to purchase</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Risk Factors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 of our common stock.</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Symbol on the NASDAQ Global Market</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CPIX</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320" w:top="837"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FACTORS</w:t>
      </w:r>
    </w:p>
    <w:p>
      <w:pPr>
        <w:jc w:val="both"/>
        <w:ind w:firstLine="648"/>
        <w:spacing w:after="0" w:line="220" w:lineRule="auto"/>
        <w:rPr>
          <w:sz w:val="20"/>
          <w:szCs w:val="20"/>
          <w:color w:val="auto"/>
        </w:rPr>
      </w:pPr>
      <w:r>
        <w:rPr>
          <w:rFonts w:ascii="Arial" w:cs="Arial" w:eastAsia="Arial" w:hAnsi="Arial"/>
          <w:sz w:val="17"/>
          <w:szCs w:val="17"/>
          <w:i w:val="1"/>
          <w:iCs w:val="1"/>
          <w:color w:val="auto"/>
        </w:rPr>
        <w:t>You should consider carefully the risks described below and discussed under the section captioned “Risk Factors” contained in our annual report on Form 10-K for the year ended December 31, 2020 and in our quarterly reports for the quarterly periods ended March 31, 2021, June 30, 2021 and September 30, 2021 as updated by our subsequent filings under the Securities Exchange Act of 1934, as amended, or the Exchange Act, each of which is incorporated by reference in this prospectus in its entirety,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results of operations, financial condition or prospects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Our management will have broad discretion over the use of proceeds from this offering. We intend to use the net proceeds, if any, from this offering for working capital and general corporate purposes, including research and development expenses and capital expenditures. However, we have not determined the specific allocation of the net proceeds among these potential uses.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5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You may experience immediate and substantial dilution in the net tangible book value per share of the common stock you purchase.</w:t>
      </w:r>
    </w:p>
    <w:p>
      <w:pPr>
        <w:spacing w:after="0" w:line="100"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The price per share of our common stock being offered may be higher than the net tangible book value per share of our common stock outstanding prior to this offering. Assuming that an aggregate of 3,710,937.5 shares are sold at a price of $5.12 per share, the last reported sale price of our common stock on The NASDAQ Global Market on December 23, 2021, for aggregate proceeds of up to $19,000,000 in this offering, and after deducting commissions and estimated aggregate offering expenses payable by us, you will suffer immediate and substantial dilution of $3.01 per share, representing the difference between the as adjusted net tangible book value per share of our common stock as of September 30, 2021 after giving effect to this offering and the assumed offering price. See the section entitled “Dilution” below for a more detailed discussion of the dilution you will incur if you purchase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40"/>
          </w:cols>
          <w:pgMar w:left="320" w:top="852"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USE OF PROCEEDS</w:t>
      </w:r>
    </w:p>
    <w:p>
      <w:pPr>
        <w:jc w:val="both"/>
        <w:ind w:firstLine="648"/>
        <w:spacing w:after="0" w:line="212" w:lineRule="auto"/>
        <w:rPr>
          <w:sz w:val="20"/>
          <w:szCs w:val="20"/>
          <w:color w:val="auto"/>
        </w:rPr>
      </w:pPr>
      <w:r>
        <w:rPr>
          <w:rFonts w:ascii="Arial" w:cs="Arial" w:eastAsia="Arial" w:hAnsi="Arial"/>
          <w:sz w:val="18"/>
          <w:szCs w:val="18"/>
          <w:color w:val="auto"/>
        </w:rPr>
        <w:t>We may issue and sell shares of our common stock having aggregate sales proceeds of up to $25 million from time to time. The amount of proceeds from this offering will depend upon the number of shares of our common stock sold and the market price at which they are sold. There can be no assurance that we will be able to sell any shares under or fully utilize the sales agreement with the Agent as a source of financing. We intend to use the net proceeds, if any, from this offering for working capital and general corporate purposes, including research and development expenses and capital expenditures.</w:t>
      </w:r>
    </w:p>
    <w:p>
      <w:pPr>
        <w:spacing w:after="0" w:line="12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The amounts and timing of our actual expenditures will depend on numerous factors,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short-term,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320" w:top="85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DILUTION</w:t>
      </w:r>
    </w:p>
    <w:p>
      <w:pPr>
        <w:spacing w:after="0" w:line="189"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color w:val="auto"/>
        </w:rPr>
        <w:t>Our net tangible book value as of September 30, 2021, was approximately $20.8 million, or $1.40 per share. Net tangible book value per share is determined by dividing our total tangible assets, less total liabilities, by the number of shares of our common stock outstanding as of September 30, 2021.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62"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After giving effect to the sale of our common stock in the aggregate amount of $19 million in this offering at an assumed offering price of $5.12, the last reported sale price of our common stock on The NASDAQ Global Market on December 23, 2021, and after deducting commissions and estimated aggregate offering expenses payable by us, our as adjusted net tangible book value as of September 30, 2021, would have been approximately $39 million, or $2.11 per share. This represents an immediate increase in net tangible book value of $0.71 per share to existing stockholders and immediate dilution in net tangible book value of $3.01 per share to new investors purchasing our common stock in this offering. The following table illustrates this dilution on a per share basis:</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public offering price per share</w:t>
            </w:r>
          </w:p>
        </w:tc>
        <w:tc>
          <w:tcPr>
            <w:tcW w:w="4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$5.12</w:t>
            </w:r>
          </w:p>
        </w:tc>
      </w:tr>
      <w:tr>
        <w:trPr>
          <w:trHeight w:val="243"/>
        </w:trPr>
        <w:tc>
          <w:tcPr>
            <w:tcW w:w="6320" w:type="dxa"/>
            <w:vAlign w:val="bottom"/>
          </w:tcPr>
          <w:p>
            <w:pPr>
              <w:ind w:left="440"/>
              <w:spacing w:after="0"/>
              <w:rPr>
                <w:sz w:val="20"/>
                <w:szCs w:val="20"/>
                <w:color w:val="auto"/>
              </w:rPr>
            </w:pPr>
            <w:r>
              <w:rPr>
                <w:rFonts w:ascii="Arial" w:cs="Arial" w:eastAsia="Arial" w:hAnsi="Arial"/>
                <w:sz w:val="18"/>
                <w:szCs w:val="18"/>
                <w:color w:val="auto"/>
              </w:rPr>
              <w:t>Net tangible book value per share as of September 30, 2021</w:t>
            </w:r>
          </w:p>
        </w:tc>
        <w:tc>
          <w:tcPr>
            <w:tcW w:w="4120" w:type="dxa"/>
            <w:vAlign w:val="bottom"/>
          </w:tcPr>
          <w:p>
            <w:pPr>
              <w:jc w:val="right"/>
              <w:ind w:right="2070"/>
              <w:spacing w:after="0"/>
              <w:rPr>
                <w:sz w:val="20"/>
                <w:szCs w:val="20"/>
                <w:color w:val="auto"/>
              </w:rPr>
            </w:pPr>
            <w:r>
              <w:rPr>
                <w:rFonts w:ascii="Arial" w:cs="Arial" w:eastAsia="Arial" w:hAnsi="Arial"/>
                <w:sz w:val="18"/>
                <w:szCs w:val="18"/>
                <w:color w:val="auto"/>
              </w:rPr>
              <w:t>$1.40</w:t>
            </w:r>
          </w:p>
        </w:tc>
      </w:tr>
      <w:tr>
        <w:trPr>
          <w:trHeight w:val="27"/>
        </w:trPr>
        <w:tc>
          <w:tcPr>
            <w:tcW w:w="632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Increase per share attributable to new investors</w:t>
            </w:r>
          </w:p>
        </w:tc>
        <w:tc>
          <w:tcPr>
            <w:tcW w:w="4120" w:type="dxa"/>
            <w:vAlign w:val="bottom"/>
            <w:tcBorders>
              <w:bottom w:val="single" w:sz="8" w:color="CCEEFF"/>
            </w:tcBorders>
            <w:shd w:val="clear" w:color="auto" w:fill="CCEEFF"/>
          </w:tcPr>
          <w:p>
            <w:pPr>
              <w:jc w:val="right"/>
              <w:ind w:right="2070"/>
              <w:spacing w:after="0"/>
              <w:rPr>
                <w:sz w:val="20"/>
                <w:szCs w:val="20"/>
                <w:color w:val="auto"/>
              </w:rPr>
            </w:pPr>
            <w:r>
              <w:rPr>
                <w:rFonts w:ascii="Arial" w:cs="Arial" w:eastAsia="Arial" w:hAnsi="Arial"/>
                <w:sz w:val="18"/>
                <w:szCs w:val="18"/>
                <w:color w:val="auto"/>
              </w:rPr>
              <w:t>$0.71</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4120" w:type="dxa"/>
            <w:vAlign w:val="bottom"/>
          </w:tcPr>
          <w:p>
            <w:pPr>
              <w:jc w:val="right"/>
              <w:ind w:right="890"/>
              <w:spacing w:after="0"/>
              <w:rPr>
                <w:sz w:val="20"/>
                <w:szCs w:val="20"/>
                <w:color w:val="auto"/>
              </w:rPr>
            </w:pPr>
            <w:r>
              <w:rPr>
                <w:rFonts w:ascii="Arial" w:cs="Arial" w:eastAsia="Arial" w:hAnsi="Arial"/>
                <w:sz w:val="18"/>
                <w:szCs w:val="18"/>
                <w:color w:val="auto"/>
              </w:rPr>
              <w:t>$2.11</w:t>
            </w:r>
          </w:p>
        </w:tc>
      </w:tr>
      <w:tr>
        <w:trPr>
          <w:trHeight w:val="27"/>
        </w:trPr>
        <w:tc>
          <w:tcPr>
            <w:tcW w:w="632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w:t>
            </w:r>
          </w:p>
        </w:tc>
        <w:tc>
          <w:tcPr>
            <w:tcW w:w="4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$3.01</w:t>
            </w:r>
          </w:p>
        </w:tc>
      </w:tr>
      <w:tr>
        <w:trPr>
          <w:trHeight w:val="27"/>
        </w:trPr>
        <w:tc>
          <w:tcPr>
            <w:tcW w:w="63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color w:val="auto"/>
        </w:rPr>
        <w:t>The shares sold in this offering, if any, will be sold from time to time at various prices. An increase of $1.00 per share in the price at which the shares are sold from the assumed offering price of $5.12 per share shown in the table above, assuming all of our common stock in the aggregate amount of $19 million is sold at that price, would increase our as adjusted net tangible book value per share after the offering to $2.19 per share and would increase the dilution in net tangible book value per share to new investors to $3.93 per share, after deducting commissions and estimated aggregate offering expenses payable by us. A decrease of $1.00 per share in the price at which the shares are sold from the assumed offering price of $5.12 per share shown in the table above, assuming all of our common stock in the aggregate amount of $19 million is sold at that price, would cause our as adjusted net tangible book value per share after the offering to be $2.02 per share and would decrease the dilution in net tangible book value per share to new investors to $2.10 per share, after deducting commissions and estimated aggregate offering expenses payable by us. This information is supplied for illustrative purposes only.</w:t>
      </w:r>
    </w:p>
    <w:p>
      <w:pPr>
        <w:spacing w:after="0" w:line="167"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color w:val="auto"/>
        </w:rPr>
        <w:t>To the extent that outstanding options or warrants are exercised or outstanding restricted stock units vest,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above discussion and table are based on 14,850,526 shares of common stock outstanding as of September 30, 2021, and exclude as of that date:</w:t>
      </w:r>
    </w:p>
    <w:p>
      <w:pPr>
        <w:spacing w:after="0" w:line="383" w:lineRule="exact"/>
        <w:rPr>
          <w:sz w:val="20"/>
          <w:szCs w:val="20"/>
          <w:color w:val="auto"/>
        </w:rPr>
      </w:pPr>
    </w:p>
    <w:p>
      <w:pPr>
        <w:ind w:left="980" w:right="220" w:hanging="401"/>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161,350 options outstanding and exercisable at various prices per share as of September 30, 2021. These options outstanding will all expire before the end of 2031 .</w:t>
      </w:r>
    </w:p>
    <w:p>
      <w:pPr>
        <w:spacing w:after="0" w:line="332" w:lineRule="exact"/>
        <w:rPr>
          <w:rFonts w:ascii="Arial" w:cs="Arial" w:eastAsia="Arial" w:hAnsi="Arial"/>
          <w:sz w:val="18"/>
          <w:szCs w:val="18"/>
          <w:color w:val="auto"/>
        </w:rPr>
      </w:pPr>
    </w:p>
    <w:p>
      <w:pPr>
        <w:ind w:left="980" w:hanging="401"/>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568,031 nonvested shares of restricted stock issued under the 2007 Plan and Directors’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320" w:top="75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jc w:val="both"/>
        <w:ind w:firstLine="648"/>
        <w:spacing w:after="0" w:line="219" w:lineRule="auto"/>
        <w:rPr>
          <w:sz w:val="20"/>
          <w:szCs w:val="20"/>
          <w:color w:val="auto"/>
        </w:rPr>
      </w:pPr>
      <w:r>
        <w:rPr>
          <w:rFonts w:ascii="Arial" w:cs="Arial" w:eastAsia="Arial" w:hAnsi="Arial"/>
          <w:sz w:val="17"/>
          <w:szCs w:val="17"/>
          <w:color w:val="auto"/>
        </w:rPr>
        <w:t>Certain information included in this prospectus may be deemed to be forward-looking statements. Where any forward-looking statement includes a statement of the assumptions or bases underlying the forward-looking statement, we caution that, while we believe these assumptions or bases to be reasonable and made in good faith, assumed facts or bases almost always vary from the actual results, and the differences between assumed facts or bases and actual results can be material, depending upon the circumstances. Where, in any forward-looking statement, we express an expectation or belief as to future results, such expectation or belief is expressed in good faith and is believed to have a reasonable basis. We cannot assure you, however, that the statement of expectation or belief will result or be achieved or accomplished. These statements relate to analyses and other information which are based on forecasts of future results and estimates of amounts not yet determinable. These statements also relate to our future prospects, developments and business strategies. These forward-looking statements are identified by their use of terms and phrases such as “anticipate,” “believe,” “could,” “estimate,” “expect,” “intend,” “may,” “plan,” “predict,” “project,” “will,” and similar terms and phrases,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2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35" w:lineRule="exact"/>
        <w:rPr>
          <w:sz w:val="20"/>
          <w:szCs w:val="20"/>
          <w:color w:val="auto"/>
        </w:rPr>
      </w:pPr>
    </w:p>
    <w:p>
      <w:pPr>
        <w:ind w:left="1300" w:hanging="320"/>
        <w:spacing w:after="0" w:line="235"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possible or assumed future results of operations, including the accuracy of our estimates regarding expenses, future revenues, capital requirements and needs for additional financing;</w:t>
      </w:r>
    </w:p>
    <w:p>
      <w:pPr>
        <w:spacing w:after="0" w:line="121"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national or regional economic conditions, including changes in interest rates and the availability and the cost of capital to us;</w:t>
      </w:r>
    </w:p>
    <w:p>
      <w:pPr>
        <w:spacing w:after="0" w:line="167" w:lineRule="exact"/>
        <w:rPr>
          <w:rFonts w:ascii="Arial" w:cs="Arial" w:eastAsia="Arial" w:hAnsi="Arial"/>
          <w:sz w:val="16"/>
          <w:szCs w:val="16"/>
          <w:color w:val="auto"/>
        </w:rPr>
      </w:pPr>
    </w:p>
    <w:p>
      <w:pPr>
        <w:jc w:val="both"/>
        <w:ind w:left="1300" w:hanging="320"/>
        <w:spacing w:after="0" w:line="224"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extent of the impact of the COVID-19 pandemic, including the duration and any recurrence of the COVID-19 pandemic, the duration and scope of related government orders and restrictions, the impact on our employees, and the extent of the impact of the COVID-19 pandemic on overall demand for our key products;</w:t>
      </w:r>
    </w:p>
    <w:p>
      <w:pPr>
        <w:spacing w:after="0" w:line="135" w:lineRule="exact"/>
        <w:rPr>
          <w:rFonts w:ascii="Arial" w:cs="Arial" w:eastAsia="Arial" w:hAnsi="Arial"/>
          <w:sz w:val="18"/>
          <w:szCs w:val="18"/>
          <w:color w:val="auto"/>
        </w:rPr>
      </w:pPr>
    </w:p>
    <w:p>
      <w:pPr>
        <w:ind w:left="1300" w:hanging="320"/>
        <w:spacing w:after="0" w:line="235"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on our suppliers, including any disruptions and inefficiencies in the supply chain for our products;</w:t>
      </w:r>
    </w:p>
    <w:p>
      <w:pPr>
        <w:spacing w:after="0" w:line="121"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competitive position and competitors, including the size and growth potential of the markets for our products and product candidates;</w:t>
      </w:r>
    </w:p>
    <w:p>
      <w:pPr>
        <w:spacing w:after="0" w:line="167" w:lineRule="exact"/>
        <w:rPr>
          <w:rFonts w:ascii="Arial" w:cs="Arial" w:eastAsia="Arial" w:hAnsi="Arial"/>
          <w:sz w:val="16"/>
          <w:szCs w:val="16"/>
          <w:color w:val="auto"/>
        </w:rPr>
      </w:pPr>
    </w:p>
    <w:p>
      <w:pPr>
        <w:ind w:left="1300" w:right="20" w:hanging="320"/>
        <w:spacing w:after="0" w:line="235"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cost and timing of our product acquisition and development activities and clinical trials; and our ability to successfully commercialize our product candidates;</w:t>
      </w:r>
    </w:p>
    <w:p>
      <w:pPr>
        <w:spacing w:after="0" w:line="134"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obtain FDA approval for any desired future indications for our products;</w:t>
      </w:r>
    </w:p>
    <w:p>
      <w:pPr>
        <w:spacing w:after="0" w:line="144" w:lineRule="exact"/>
        <w:rPr>
          <w:rFonts w:ascii="Arial" w:cs="Arial" w:eastAsia="Arial" w:hAnsi="Arial"/>
          <w:sz w:val="18"/>
          <w:szCs w:val="18"/>
          <w:color w:val="auto"/>
        </w:rPr>
      </w:pPr>
    </w:p>
    <w:p>
      <w:pPr>
        <w:ind w:left="1300" w:hanging="320"/>
        <w:spacing w:after="0" w:line="235"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efficacy or safety concerns, whether or not based on scientific evidence, resulting in product withdrawals, recalls, regulatory action on the part of the FDA (or international counterparts) or declining sales;</w:t>
      </w:r>
    </w:p>
    <w:p>
      <w:pPr>
        <w:spacing w:after="0" w:line="121" w:lineRule="exact"/>
        <w:rPr>
          <w:rFonts w:ascii="Arial" w:cs="Arial" w:eastAsia="Arial" w:hAnsi="Arial"/>
          <w:sz w:val="18"/>
          <w:szCs w:val="18"/>
          <w:color w:val="auto"/>
        </w:rPr>
      </w:pPr>
    </w:p>
    <w:p>
      <w:pPr>
        <w:ind w:left="1300" w:hanging="320"/>
        <w:spacing w:after="0" w:line="235"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 which impacts our supply chain and could create business shutdowns or product shortages; and the retention of key scientific and management personnel;</w:t>
      </w:r>
    </w:p>
    <w:p>
      <w:pPr>
        <w:spacing w:after="0" w:line="134" w:lineRule="exact"/>
        <w:rPr>
          <w:rFonts w:ascii="Arial" w:cs="Arial" w:eastAsia="Arial" w:hAnsi="Arial"/>
          <w:sz w:val="18"/>
          <w:szCs w:val="18"/>
          <w:color w:val="auto"/>
        </w:rPr>
      </w:pPr>
    </w:p>
    <w:p>
      <w:pPr>
        <w:ind w:left="1300" w:hanging="320"/>
        <w:spacing w:after="0" w:line="289" w:lineRule="auto"/>
        <w:tabs>
          <w:tab w:leader="none" w:pos="1295"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Challenges to our patents and the introduction of generic versions of our products and product candidates, which could negatively impact our ability to commercialize and sell our products and product candidates and decrease sales as a result of market exclusivity;</w:t>
      </w:r>
    </w:p>
    <w:p>
      <w:pPr>
        <w:spacing w:after="0" w:line="83" w:lineRule="exact"/>
        <w:rPr>
          <w:rFonts w:ascii="Arial" w:cs="Arial" w:eastAsia="Arial" w:hAnsi="Arial"/>
          <w:sz w:val="16"/>
          <w:szCs w:val="16"/>
          <w:color w:val="auto"/>
        </w:rPr>
      </w:pPr>
    </w:p>
    <w:p>
      <w:pPr>
        <w:jc w:val="both"/>
        <w:ind w:left="1300" w:hanging="320"/>
        <w:spacing w:after="0" w:line="224"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spacing w:after="0" w:line="122" w:lineRule="exact"/>
        <w:rPr>
          <w:rFonts w:ascii="Arial" w:cs="Arial" w:eastAsia="Arial" w:hAnsi="Arial"/>
          <w:sz w:val="18"/>
          <w:szCs w:val="18"/>
          <w:color w:val="auto"/>
        </w:rPr>
      </w:pPr>
    </w:p>
    <w:p>
      <w:pPr>
        <w:jc w:val="both"/>
        <w:ind w:left="1300" w:hanging="320"/>
        <w:spacing w:after="0" w:line="219"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w:t>
      </w:r>
    </w:p>
    <w:p>
      <w:pPr>
        <w:spacing w:after="0" w:line="135" w:lineRule="exact"/>
        <w:rPr>
          <w:rFonts w:ascii="Arial" w:cs="Arial" w:eastAsia="Arial" w:hAnsi="Arial"/>
          <w:sz w:val="18"/>
          <w:szCs w:val="18"/>
          <w:color w:val="auto"/>
        </w:rPr>
      </w:pPr>
    </w:p>
    <w:p>
      <w:pPr>
        <w:ind w:left="1300" w:hanging="320"/>
        <w:spacing w:after="0" w:line="235"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Issuance of new or revised accounting standards by the Financial Accounting Standards Board and the Securities and Exchange Commission; and</w:t>
      </w:r>
    </w:p>
    <w:p>
      <w:pPr>
        <w:spacing w:after="0" w:line="121"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Other risks and uncertainties, included those listed under “Risk Factors” on page S-4 and page 2 of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320" w:top="852" w:right="339" w:bottom="1440" w:gutter="0" w:footer="0" w:header="0"/>
        </w:sectPr>
      </w:pPr>
    </w:p>
    <w:bookmarkStart w:id="9" w:name="page10"/>
    <w:bookmarkEnd w:id="9"/>
    <w:p>
      <w:pPr>
        <w:jc w:val="both"/>
        <w:ind w:firstLine="648"/>
        <w:spacing w:after="0" w:line="224" w:lineRule="auto"/>
        <w:rPr>
          <w:sz w:val="20"/>
          <w:szCs w:val="20"/>
          <w:color w:val="auto"/>
        </w:rPr>
      </w:pPr>
      <w:r>
        <w:rPr>
          <w:rFonts w:ascii="Arial" w:cs="Arial" w:eastAsia="Arial" w:hAnsi="Arial"/>
          <w:sz w:val="18"/>
          <w:szCs w:val="18"/>
          <w:color w:val="auto"/>
        </w:rPr>
        <w:t>We undertake no obligation to publicly update or revise any forward-looking statements, whether as a result of new information or otherwise. If one or more of these risks or uncertainties materialize, or if underlying assumptions prove incorrect, our actual results may vary materially from those expected, estimated or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320" w:top="76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On November 7, 2017 we entered into the sales agreement (as amended by Amendment No. 1 to the sales agreement, dated December 27, 2021) with the Agent under which we may issue and sell our common stock from time to time through or to the Agent acting as sales agent or principal. Sales of shares of our common stock, if any, under this prospectus may be made by any method that is deemed an “at the market offering” as defined in Rule 415 promulgated under the Securities Act. We may instruct the Agent not to sell common stock if the sales cannot be effected at or above the price designated by us from time to time. We or the Agent may suspend the offering of common stock upon notice and subject to other conditions. Under this prospectus supplement and the accompanying prospectus, and in accordance with the terms of the Sales Agreement, we may offer and sell up to $19,000,000 of shares of our common stock from and after the date hereof.</w:t>
      </w:r>
    </w:p>
    <w:p>
      <w:pPr>
        <w:spacing w:after="0" w:line="13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The Agent will offer our common stock subject to the terms and conditions of the sales agreement as agreed upon by us and the Agent. Each time we wish to issue and sell common stock under the sales agreement, we will notify the Agent of the number or dollar value of shares to be issued, the time period during which such sales are requested to be made, any limitation on the number of shares that may be sold in one day, any minimum price below which sales may not be made and other sales parameters as we deem appropriate. Once we have so instructed the Agent, unless the Agent declines to accept the terms of the notice, the Agent has agreed to use its commercially reasonable efforts consistent with its normal trading and sales practices to sell such shares up to the amount specified on such terms. The obligations of the Agent under the sales agreement to sell our common stock are subject to a number of conditions that we must meet.</w:t>
      </w:r>
    </w:p>
    <w:p>
      <w:pPr>
        <w:spacing w:after="0" w:line="12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We will pay the Agent commissions for its services in acting as agent in the sale of common stock at a commission rate equal to 3.0% of the gross sales price per share sold. Because there is no minimum offering amount required as a condition to close this offering, the actual total public offering amount, commissions and proceeds to us, if any, are not determinable at this time. In addition, we have also agreed to reimburse the Agent for certain specified expenses, including the fees and disbursements of its legal counsel, paid incident to the performance of its obligations under the amended sales agreement, in an amount not to exceed, up to $35,000 for reasonable out-of-pocket fees and disbursements of the Agent’s counsel, $40,000 in connection with Amendment No. 1 to the sales agreement and $2,500 in the aggregate per calendar quarter in connection with ongoing diligence arising from the transactions contemplated by the sales agreement. We estimate that the total expenses for the offering, excluding commissions and reimbursements payable to the Agent under the terms of the sales agreement, will be approximately $35,000. The remaining sale proceeds, after deducting any other transaction fees, will equal our net proceeds from the sale of such shares.</w:t>
      </w:r>
    </w:p>
    <w:p>
      <w:pPr>
        <w:spacing w:after="0" w:line="12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Settlement for sales of common stock will generally occur on the second business day following the date on which any sales are made, or on some other date that is agreed upon by us and the Agent in connection with a particular transaction, in return for payment of the net proceeds to us. Shares of our common stock as contemplated in this prospectus supplement will be settled through the facilities of Depository Trust Company or by such means as we and the Agent may agree upon. There is no arrangement for funds to be received in an escrow, trust or similar arrangement.</w:t>
      </w:r>
    </w:p>
    <w:p>
      <w:pPr>
        <w:spacing w:after="0" w:line="13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sale of the common stock on our behalf, the Agent will be an “underwriter” within the meaning of the Securities Act and the compensation of the Agent will be deemed to be underwriting commissions or discounts. We have agreed to provide indemnification and contribution to the Agent against certain civil liabilities, including liabilities under the Securities Act.</w:t>
      </w:r>
    </w:p>
    <w:p>
      <w:pPr>
        <w:spacing w:after="0" w:line="12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offering of our common stock pursuant to the sales agreement will terminate upon the earlier of (i) the sale of all of our common stock subject to the sales agreement or (ii) termination of the sales agreement as provided therein.</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Agent and its affiliates may in the future provide various investment banking and other financial services for us and our affiliates, for which services they may in the future receive customary fees.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summary of the material provisions of the sales agreement does not purport to be a complete statement of its terms and conditions.</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 prospectus and the accompanying base prospectus in electronic format may be made available on a website maintained by the Agent, and the Agent may distribute the prospectus and the accompanying base prospectus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320" w:top="8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Baker, Donelson, Bearman, Caldwell &amp; Berkowitz, PC will pass upon certain legal matters relating to the issuance and sale of the securities offered hereby on behalf of Cumberland Pharmaceuticals Inc. The Agent is being represented in connection with this offering by Duane Morris LLP.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consolidated financial statements and schedule of Cumberland Pharmaceuticals Inc. as of December 31, 2020 and 2019, and for each of the three years in the period ended December 31, 2020, incorporated by reference in this prospectus supplement have been so incorporated in reliance on the reports of BDO USA, LLP and BKD, LLP, independent registered public accounting firms, incorporated herein by reference, given on the authority of said firms as experts in auditing and accounting.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 xml:space="preserve">We file reports, proxy statements and other information with the SEC. Our SEC filings are available at </w:t>
      </w:r>
      <w:r>
        <w:rPr>
          <w:rFonts w:ascii="Arial" w:cs="Arial" w:eastAsia="Arial" w:hAnsi="Arial"/>
          <w:sz w:val="17"/>
          <w:szCs w:val="17"/>
          <w:u w:val="single" w:color="auto"/>
          <w:color w:val="0563C1"/>
        </w:rPr>
        <w:t>http://www.sec.gov</w:t>
      </w:r>
      <w:r>
        <w:rPr>
          <w:rFonts w:ascii="Arial" w:cs="Arial" w:eastAsia="Arial" w:hAnsi="Arial"/>
          <w:sz w:val="17"/>
          <w:szCs w:val="17"/>
          <w:color w:val="auto"/>
        </w:rPr>
        <w:t>. Copies of certain information filed by us with the SEC are also available on the Investor Relations tab of our website at www.cumberlandpharma.com. The information on our web site, however, is not, and should not be deemed to be, a part of this prospectus and is not incorporated by reference into this prospectus.</w:t>
      </w:r>
    </w:p>
    <w:p>
      <w:pPr>
        <w:spacing w:after="0" w:line="123"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This prospectus and any prospectus supplement are part of a registration statement on Form S-3 that we filed with the SEC under the Securities Act and do not contain all of the information in the registration statement and the exhibits and schedules to the registration statement. The full registration statement has been filed electronically and may be obtained from the SEC or us, as provided above. For further information concerning us and the securities, you should read the entire registration statement and the additional information described under “Incorporation by Reference” below. Any statements contained herein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6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This means that you must read all of the SEC filings that we incorporate by reference to determine if any of the statements in this prospectus or in any document previously incorporated by reference have been modified or superseded.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2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12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35" w:lineRule="exact"/>
        <w:rPr>
          <w:sz w:val="20"/>
          <w:szCs w:val="20"/>
          <w:color w:val="auto"/>
        </w:rPr>
      </w:pPr>
    </w:p>
    <w:p>
      <w:pPr>
        <w:ind w:left="980" w:hanging="324"/>
        <w:spacing w:after="0" w:line="258"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Annual Report on </w:t>
      </w:r>
      <w:hyperlink r:id="rId10">
        <w:r>
          <w:rPr>
            <w:rFonts w:ascii="Arial" w:cs="Arial" w:eastAsia="Arial" w:hAnsi="Arial"/>
            <w:sz w:val="17"/>
            <w:szCs w:val="17"/>
            <w:u w:val="single" w:color="auto"/>
            <w:color w:val="0563C1"/>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2020, filed on March 12, 2021 including information specifically incorporated by reference into our Form 10-K from our Proxy Statement for our Annual Meeting of Shareholders held on April 27, 2021;</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11">
        <w:r>
          <w:rPr>
            <w:rFonts w:ascii="Arial" w:cs="Arial" w:eastAsia="Arial" w:hAnsi="Arial"/>
            <w:sz w:val="18"/>
            <w:szCs w:val="18"/>
            <w:u w:val="single" w:color="auto"/>
            <w:color w:val="0563C1"/>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2021, filed on May 14, 2021;</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12">
        <w:r>
          <w:rPr>
            <w:rFonts w:ascii="Arial" w:cs="Arial" w:eastAsia="Arial" w:hAnsi="Arial"/>
            <w:sz w:val="18"/>
            <w:szCs w:val="18"/>
            <w:u w:val="single" w:color="auto"/>
            <w:color w:val="0563C1"/>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June 30, 2021, filed on August 13, 2021;</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13">
        <w:r>
          <w:rPr>
            <w:rFonts w:ascii="Arial" w:cs="Arial" w:eastAsia="Arial" w:hAnsi="Arial"/>
            <w:sz w:val="18"/>
            <w:szCs w:val="18"/>
            <w:u w:val="single" w:color="auto"/>
            <w:color w:val="0563C1"/>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September 30, 2021, filed on November 12, 2021;</w:t>
      </w:r>
    </w:p>
    <w:p>
      <w:pPr>
        <w:spacing w:after="0" w:line="211" w:lineRule="exact"/>
        <w:rPr>
          <w:rFonts w:ascii="Arial" w:cs="Arial" w:eastAsia="Arial" w:hAnsi="Arial"/>
          <w:sz w:val="18"/>
          <w:szCs w:val="18"/>
          <w:color w:val="auto"/>
        </w:rPr>
      </w:pPr>
    </w:p>
    <w:p>
      <w:pPr>
        <w:ind w:left="980" w:hanging="324"/>
        <w:spacing w:after="0" w:line="23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14">
        <w:r>
          <w:rPr>
            <w:rFonts w:ascii="Arial" w:cs="Arial" w:eastAsia="Arial" w:hAnsi="Arial"/>
            <w:sz w:val="18"/>
            <w:szCs w:val="18"/>
            <w:u w:val="single" w:color="auto"/>
            <w:color w:val="0563C1"/>
          </w:rPr>
          <w:t>April 30, 2021</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563C1"/>
          </w:rPr>
          <w:t>May 14, 2021</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563C1"/>
          </w:rPr>
          <w:t>June 14, 2021</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563C1"/>
          </w:rPr>
          <w:t>November 1, 2021</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563C1"/>
          </w:rPr>
          <w:t>November 19, 2021</w:t>
        </w:r>
      </w:hyperlink>
      <w:r>
        <w:rPr>
          <w:rFonts w:ascii="Arial" w:cs="Arial" w:eastAsia="Arial" w:hAnsi="Arial"/>
          <w:sz w:val="18"/>
          <w:szCs w:val="18"/>
          <w:color w:val="auto"/>
        </w:rPr>
        <w:t xml:space="preserve"> and </w:t>
      </w:r>
      <w:hyperlink r:id="rId19">
        <w:r>
          <w:rPr>
            <w:rFonts w:ascii="Arial" w:cs="Arial" w:eastAsia="Arial" w:hAnsi="Arial"/>
            <w:sz w:val="18"/>
            <w:szCs w:val="18"/>
            <w:u w:val="single" w:color="auto"/>
            <w:color w:val="0563C1"/>
          </w:rPr>
          <w:t>December 1, 2021</w:t>
        </w:r>
      </w:hyperlink>
      <w:r>
        <w:rPr>
          <w:rFonts w:ascii="Arial" w:cs="Arial" w:eastAsia="Arial" w:hAnsi="Arial"/>
          <w:sz w:val="18"/>
          <w:szCs w:val="18"/>
          <w:color w:val="auto"/>
        </w:rPr>
        <w:t>; and</w:t>
      </w:r>
    </w:p>
    <w:p>
      <w:pPr>
        <w:spacing w:after="0" w:line="188" w:lineRule="exact"/>
        <w:rPr>
          <w:rFonts w:ascii="Arial" w:cs="Arial" w:eastAsia="Arial" w:hAnsi="Arial"/>
          <w:sz w:val="18"/>
          <w:szCs w:val="18"/>
          <w:color w:val="auto"/>
        </w:rPr>
      </w:pPr>
    </w:p>
    <w:p>
      <w:pPr>
        <w:ind w:left="980" w:right="20" w:hanging="324"/>
        <w:spacing w:after="0" w:line="289"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description of the Company’s common stock contained in its registration statement on </w:t>
      </w:r>
      <w:hyperlink r:id="rId20">
        <w:r>
          <w:rPr>
            <w:rFonts w:ascii="Arial" w:cs="Arial" w:eastAsia="Arial" w:hAnsi="Arial"/>
            <w:sz w:val="16"/>
            <w:szCs w:val="16"/>
            <w:u w:val="single" w:color="auto"/>
            <w:color w:val="0563C1"/>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filed on August 1, 2007, as amended on Form 8-A/A filed on </w:t>
      </w:r>
      <w:hyperlink r:id="rId21">
        <w:r>
          <w:rPr>
            <w:rFonts w:ascii="Arial" w:cs="Arial" w:eastAsia="Arial" w:hAnsi="Arial"/>
            <w:sz w:val="16"/>
            <w:szCs w:val="16"/>
            <w:u w:val="single" w:color="auto"/>
            <w:color w:val="0563C1"/>
          </w:rPr>
          <w:t>August 2, 2007</w:t>
        </w:r>
      </w:hyperlink>
      <w:r>
        <w:rPr>
          <w:rFonts w:ascii="Arial" w:cs="Arial" w:eastAsia="Arial" w:hAnsi="Arial"/>
          <w:sz w:val="16"/>
          <w:szCs w:val="16"/>
          <w:color w:val="auto"/>
        </w:rPr>
        <w:t>, and any amendment or report subsequently filed for the purpose of updating such description.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320" w:top="769" w:right="339" w:bottom="1440" w:gutter="0" w:footer="0" w:header="0"/>
        </w:sectPr>
      </w:pPr>
    </w:p>
    <w:bookmarkStart w:id="12" w:name="page13"/>
    <w:bookmarkEnd w:id="12"/>
    <w:p>
      <w:pPr>
        <w:jc w:val="both"/>
        <w:ind w:firstLine="648"/>
        <w:spacing w:after="0" w:line="212"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You may request a free copy of any of the documents incorporated by reference in this prospectus (other than exhibits, unless they are specifically incorporated by reference in the documents) by writing or telephoning us. Requests for copies should be directed to Cumberland Pharmaceuticals Inc., ATTN: Investor Relations, 2525 West End Avenue, Suite 950, Nashville, Tennessee 37203, telephone (615) 255-0068. Exhibits to the filings will not be sent, however, unless those exhibits have specifically been incorporated by reference in this prospectus and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320" w:top="76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$100,000,000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21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Common Stock</w:t>
      </w:r>
    </w:p>
    <w:p>
      <w:pPr>
        <w:ind w:left="4900"/>
        <w:spacing w:after="0" w:line="205" w:lineRule="auto"/>
        <w:rPr>
          <w:sz w:val="20"/>
          <w:szCs w:val="20"/>
          <w:color w:val="auto"/>
        </w:rPr>
      </w:pPr>
      <w:r>
        <w:rPr>
          <w:rFonts w:ascii="Arial" w:cs="Arial" w:eastAsia="Arial" w:hAnsi="Arial"/>
          <w:sz w:val="22"/>
          <w:szCs w:val="22"/>
          <w:b w:val="1"/>
          <w:bCs w:val="1"/>
          <w:color w:val="auto"/>
        </w:rPr>
        <w:t>Preferred Stock</w:t>
      </w:r>
    </w:p>
    <w:p>
      <w:pPr>
        <w:jc w:val="center"/>
        <w:spacing w:after="0" w:line="205" w:lineRule="auto"/>
        <w:rPr>
          <w:sz w:val="20"/>
          <w:szCs w:val="20"/>
          <w:color w:val="auto"/>
        </w:rPr>
      </w:pPr>
      <w:r>
        <w:rPr>
          <w:rFonts w:ascii="Arial" w:cs="Arial" w:eastAsia="Arial" w:hAnsi="Arial"/>
          <w:sz w:val="22"/>
          <w:szCs w:val="22"/>
          <w:b w:val="1"/>
          <w:bCs w:val="1"/>
          <w:color w:val="auto"/>
        </w:rPr>
        <w:t>Warrants</w:t>
      </w:r>
    </w:p>
    <w:p>
      <w:pPr>
        <w:jc w:val="center"/>
        <w:spacing w:after="0" w:line="230"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Units</w:t>
      </w:r>
    </w:p>
    <w:p>
      <w:pPr>
        <w:spacing w:after="0" w:line="1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offer and sell, from time to time in one or more offerings, up to $100,000,000 in the aggregate of common stock, preferred stock, or warrants to purchase our common stock or preferred stock, debt securities and/or units consisting of two or more of those classes or series of securities and securities that may be convertible or exchangeable to other securities covered hereby, at prices and on terms that we will determine at the time of the offering. Preferred stock and debt securities may be convertible into preferred stock, common stock, or debt securities. We refer to our common stock, preferred stock, debt securities, warrants, and units hereunder collectively as the “securities.”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Each time we sell securities, to the extent required by applicable law, we will provide a supplement to this prospectus that contains specific information about the offering and the terms of the securities being offered. The supplement may also add, update or change information contained in this prospectus. </w:t>
      </w:r>
      <w:r>
        <w:rPr>
          <w:rFonts w:ascii="Arial" w:cs="Arial" w:eastAsia="Arial" w:hAnsi="Arial"/>
          <w:sz w:val="18"/>
          <w:szCs w:val="18"/>
          <w:b w:val="1"/>
          <w:bCs w:val="1"/>
          <w:color w:val="auto"/>
        </w:rPr>
        <w:t>You should carefully read this prospectus, all prospectus supplements and all other documents incorporated by reference in this</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 before you invest in our securities.</w:t>
      </w:r>
    </w:p>
    <w:p>
      <w:pPr>
        <w:spacing w:after="0" w:line="16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will offer the securities in amounts, at prices and on terms to be determined by market conditions at the time of the offerings. The securities may be offered separately or together in any combination.</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offer the securities directly or through underwriters, agents or dealers. The supplements to this prospectus will designate the terms of our plan of distribution. See the discussion under the heading “Plan of Distribution” for more information on the topic.</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executive offices are located at 2525 West End Avenue, Suite 950, Nashville, Tennessee 37203, and our telephone number is (615) 255-0068.</w:t>
      </w:r>
    </w:p>
    <w:p>
      <w:pPr>
        <w:spacing w:after="0" w:line="232"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8"/>
          <w:szCs w:val="18"/>
          <w:color w:val="auto"/>
        </w:rPr>
        <w:t xml:space="preserve">Our common stock trades on the Nasdaq Global Select Market under the symbol “CPIX.” On December </w:t>
      </w:r>
      <w:r>
        <w:rPr>
          <w:rFonts w:ascii="Arial" w:cs="Arial" w:eastAsia="Arial" w:hAnsi="Arial"/>
          <w:sz w:val="19"/>
          <w:szCs w:val="19"/>
          <w:color w:val="auto"/>
        </w:rPr>
        <w:t>10</w:t>
      </w:r>
      <w:r>
        <w:rPr>
          <w:rFonts w:ascii="Arial" w:cs="Arial" w:eastAsia="Arial" w:hAnsi="Arial"/>
          <w:sz w:val="18"/>
          <w:szCs w:val="18"/>
          <w:color w:val="auto"/>
        </w:rPr>
        <w:t>, 2020, the closing price for our common stock, as reported by Nasdaq, was $</w:t>
      </w:r>
      <w:r>
        <w:rPr>
          <w:rFonts w:ascii="Arial" w:cs="Arial" w:eastAsia="Arial" w:hAnsi="Arial"/>
          <w:sz w:val="19"/>
          <w:szCs w:val="19"/>
          <w:color w:val="auto"/>
        </w:rPr>
        <w:t>3.01</w:t>
      </w:r>
      <w:r>
        <w:rPr>
          <w:rFonts w:ascii="Arial" w:cs="Arial" w:eastAsia="Arial" w:hAnsi="Arial"/>
          <w:sz w:val="18"/>
          <w:szCs w:val="18"/>
          <w:color w:val="auto"/>
        </w:rPr>
        <w:t xml:space="preserve"> per share.</w:t>
      </w:r>
    </w:p>
    <w:p>
      <w:pPr>
        <w:spacing w:after="0" w:line="1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see “Risk Factors” beginning on page 2 for a discussion of certain risks that you should consider before investing in our securities.</w:t>
      </w:r>
    </w:p>
    <w:p>
      <w:pPr>
        <w:spacing w:after="0" w:line="1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This prospectus may not be used to consummate sales of securities unless accompanied by a prospectus supplement.</w:t>
      </w:r>
    </w:p>
    <w:p>
      <w:pPr>
        <w:spacing w:after="0" w:line="18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date of this prospectus is January 8, 2021</w:t>
      </w:r>
    </w:p>
    <w:p>
      <w:pPr>
        <w:sectPr>
          <w:pgSz w:w="11900" w:h="16838" w:orient="portrait"/>
          <w:cols w:equalWidth="0" w:num="1">
            <w:col w:w="11240"/>
          </w:cols>
          <w:pgMar w:left="320" w:top="1417" w:right="339" w:bottom="1440" w:gutter="0" w:footer="0" w:header="0"/>
        </w:sectPr>
      </w:pPr>
    </w:p>
    <w:bookmarkStart w:id="14" w:name="page15"/>
    <w:bookmarkEnd w:id="14"/>
    <w:p>
      <w:pPr>
        <w:jc w:val="center"/>
        <w:ind w:left="640"/>
        <w:spacing w:after="0"/>
        <w:rPr>
          <w:sz w:val="20"/>
          <w:szCs w:val="20"/>
          <w:color w:val="auto"/>
        </w:rPr>
      </w:pPr>
      <w:r>
        <w:rPr>
          <w:rFonts w:ascii="Arial" w:cs="Arial" w:eastAsia="Arial" w:hAnsi="Arial"/>
          <w:sz w:val="18"/>
          <w:szCs w:val="18"/>
          <w:b w:val="1"/>
          <w:bCs w:val="1"/>
          <w:color w:val="auto"/>
        </w:rPr>
        <w:t>ABOUT THIS PROSPECTUS</w:t>
      </w:r>
    </w:p>
    <w:p>
      <w:pPr>
        <w:spacing w:after="0" w:line="1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using a “shelf” registration process. Using this process, we may sell any combination of the securities described in this prospectus in one or more offerings up to a total dollar amount of $100,000,000.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time we use this prospectus to offer securities, we will provide a prospectus supplement that will describe the specific terms of the offering.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may also add to or update other information contained in this prospectus.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making your investment decision, you should rely only on the information contained or incorporated by reference in this prospectus and any prospectus supplement we may authorize to be delivered to you. This prospectus incorporates important business and financial information about us that is not included in or delivered with this prospectus. You may obtain a copy of this information, without charge, as described in the “Where You Can Find More Information” section. We have not authorized anyone to provide you with any other information. If you receive any other information, you should not rely on it.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not assume that the information appearing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reserves and prospects may have changed since that date.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encourage you to read this entire prospectus together with the documents incorporated by reference into this prospectus before making a decision whether to invest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 investment in our securities involves a certain degree of risk. You should carefully consider the factors contained in our Annual Report on Form 10-K for the fiscal year ended December 31, 2019 under the heading “Risk Factors” and updated, if applicable, in our Quarterly Reports on Form 10-Q before investing in our securities. You should also consider similar information contained in any Annual Report on Form 10-K, Quarterly Report on Form 10-Q or other document filed by us with the SEC after the date of this prospectus before deciding to invest in our securities. If any of these risks were to occur, our business, financial condition or results of operations could be adversely affected. In that case, the trading price of our common stock or other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information included in this prospectus may be deemed to be forward-looking statements. Where any forward-looking statement includes a statement of the assumptions or bases underlying the forward-looking statement, we caution that, while we believe these assumptions or bases to be reasonable and made in good faith, assumed facts or bases almost always vary from the actual results, and the differences between assumed facts or bases and actual results can be material, depending upon the circumstances. Where, in any forward-looking statement, we express an expectation or belief as to future results, such expectation or belief is expressed in good faith and is believed to have a reasonable basis. We cannot assure you, however, that the statement of expectation or belief will result or be achieved or accomplished. These statements relate to analyses and other information which are based on forecasts of future results and estimates of amounts not yet determinable. These statements also relate to our future prospects, developments and business strategies. These forward-looking statements are identified by their use of terms and phrases such as “anticipate,” “believe,” “could,” “estimate,” “expect,” “intend,” “may,” “plan,” “predict,” “project,” “will,” and similar terms and phrases,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58" w:lineRule="exact"/>
        <w:rPr>
          <w:sz w:val="20"/>
          <w:szCs w:val="20"/>
          <w:color w:val="auto"/>
        </w:rPr>
      </w:pPr>
    </w:p>
    <w:p>
      <w:pPr>
        <w:ind w:left="1140" w:right="20" w:hanging="646"/>
        <w:spacing w:after="0" w:line="245" w:lineRule="auto"/>
        <w:tabs>
          <w:tab w:leader="none" w:pos="1143" w:val="left"/>
        </w:tabs>
        <w:numPr>
          <w:ilvl w:val="0"/>
          <w:numId w:val="4"/>
        </w:numPr>
        <w:rPr>
          <w:rFonts w:ascii="Arial" w:cs="Arial" w:eastAsia="Arial" w:hAnsi="Arial"/>
          <w:sz w:val="20"/>
          <w:szCs w:val="20"/>
          <w:color w:val="auto"/>
        </w:rPr>
      </w:pPr>
      <w:r>
        <w:rPr>
          <w:rFonts w:ascii="Arial" w:cs="Arial" w:eastAsia="Arial" w:hAnsi="Arial"/>
          <w:sz w:val="18"/>
          <w:szCs w:val="18"/>
          <w:color w:val="auto"/>
        </w:rPr>
        <w:t>The possible or assumed future results of operations, including the accuracy of our estimates regarding expenses, future revenues, capital requirements and needs for additional financing;</w:t>
      </w: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6"/>
          <w:szCs w:val="16"/>
          <w:color w:val="auto"/>
        </w:rPr>
        <w:t>Changes in national or regional economic conditions, including changes in interest rates and the availability and the cost of capital to us;</w:t>
      </w:r>
    </w:p>
    <w:p>
      <w:pPr>
        <w:spacing w:after="0" w:line="26" w:lineRule="exact"/>
        <w:rPr>
          <w:rFonts w:ascii="Arial" w:cs="Arial" w:eastAsia="Arial" w:hAnsi="Arial"/>
          <w:sz w:val="18"/>
          <w:szCs w:val="18"/>
          <w:color w:val="auto"/>
        </w:rPr>
      </w:pPr>
    </w:p>
    <w:p>
      <w:pPr>
        <w:ind w:left="1140" w:hanging="646"/>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6"/>
          <w:szCs w:val="16"/>
          <w:color w:val="auto"/>
        </w:rPr>
        <w:t>Our competitive position and competitors, including the size and growth potential of the markets for our products and product candidates;</w:t>
      </w:r>
    </w:p>
    <w:p>
      <w:pPr>
        <w:spacing w:after="0" w:line="22" w:lineRule="exact"/>
        <w:rPr>
          <w:rFonts w:ascii="Arial" w:cs="Arial" w:eastAsia="Arial" w:hAnsi="Arial"/>
          <w:sz w:val="18"/>
          <w:szCs w:val="18"/>
          <w:color w:val="auto"/>
        </w:rPr>
      </w:pPr>
    </w:p>
    <w:p>
      <w:pPr>
        <w:ind w:left="1140" w:hanging="646"/>
        <w:spacing w:after="0" w:line="242" w:lineRule="auto"/>
        <w:tabs>
          <w:tab w:leader="none" w:pos="1170" w:val="left"/>
        </w:tabs>
        <w:numPr>
          <w:ilvl w:val="0"/>
          <w:numId w:val="4"/>
        </w:numPr>
        <w:rPr>
          <w:rFonts w:ascii="Arial" w:cs="Arial" w:eastAsia="Arial" w:hAnsi="Arial"/>
          <w:sz w:val="20"/>
          <w:szCs w:val="20"/>
          <w:color w:val="auto"/>
        </w:rPr>
      </w:pPr>
      <w:r>
        <w:rPr>
          <w:rFonts w:ascii="Arial" w:cs="Arial" w:eastAsia="Arial" w:hAnsi="Arial"/>
          <w:sz w:val="18"/>
          <w:szCs w:val="18"/>
          <w:color w:val="auto"/>
        </w:rPr>
        <w:t>The success, cost and timing of our product acquisition and development activities and clinical trials; and our ability to successfully commercialize our product candidates;</w:t>
      </w:r>
    </w:p>
    <w:p>
      <w:pPr>
        <w:ind w:left="1140" w:hanging="646"/>
        <w:spacing w:after="0" w:line="244" w:lineRule="auto"/>
        <w:tabs>
          <w:tab w:leader="none" w:pos="1143" w:val="left"/>
        </w:tabs>
        <w:numPr>
          <w:ilvl w:val="0"/>
          <w:numId w:val="4"/>
        </w:numPr>
        <w:rPr>
          <w:rFonts w:ascii="Arial" w:cs="Arial" w:eastAsia="Arial" w:hAnsi="Arial"/>
          <w:sz w:val="20"/>
          <w:szCs w:val="20"/>
          <w:color w:val="auto"/>
        </w:rPr>
      </w:pPr>
      <w:r>
        <w:rPr>
          <w:rFonts w:ascii="Arial" w:cs="Arial" w:eastAsia="Arial" w:hAnsi="Arial"/>
          <w:sz w:val="18"/>
          <w:szCs w:val="18"/>
          <w:color w:val="auto"/>
        </w:rPr>
        <w:t>Product efficacy or safety concerns, whether or not based on scientific evidence, resulting in product withdrawals, recalls, regulatory action on the part of the FDA (or international counterparts) or declining sales;</w:t>
      </w:r>
    </w:p>
    <w:p>
      <w:pPr>
        <w:spacing w:after="0" w:line="1" w:lineRule="exact"/>
        <w:rPr>
          <w:rFonts w:ascii="Arial" w:cs="Arial" w:eastAsia="Arial" w:hAnsi="Arial"/>
          <w:sz w:val="20"/>
          <w:szCs w:val="20"/>
          <w:color w:val="auto"/>
        </w:rPr>
      </w:pPr>
    </w:p>
    <w:p>
      <w:pPr>
        <w:ind w:left="1140" w:hanging="646"/>
        <w:spacing w:after="0" w:line="244" w:lineRule="auto"/>
        <w:tabs>
          <w:tab w:leader="none" w:pos="1156" w:val="left"/>
        </w:tabs>
        <w:numPr>
          <w:ilvl w:val="0"/>
          <w:numId w:val="4"/>
        </w:numPr>
        <w:rPr>
          <w:rFonts w:ascii="Arial" w:cs="Arial" w:eastAsia="Arial" w:hAnsi="Arial"/>
          <w:sz w:val="20"/>
          <w:szCs w:val="20"/>
          <w:color w:val="auto"/>
        </w:rPr>
      </w:pPr>
      <w:r>
        <w:rPr>
          <w:rFonts w:ascii="Arial" w:cs="Arial" w:eastAsia="Arial" w:hAnsi="Arial"/>
          <w:sz w:val="18"/>
          <w:szCs w:val="18"/>
          <w:color w:val="auto"/>
        </w:rPr>
        <w:t>The performance of our third-party suppliers and manufacturers which impacts our supply chain and could create business shutdowns or product shortages; and the retention of key scientific and management personnel;</w:t>
      </w:r>
    </w:p>
    <w:p>
      <w:pPr>
        <w:spacing w:after="0" w:line="1" w:lineRule="exact"/>
        <w:rPr>
          <w:rFonts w:ascii="Arial" w:cs="Arial" w:eastAsia="Arial" w:hAnsi="Arial"/>
          <w:sz w:val="20"/>
          <w:szCs w:val="20"/>
          <w:color w:val="auto"/>
        </w:rPr>
      </w:pPr>
    </w:p>
    <w:p>
      <w:pPr>
        <w:ind w:left="1140" w:hanging="646"/>
        <w:spacing w:after="0" w:line="258" w:lineRule="auto"/>
        <w:tabs>
          <w:tab w:leader="none" w:pos="1143" w:val="left"/>
        </w:tabs>
        <w:numPr>
          <w:ilvl w:val="0"/>
          <w:numId w:val="4"/>
        </w:numPr>
        <w:rPr>
          <w:rFonts w:ascii="Arial" w:cs="Arial" w:eastAsia="Arial" w:hAnsi="Arial"/>
          <w:sz w:val="19"/>
          <w:szCs w:val="19"/>
          <w:color w:val="auto"/>
        </w:rPr>
      </w:pPr>
      <w:r>
        <w:rPr>
          <w:rFonts w:ascii="Arial" w:cs="Arial" w:eastAsia="Arial" w:hAnsi="Arial"/>
          <w:sz w:val="17"/>
          <w:szCs w:val="17"/>
          <w:color w:val="auto"/>
        </w:rPr>
        <w:t>Challenges to our patents and the introduction of generic versions of our products and product candidates, which could negatively impact our ability to commercialize and sell our products and product candidates and decrease sales a result of a market exclusivity;</w:t>
      </w:r>
    </w:p>
    <w:p>
      <w:pPr>
        <w:jc w:val="both"/>
        <w:ind w:left="1140" w:hanging="646"/>
        <w:spacing w:after="0" w:line="246" w:lineRule="auto"/>
        <w:tabs>
          <w:tab w:leader="none" w:pos="1156" w:val="left"/>
        </w:tabs>
        <w:numPr>
          <w:ilvl w:val="0"/>
          <w:numId w:val="4"/>
        </w:numPr>
        <w:rPr>
          <w:rFonts w:ascii="Arial" w:cs="Arial" w:eastAsia="Arial" w:hAnsi="Arial"/>
          <w:sz w:val="20"/>
          <w:szCs w:val="20"/>
          <w:color w:val="auto"/>
        </w:rPr>
      </w:pPr>
      <w:r>
        <w:rPr>
          <w:rFonts w:ascii="Arial" w:cs="Arial" w:eastAsia="Arial" w:hAnsi="Arial"/>
          <w:sz w:val="18"/>
          <w:szCs w:val="18"/>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spacing w:after="0" w:line="1" w:lineRule="exact"/>
        <w:rPr>
          <w:rFonts w:ascii="Arial" w:cs="Arial" w:eastAsia="Arial" w:hAnsi="Arial"/>
          <w:sz w:val="20"/>
          <w:szCs w:val="20"/>
          <w:color w:val="auto"/>
        </w:rPr>
      </w:pPr>
    </w:p>
    <w:p>
      <w:pPr>
        <w:jc w:val="both"/>
        <w:ind w:left="1140" w:hanging="646"/>
        <w:spacing w:after="0" w:line="249" w:lineRule="auto"/>
        <w:tabs>
          <w:tab w:leader="none" w:pos="1156" w:val="left"/>
        </w:tabs>
        <w:numPr>
          <w:ilvl w:val="0"/>
          <w:numId w:val="4"/>
        </w:numPr>
        <w:rPr>
          <w:rFonts w:ascii="Arial" w:cs="Arial" w:eastAsia="Arial" w:hAnsi="Arial"/>
          <w:sz w:val="20"/>
          <w:szCs w:val="20"/>
          <w:color w:val="auto"/>
        </w:rPr>
      </w:pPr>
      <w:r>
        <w:rPr>
          <w:rFonts w:ascii="Arial" w:cs="Arial" w:eastAsia="Arial" w:hAnsi="Arial"/>
          <w:sz w:val="18"/>
          <w:szCs w:val="18"/>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7" w:right="339" w:bottom="1440" w:gutter="0" w:footer="0" w:header="0"/>
        </w:sectPr>
      </w:pPr>
    </w:p>
    <w:bookmarkStart w:id="16" w:name="page17"/>
    <w:bookmarkEnd w:id="16"/>
    <w:p>
      <w:pPr>
        <w:ind w:left="1140" w:hanging="646"/>
        <w:spacing w:after="0" w:line="250" w:lineRule="auto"/>
        <w:tabs>
          <w:tab w:leader="none" w:pos="1183" w:val="left"/>
        </w:tabs>
        <w:numPr>
          <w:ilvl w:val="0"/>
          <w:numId w:val="5"/>
        </w:numPr>
        <w:rPr>
          <w:rFonts w:ascii="Arial" w:cs="Arial" w:eastAsia="Arial" w:hAnsi="Arial"/>
          <w:sz w:val="20"/>
          <w:szCs w:val="20"/>
          <w:color w:val="auto"/>
        </w:rPr>
      </w:pPr>
      <w:r>
        <w:rPr>
          <w:rFonts w:ascii="Arial" w:cs="Arial" w:eastAsia="Arial" w:hAnsi="Arial"/>
          <w:sz w:val="18"/>
          <w:szCs w:val="18"/>
          <w:color w:val="auto"/>
        </w:rPr>
        <w:t>Issuance of new or revised accounting standards by the Financial Accounting Standards Board and the Securities and Exchange Commission (the “SEC”).</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undertake no obligation to publicly update or revise any forward-looking statements, whether as a result of new information or otherwise. If one or more of these risks or uncertainties materialize, or if underlying assumptions prove incorrect, our actual results may vary materially from those expected, estimated or projected.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this prospectus, “Cumberland,” “we,” “our,” and “us” refer to Cumberland Pharmaceuticals Inc.</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Cumberland is a Tennessee corporation. Our principal executive offices are located at 2525 West End Avenue, Suite 950, Nashville, Tennessee 37203. Our telephone number is (615) 255-0068. We maintain a website at </w:t>
      </w:r>
      <w:r>
        <w:rPr>
          <w:rFonts w:ascii="Arial" w:cs="Arial" w:eastAsia="Arial" w:hAnsi="Arial"/>
          <w:sz w:val="18"/>
          <w:szCs w:val="18"/>
          <w:i w:val="1"/>
          <w:iCs w:val="1"/>
          <w:u w:val="single" w:color="auto"/>
          <w:color w:val="0000FF"/>
        </w:rPr>
        <w:t>www.cumberlandpharma.com</w:t>
      </w:r>
      <w:r>
        <w:rPr>
          <w:rFonts w:ascii="Arial" w:cs="Arial" w:eastAsia="Arial" w:hAnsi="Arial"/>
          <w:sz w:val="18"/>
          <w:szCs w:val="18"/>
          <w:color w:val="auto"/>
        </w:rPr>
        <w:t>, which contains information about us. Our website and the information contained on it and connected to it will not be deemed incorporated by reference into this prospectus. We were incorporated in 1999 and have been headquartered in Nashville, Tennessee since inception. During 2009, we completed an initial public offering of our common stock, which is listed on Nasdaq under the symbol “CPIX.”.</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Cumberland is a specialty pharmaceutical company focused on the acquisition, development and commercialization of branded prescription products. Our primary target markets are hospital acute care and gastroenterology. These medical specialties are characterized by relatively concentrated prescriber bases that we believe can be penetrated effectively by small, targeted sales forces. Cumberland is dedicated to providing innovative products that improve quality of care for patients and address unmet or poorly met medical needs. We promote our approved products through our hospital and field sales forces in the United States and are establishing a network of international partners to bring our products to patients in their countries.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FDA approved brands includes:</w:t>
      </w:r>
    </w:p>
    <w:p>
      <w:pPr>
        <w:spacing w:after="0" w:line="185" w:lineRule="exact"/>
        <w:rPr>
          <w:sz w:val="20"/>
          <w:szCs w:val="20"/>
          <w:color w:val="auto"/>
        </w:rPr>
      </w:pPr>
    </w:p>
    <w:p>
      <w:pPr>
        <w:ind w:left="880" w:hanging="224"/>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Acetadote® (acetylcysteine) Injection, for the treatment of acetaminophen poisoning;</w:t>
      </w:r>
    </w:p>
    <w:p>
      <w:pPr>
        <w:spacing w:after="0" w:line="184" w:lineRule="exact"/>
        <w:rPr>
          <w:rFonts w:ascii="Arial" w:cs="Arial" w:eastAsia="Arial" w:hAnsi="Arial"/>
          <w:sz w:val="18"/>
          <w:szCs w:val="18"/>
          <w:b w:val="1"/>
          <w:bCs w:val="1"/>
          <w:color w:val="auto"/>
        </w:rPr>
      </w:pPr>
    </w:p>
    <w:p>
      <w:pPr>
        <w:ind w:left="880" w:hanging="224"/>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Caldolor® (ibuprofen) Injection for the treatment of pain and fever;</w:t>
      </w:r>
    </w:p>
    <w:p>
      <w:pPr>
        <w:spacing w:after="0" w:line="198" w:lineRule="exact"/>
        <w:rPr>
          <w:rFonts w:ascii="Arial" w:cs="Arial" w:eastAsia="Arial" w:hAnsi="Arial"/>
          <w:sz w:val="18"/>
          <w:szCs w:val="18"/>
          <w:b w:val="1"/>
          <w:bCs w:val="1"/>
          <w:color w:val="auto"/>
        </w:rPr>
      </w:pPr>
    </w:p>
    <w:p>
      <w:pPr>
        <w:ind w:left="880" w:hanging="224"/>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Kristalose® (lactulose) for Oral Solution, a prescription laxative, for the treatment of chronic and acute constipation;</w:t>
      </w:r>
    </w:p>
    <w:p>
      <w:pPr>
        <w:spacing w:after="0" w:line="184" w:lineRule="exact"/>
        <w:rPr>
          <w:rFonts w:ascii="Arial" w:cs="Arial" w:eastAsia="Arial" w:hAnsi="Arial"/>
          <w:sz w:val="18"/>
          <w:szCs w:val="18"/>
          <w:b w:val="1"/>
          <w:bCs w:val="1"/>
          <w:color w:val="auto"/>
        </w:rPr>
      </w:pPr>
    </w:p>
    <w:p>
      <w:pPr>
        <w:ind w:left="1300" w:hanging="644"/>
        <w:spacing w:after="0" w:line="277" w:lineRule="auto"/>
        <w:tabs>
          <w:tab w:leader="none" w:pos="102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Omeclamox®-Pak, (omeprazole, clarithromycin, amoxicillin) for the treatment of Helicobacter pylori (H. pylori) infection and related duodenal ulcer disease;</w:t>
      </w:r>
    </w:p>
    <w:p>
      <w:pPr>
        <w:spacing w:after="0" w:line="129" w:lineRule="exact"/>
        <w:rPr>
          <w:rFonts w:ascii="Arial" w:cs="Arial" w:eastAsia="Arial" w:hAnsi="Arial"/>
          <w:sz w:val="18"/>
          <w:szCs w:val="18"/>
          <w:b w:val="1"/>
          <w:bCs w:val="1"/>
          <w:color w:val="auto"/>
        </w:rPr>
      </w:pPr>
    </w:p>
    <w:p>
      <w:pPr>
        <w:ind w:left="880" w:hanging="224"/>
        <w:spacing w:after="0"/>
        <w:tabs>
          <w:tab w:leader="none" w:pos="8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Vaprisol® (conivaptan) Injection, to raise serum sodium levels in hospitalized patients with euvolemic and hypervolemic hyponatremia;</w:t>
      </w:r>
    </w:p>
    <w:p>
      <w:pPr>
        <w:spacing w:after="0" w:line="209" w:lineRule="exact"/>
        <w:rPr>
          <w:rFonts w:ascii="Arial" w:cs="Arial" w:eastAsia="Arial" w:hAnsi="Arial"/>
          <w:sz w:val="17"/>
          <w:szCs w:val="17"/>
          <w:b w:val="1"/>
          <w:bCs w:val="1"/>
          <w:color w:val="auto"/>
        </w:rPr>
      </w:pPr>
    </w:p>
    <w:p>
      <w:pPr>
        <w:ind w:left="1300" w:hanging="644"/>
        <w:spacing w:after="0" w:line="277" w:lineRule="auto"/>
        <w:tabs>
          <w:tab w:leader="none" w:pos="931"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Vibativ® (telavancin) Injection, for the treatment of certain serious bacterial infections including hospital-acquired and ventilator-associated bacterial pneumonia, as well as complicated skin and skin structure infections; and</w:t>
      </w:r>
    </w:p>
    <w:p>
      <w:pPr>
        <w:spacing w:after="0" w:line="124" w:lineRule="exact"/>
        <w:rPr>
          <w:rFonts w:ascii="Arial" w:cs="Arial" w:eastAsia="Arial" w:hAnsi="Arial"/>
          <w:sz w:val="18"/>
          <w:szCs w:val="18"/>
          <w:b w:val="1"/>
          <w:bCs w:val="1"/>
          <w:color w:val="auto"/>
        </w:rPr>
      </w:pPr>
    </w:p>
    <w:p>
      <w:pPr>
        <w:ind w:left="1300" w:hanging="644"/>
        <w:spacing w:after="0" w:line="229" w:lineRule="auto"/>
        <w:tabs>
          <w:tab w:leader="none" w:pos="98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RediTrex</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(methotrexate) Injection, for the treatment of active rheumatoid, juvenile idiopathic and severe psoriatic arthritis, as well as disabling psoriasis.</w:t>
      </w:r>
    </w:p>
    <w:p>
      <w:pPr>
        <w:spacing w:after="0" w:line="16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Additionally, we have Phase II clinical programs underway evaluating our ifetroban product candidates in patients with cardiomyopathy associated with Duchenne Muscular Dystrophy (“DMD”), Systemic Sclerosis (“SSc”), and Aspirin-Exacerbated Respiratory Disease ("AERD"). We have also completed Phase II clinical programs with ifetroban in patients with Hepatorenal Syndrome (“HRS”) and patients with Portal Hypertension (“PH”).</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both product development and commercial capabilities and we believe we can leverage our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agreements. Our product development team creates proprietary product formulations, manages our clinical studies, prepares all regulatory submissions and staffs our medical call center. Our quality and manufacturing professionals oversee the manufacture, release and shipment of our products. Our marketing and sales team is responsible for our commercial activities, and we work closely with our distribution partners to ensure availability and delivery of our products.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Cumberland's growth strategy involves maximizing the potential of our existing brands, while continuing to build a portfolio of differentiated products. We currently feature seven FDA approved products for sale in the United States. Through our international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87" w:right="339" w:bottom="1440" w:gutter="0" w:footer="0" w:header="0"/>
        </w:sectPr>
      </w:pPr>
    </w:p>
    <w:bookmarkStart w:id="17" w:name="page18"/>
    <w:bookmarkEnd w:id="17"/>
    <w:p>
      <w:pPr>
        <w:jc w:val="both"/>
        <w:spacing w:after="0" w:line="279" w:lineRule="auto"/>
        <w:rPr>
          <w:sz w:val="20"/>
          <w:szCs w:val="20"/>
          <w:color w:val="auto"/>
        </w:rPr>
      </w:pPr>
      <w:r>
        <w:rPr>
          <w:rFonts w:ascii="Arial" w:cs="Arial" w:eastAsia="Arial" w:hAnsi="Arial"/>
          <w:sz w:val="17"/>
          <w:szCs w:val="17"/>
          <w:color w:val="auto"/>
        </w:rPr>
        <w:t>partners, we are working to bring our medicines to patients in their countries. We also look for opportunities to expand our products into additional patient populations through clinical trials, through new presentations, and through our support for select, investigator-initiated studies. We also actively pursue opportunities to acquire additional marketed products, as well as late-stage development product candidates in our target medical specialties. Our clinical team is developing a pipeline of new product candidates largely to address unmet medical needs.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we are supplementing these activities with the earlier stage drug development at Cumberland Emerging Technologies ("CET"), our majority-owned subsidiary. CET partners with academic research institutions to identify and progress promising, new product candidates, which Cumberland has the opportunity to further develop and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7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specified in a prospectus supplement accompanying this prospectus, we expect to use the net proceeds from the sale of our securities for general corporate purposes, which may include, among other things, the financing of capital expenditures, acquisitions and additions to our working capital. The actual application of proceeds from the sale of any particular tranche of securities issued hereunder will be described in the applicable prospectus supplement relating to such tranche of securities.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 xml:space="preserve">Our authorized capital consists of 120,000,000 shares of stock at no par value. Of the authorized capital, 100,000,000 shares are authorized to be issued as common stock and 20,000,000 shares are authorized to be issued as preferred stock. Our issued and outstanding shares of common stock as of December </w:t>
      </w:r>
      <w:r>
        <w:rPr>
          <w:rFonts w:ascii="Arial" w:cs="Arial" w:eastAsia="Arial" w:hAnsi="Arial"/>
          <w:sz w:val="18"/>
          <w:szCs w:val="18"/>
          <w:color w:val="auto"/>
        </w:rPr>
        <w:t>11</w:t>
      </w:r>
      <w:r>
        <w:rPr>
          <w:rFonts w:ascii="Arial" w:cs="Arial" w:eastAsia="Arial" w:hAnsi="Arial"/>
          <w:sz w:val="17"/>
          <w:szCs w:val="17"/>
          <w:color w:val="auto"/>
        </w:rPr>
        <w:t>, 2020 consisted of 15,016,604 shares which were held by 87 shareholders of record, which excludes shareholders whose shares are held in nominee or street name by brokers. To date, there are no issued and outstanding shares of preferred stock.</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of our capital stock summarizes general terms and provisions that apply to our capital stock. Since this is only a summary, it does not contain all of the information that may be important to you. The summary is subject to and qualified in its entirety by reference to our Third Amended and Restated Charter and our Second Amended and Restated Bylaws, which are incorporated by reference into this prospectus. See “Where You Can Find More Information.”</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all matters submitted to a vote of shareholders, holders of common stock are entitled to one vote for each share registered in his or her name on our books, and they do not have cumulative voting rights. Each share of the common stock is entitled to share equally with each other share of common stock in dividends from sources legally available therefore, when, as, and if declared by the board of directors and, upon our liquidation or dissolution, whether voluntary or involuntary, to share equally in the assets that are available for distribution to the holders of the common stock. We have not paid any cash dividends since our inception. Holders of our common stock have no preemptive, subscription, redemption or conversion rights. The board of directors is authorized to issue additional shares of common stock within the limits authorized by our Third Amended and Restated Charter and without shareholder action.</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Shares of preferred stock may be issued from time to time in one or more classes or series, each such class or series to be so designated as to distinguish the shares thereof from the shares of all other series and classes. The board of directors is authorized to divide preferred stock into classes or series and to fix and determine the relative rights, preferences, qualifications and limitations of the shares of any class or series so established. The number of shares of Preferred Stock the Company may offer is up to 20,000,000 and those shares can be one or more classes or series.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designated 3 million shares of Preferred Stock as Series A (“Series A”). A summary of the terms of the Series A is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30" w:lineRule="exact"/>
        <w:rPr>
          <w:sz w:val="20"/>
          <w:szCs w:val="20"/>
          <w:color w:val="auto"/>
        </w:rPr>
      </w:pPr>
    </w:p>
    <w:p>
      <w:pPr>
        <w:ind w:left="880" w:hanging="224"/>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Currently there are 3 million shares of Series A designated,</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with a liquidation value of $3.25,</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dividend rate on parity with the common stock,</w:t>
      </w:r>
    </w:p>
    <w:p>
      <w:pPr>
        <w:spacing w:after="0" w:line="144" w:lineRule="exact"/>
        <w:rPr>
          <w:rFonts w:ascii="Arial" w:cs="Arial" w:eastAsia="Arial" w:hAnsi="Arial"/>
          <w:sz w:val="18"/>
          <w:szCs w:val="18"/>
          <w:b w:val="1"/>
          <w:bCs w:val="1"/>
          <w:color w:val="auto"/>
        </w:rPr>
      </w:pPr>
    </w:p>
    <w:p>
      <w:pPr>
        <w:ind w:left="880" w:hanging="224"/>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voting rights equal to one vote per share,</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not redeemable or subject to a sinking fund;</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price at which the preferred stock will be issued will be set by the Company;</w:t>
      </w:r>
    </w:p>
    <w:p>
      <w:pPr>
        <w:spacing w:after="0" w:line="14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rights, preferences, qualifications, limitations and restrictions on the remaining shares of Preferred Stock shall be set by the Company prior to issuance and those terms of any new series or classes of preferred stock will be filed with the SEC. The Company will determine whether the preferred stock is convertible or exchangeable for any other securities, and the terms of any such conversion. All other rights, preferences, qualifications, limitations and restrictions of the preferred stock shall be established by the Company before issuance and filed with the SEC.</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offer to sell preferred stock, our board of directors is authorized to designate and issue shares of preferred stock in one or more series without shareholder approval. Our board of directors would have discretion to determine the rights, preferences,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69" w:right="3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privileges and restrictions, including voting rights, dividend rights, conversion rights, redemption privileges and liquidation preferences, of each series of preferred stock.</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conditions and provisions of the Series A Preferred Stock are described in Exhibit 4.2.</w:t>
      </w:r>
    </w:p>
    <w:p>
      <w:pPr>
        <w:spacing w:after="0" w:line="14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It is not possible to state the actual effect of the issuance of any shares of preferred stock upon the rights of holders of our common stock until the board of directors determines the specific rights of the holders of the preferred stock. However, these effects might include:</w:t>
      </w:r>
    </w:p>
    <w:p>
      <w:pPr>
        <w:spacing w:after="0" w:line="103" w:lineRule="exact"/>
        <w:rPr>
          <w:sz w:val="20"/>
          <w:szCs w:val="20"/>
          <w:color w:val="auto"/>
        </w:rPr>
      </w:pPr>
    </w:p>
    <w:p>
      <w:pPr>
        <w:ind w:left="880" w:hanging="224"/>
        <w:spacing w:after="0"/>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restricting dividends on the common stock;</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diluting the voting power of the common stock;</w:t>
      </w:r>
    </w:p>
    <w:p>
      <w:pPr>
        <w:spacing w:after="0" w:line="144" w:lineRule="exact"/>
        <w:rPr>
          <w:rFonts w:ascii="Arial" w:cs="Arial" w:eastAsia="Arial" w:hAnsi="Arial"/>
          <w:sz w:val="18"/>
          <w:szCs w:val="18"/>
          <w:b w:val="1"/>
          <w:bCs w:val="1"/>
          <w:color w:val="auto"/>
        </w:rPr>
      </w:pPr>
    </w:p>
    <w:p>
      <w:pPr>
        <w:ind w:left="880" w:hanging="224"/>
        <w:spacing w:after="0"/>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impairing the liquidation rights of the common stock; and</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delaying or preventing a change in control of our company.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or Registrar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Continental Stock Transfer &amp; Trust Company is the transfer agent and registrar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59" w:lineRule="exact"/>
        <w:rPr>
          <w:sz w:val="20"/>
          <w:szCs w:val="20"/>
          <w:color w:val="auto"/>
        </w:rPr>
      </w:pPr>
    </w:p>
    <w:p>
      <w:pPr>
        <w:jc w:val="both"/>
        <w:ind w:firstLine="253"/>
        <w:spacing w:after="0" w:line="272" w:lineRule="auto"/>
        <w:rPr>
          <w:sz w:val="20"/>
          <w:szCs w:val="20"/>
          <w:color w:val="auto"/>
        </w:rPr>
      </w:pPr>
      <w:r>
        <w:rPr>
          <w:rFonts w:ascii="Arial" w:cs="Arial" w:eastAsia="Arial" w:hAnsi="Arial"/>
          <w:sz w:val="18"/>
          <w:szCs w:val="18"/>
          <w:color w:val="auto"/>
        </w:rPr>
        <w:t xml:space="preserve">Our common stock is listed on Nasdaq under the symbol “CPIX.” On December </w:t>
      </w:r>
      <w:r>
        <w:rPr>
          <w:rFonts w:ascii="Arial" w:cs="Arial" w:eastAsia="Arial" w:hAnsi="Arial"/>
          <w:sz w:val="19"/>
          <w:szCs w:val="19"/>
          <w:color w:val="auto"/>
        </w:rPr>
        <w:t>10</w:t>
      </w:r>
      <w:r>
        <w:rPr>
          <w:rFonts w:ascii="Arial" w:cs="Arial" w:eastAsia="Arial" w:hAnsi="Arial"/>
          <w:sz w:val="18"/>
          <w:szCs w:val="18"/>
          <w:color w:val="auto"/>
        </w:rPr>
        <w:t>, 2020, the closing price for our common stock, as reported on Nasdaq, was $</w:t>
      </w:r>
      <w:r>
        <w:rPr>
          <w:rFonts w:ascii="Arial" w:cs="Arial" w:eastAsia="Arial" w:hAnsi="Arial"/>
          <w:sz w:val="19"/>
          <w:szCs w:val="19"/>
          <w:color w:val="auto"/>
        </w:rPr>
        <w:t>3.01</w:t>
      </w:r>
      <w:r>
        <w:rPr>
          <w:rFonts w:ascii="Arial" w:cs="Arial" w:eastAsia="Arial" w:hAnsi="Arial"/>
          <w:sz w:val="18"/>
          <w:szCs w:val="18"/>
          <w:color w:val="auto"/>
        </w:rPr>
        <w:t xml:space="preserve"> per share.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issue warrants for the purchase of common stock or preferred stock. Warrants may be issued independently or together with common stock or preferred stock offered by any prospectus supplement and may be attached to or separate from any such offered securities. Series of warrants may be issued under a separate warrant agreement entered into between us and a bank or trust company, as warrant agent, all as will be set forth in the prospectus supplement relating to the particular issue of warrants. The warrant agent would act solely as our agent in connection with the warrants and would not assume any obligation or relationship of agency or trust for or with any holders of warrants or beneficial owners of warrants</w:t>
      </w:r>
      <w:r>
        <w:rPr>
          <w:rFonts w:ascii="Arial" w:cs="Arial" w:eastAsia="Arial" w:hAnsi="Arial"/>
          <w:sz w:val="17"/>
          <w:szCs w:val="17"/>
          <w:color w:val="auto"/>
        </w:rPr>
        <w:t>.</w:t>
      </w:r>
    </w:p>
    <w:p>
      <w:pPr>
        <w:spacing w:after="0" w:line="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summary of certain provisions of the warrants does not purport to be complete and is subject to, and is qualified in its entirety by reference to, all provisions of the warrant agreements.</w:t>
      </w:r>
    </w:p>
    <w:p>
      <w:pPr>
        <w:spacing w:after="0" w:line="1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103" w:lineRule="exact"/>
        <w:rPr>
          <w:sz w:val="20"/>
          <w:szCs w:val="20"/>
          <w:color w:val="auto"/>
        </w:rPr>
      </w:pPr>
    </w:p>
    <w:p>
      <w:pPr>
        <w:ind w:left="1300" w:hanging="644"/>
        <w:spacing w:after="0" w:line="308" w:lineRule="auto"/>
        <w:tabs>
          <w:tab w:leader="none" w:pos="89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number of shares of common stock or preferred stock purchasable upon the exercise of warrants to purchase common stock or preferred stock and the price at which such number of shares of common stock or preferred stock may be purchased upon such exercise;</w:t>
      </w:r>
    </w:p>
    <w:p>
      <w:pPr>
        <w:spacing w:after="0" w:line="65" w:lineRule="exact"/>
        <w:rPr>
          <w:rFonts w:ascii="Arial" w:cs="Arial" w:eastAsia="Arial" w:hAnsi="Arial"/>
          <w:sz w:val="17"/>
          <w:szCs w:val="17"/>
          <w:b w:val="1"/>
          <w:bCs w:val="1"/>
          <w:color w:val="auto"/>
        </w:rPr>
      </w:pPr>
    </w:p>
    <w:p>
      <w:pPr>
        <w:ind w:left="880" w:hanging="224"/>
        <w:spacing w:after="0"/>
        <w:tabs>
          <w:tab w:leader="none" w:pos="8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United States federal income tax consequences applicable to such warrants;</w:t>
      </w:r>
    </w:p>
    <w:p>
      <w:pPr>
        <w:spacing w:after="0" w:line="144" w:lineRule="exact"/>
        <w:rPr>
          <w:rFonts w:ascii="Arial" w:cs="Arial" w:eastAsia="Arial" w:hAnsi="Arial"/>
          <w:sz w:val="18"/>
          <w:szCs w:val="18"/>
          <w:b w:val="1"/>
          <w:bCs w:val="1"/>
          <w:color w:val="auto"/>
        </w:rPr>
      </w:pPr>
    </w:p>
    <w:p>
      <w:pPr>
        <w:ind w:left="880" w:hanging="224"/>
        <w:spacing w:after="0"/>
        <w:tabs>
          <w:tab w:leader="none" w:pos="8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amount of warrants outstanding as of the most recent practicable date; and</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other terms of such warrants.</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Warrants will be issued in registered form only. The exercise price for warrants will be subject to adjustment in accordance with the applicable prospectus supplement.</w:t>
      </w:r>
    </w:p>
    <w:p>
      <w:pPr>
        <w:spacing w:after="0" w:line="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warrant will entitle the holder thereof to purchase such number of shares of common stock or preferred stock at such exercise price as shall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us, unexercised warrants will become void. The place or places where, and the manner in which, warrants may be exercised shall be specified in the prospectus supplement relating to such warrants.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73" w:right="3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18"/>
          <w:szCs w:val="18"/>
          <w:color w:val="auto"/>
        </w:rPr>
        <w:t>Prior to the exercise of any warrants to purchase common stock or preferred stock, holders of such warrants will not have any of the rights of holders of common stock or preferred stock, as the case may be, purchasable upon such exercise, including the right to receive payments of dividends, if any, on the common stock purchasable upon such exercise, or to exercise any applicable right to vote.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section describes the general terms of debt securities to which any prospectus supplement may relate. A prospectus supplement will describe the terms relating to any debt securities to be offered in greater detail, and may provide information that is different from this prospectus. If the information in the prospectus supplement differs with respect to the particular debt securities being offered from this prospectus, you should rely on the information in the prospectus supplement. The debt securities may be issued from time to time in one or more series. The particular terms of each series that are offered by a prospectus supplement will be described in the prospectus supplement.</w:t>
      </w:r>
    </w:p>
    <w:p>
      <w:pPr>
        <w:spacing w:after="0" w:line="1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conduct a portion of our operations through subsidiaries. Unless the debt securities are guaranteed by our subsidiaries as described below, the rights of our company and our creditors, including holders of the debt securities, to participate in the assets of any subsidiary upon the latter’s liquidation or reorganization will be subject to the prior claims of the subsidiary’s creditors, except to the extent that we may ourselves be a creditor with recognized claims against such subsidiary.</w:t>
      </w:r>
    </w:p>
    <w:p>
      <w:pPr>
        <w:spacing w:after="0" w:line="1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debt securities will be either our senior debt securities or our subordinated debt securities. The senior debt securities and the subordinated debt securities will be issued under separate indentures among us, and any domestic subsidiaries that become guarantors of the debt securities (and are added as co-registrants to the registration statement of which this prospectus supplement forms a part), and a trustee that meets certain requirements and is selected by us (the “Trustee”). Senior debt securities will be issued under a “Senior Indenture” and subordinated debt securities will be issued under a “Subordinated Indenture.” Together, the Senior Indenture and the Subordinated Indenture are called “Indentures.”</w:t>
      </w:r>
    </w:p>
    <w:p>
      <w:pPr>
        <w:spacing w:after="0" w:line="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summarized selected provisions of the Indentures below. The summary is not complete and is qualified in its entirety by express reference to the provisions of the Indentures. The form of each Indenture has been filed with the SEC as an exhibit to the registration statement of which this prospectus is a part, and you should read the Indentures for provisions that may be important to you. In the summary below, we have included references to article or section numbers of the applicable Indenture so that you can easily locate these provisions. Whenever we refer in this prospectus or in the prospectus supplement to particular article or sections or defined terms of the Indentures, those article or sections or defined terms are incorporated by reference herein or therein, as applicable. The Indentures will be subject to and governed by certain provisions of the Trust Indenture Act of 1939, and we refer you to the Indentures and the Trust Indenture Act for a statement of such provisions. Capitalized terms used in the summary have the meanings specified in the Indentures.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may offer debt securities under this prospectus. The Indentures do not limit the aggregate amount of debt securities, and we may issue debt securities up to the aggregate principal amount which may be authorized from time to time by the board of directors. The Indentures provide that debt securities in separate series may be issued thereunder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 The debt securities will be our unsecured obligations.</w:t>
      </w:r>
    </w:p>
    <w:p>
      <w:pPr>
        <w:spacing w:after="0" w:line="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subordinated debt securities will be subordinated in right of payment to the prior payment in full of all of our Senior Debt (as defined) as described under “—Subordination of Subordinated Debt Securities” and in the prospectus supplement applicable to any subordinated debt securities. If the prospectus supplement so indicates, the debt securities will be convertible into our common stock (Section 301).</w:t>
      </w:r>
    </w:p>
    <w:p>
      <w:pPr>
        <w:spacing w:after="0" w:line="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applicable prospectus supplement will set forth the price or prices at which the debt securities to be offered will be issued and will describe the following terms of such debt securities:</w:t>
      </w:r>
    </w:p>
    <w:p>
      <w:pPr>
        <w:spacing w:after="0" w:line="103" w:lineRule="exact"/>
        <w:rPr>
          <w:sz w:val="20"/>
          <w:szCs w:val="20"/>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the debt securities;</w:t>
      </w:r>
    </w:p>
    <w:p>
      <w:pPr>
        <w:spacing w:after="0" w:line="144" w:lineRule="exact"/>
        <w:rPr>
          <w:rFonts w:ascii="Arial" w:cs="Arial" w:eastAsia="Arial" w:hAnsi="Arial"/>
          <w:sz w:val="18"/>
          <w:szCs w:val="18"/>
          <w:color w:val="auto"/>
        </w:rPr>
      </w:pPr>
    </w:p>
    <w:p>
      <w:pPr>
        <w:ind w:firstLine="65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are senior debt securities or subordinated debt securities and, if subordinated debt securities, the related subordination terms;</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44"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73" w:right="339" w:bottom="1440" w:gutter="0" w:footer="0" w:header="0"/>
        </w:sectPr>
      </w:pPr>
    </w:p>
    <w:bookmarkStart w:id="21" w:name="page22"/>
    <w:bookmarkEnd w:id="21"/>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places where payments on the debt securities will be payable;</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terms upon which the debt securities may be redeemed, in whole or in part, at our option;</w:t>
      </w:r>
    </w:p>
    <w:p>
      <w:pPr>
        <w:spacing w:after="0" w:line="144"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57" w:lineRule="exact"/>
        <w:rPr>
          <w:rFonts w:ascii="Arial" w:cs="Arial" w:eastAsia="Arial" w:hAnsi="Arial"/>
          <w:sz w:val="18"/>
          <w:szCs w:val="18"/>
          <w:color w:val="auto"/>
        </w:rPr>
      </w:pPr>
    </w:p>
    <w:p>
      <w:pPr>
        <w:ind w:right="20" w:firstLine="656"/>
        <w:spacing w:after="0" w:line="277" w:lineRule="auto"/>
        <w:tabs>
          <w:tab w:leader="none" w:pos="10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are defeasible;</w:t>
      </w:r>
    </w:p>
    <w:p>
      <w:pPr>
        <w:spacing w:after="0" w:line="144" w:lineRule="exact"/>
        <w:rPr>
          <w:rFonts w:ascii="Arial" w:cs="Arial" w:eastAsia="Arial" w:hAnsi="Arial"/>
          <w:sz w:val="18"/>
          <w:szCs w:val="18"/>
          <w:color w:val="auto"/>
        </w:rPr>
      </w:pPr>
    </w:p>
    <w:p>
      <w:pPr>
        <w:ind w:left="1120" w:hanging="464"/>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w:t>
      </w:r>
    </w:p>
    <w:p>
      <w:pPr>
        <w:spacing w:after="0" w:line="157" w:lineRule="exact"/>
        <w:rPr>
          <w:rFonts w:ascii="Arial" w:cs="Arial" w:eastAsia="Arial" w:hAnsi="Arial"/>
          <w:sz w:val="18"/>
          <w:szCs w:val="18"/>
          <w:color w:val="auto"/>
        </w:rPr>
      </w:pPr>
    </w:p>
    <w:p>
      <w:pPr>
        <w:ind w:right="20" w:firstLine="656"/>
        <w:spacing w:after="0" w:line="277" w:lineRule="auto"/>
        <w:tabs>
          <w:tab w:leader="none" w:pos="1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are convertible into our common stock and, if so, the terms and conditions upon which conversion will be effected, including the initial conversion price or conversion rate and any adjustments thereto and the conversion period;</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applicable to the debt securities; and</w:t>
      </w:r>
    </w:p>
    <w:p>
      <w:pPr>
        <w:spacing w:after="0" w:line="144"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 (Section 301).</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Senior Debt Securities</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senior debt securities will be our direct-unsecured obligations and will constitute senior indebtedness (in each case as defined in the applicable Supplemental Indenture) ranking on a parity with all of our other unsecured and unsubordinated indebtedness.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indebtedness evidenced by the subordinated debt securities will, to the extent set forth in the Subordinated Indenture with respect to each series of subordinated debt securities, be subordinate in right of payment to the prior payment in full of all of our Senior Debt, including the senior debt securities, and it may also be senior in right of payment to all of our Subordinated Debt (Article Twelve of the Subordinated Indenture). The prospectus supplement relating to any subordinated debt securities will summarize the subordination provisions of the Subordinated Indenture applicable to that series including:</w:t>
      </w:r>
    </w:p>
    <w:p>
      <w:pPr>
        <w:spacing w:after="0" w:line="120" w:lineRule="exact"/>
        <w:rPr>
          <w:sz w:val="20"/>
          <w:szCs w:val="20"/>
          <w:color w:val="auto"/>
        </w:rPr>
      </w:pPr>
    </w:p>
    <w:p>
      <w:pPr>
        <w:ind w:left="1300" w:hanging="644"/>
        <w:spacing w:after="0" w:line="263" w:lineRule="auto"/>
        <w:tabs>
          <w:tab w:leader="none" w:pos="89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applicability and effect of such provisions upon any payment or distribution respecting that series following any liquidation, dissolution or other winding-up, or any assignment for the benefit of creditors or other marshaling of assets or any bankruptcy, insolvency or similar proceedings;</w:t>
      </w:r>
    </w:p>
    <w:p>
      <w:pPr>
        <w:spacing w:after="0" w:line="102" w:lineRule="exact"/>
        <w:rPr>
          <w:rFonts w:ascii="Arial" w:cs="Arial" w:eastAsia="Arial" w:hAnsi="Arial"/>
          <w:sz w:val="18"/>
          <w:szCs w:val="18"/>
          <w:b w:val="1"/>
          <w:bCs w:val="1"/>
          <w:color w:val="auto"/>
        </w:rPr>
      </w:pPr>
    </w:p>
    <w:p>
      <w:pPr>
        <w:ind w:left="1300" w:right="20" w:hanging="644"/>
        <w:spacing w:after="0" w:line="342" w:lineRule="auto"/>
        <w:tabs>
          <w:tab w:leader="none" w:pos="917"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the applicability and effect of such provisions in the event of specified defaults with respect to any Senior Debt, including the circumstances under which and the periods in which we will be prohibited from making payments on the subordinated debt securities; and</w:t>
      </w:r>
    </w:p>
    <w:p>
      <w:pPr>
        <w:spacing w:after="0" w:line="56" w:lineRule="exact"/>
        <w:rPr>
          <w:rFonts w:ascii="Arial" w:cs="Arial" w:eastAsia="Arial" w:hAnsi="Arial"/>
          <w:sz w:val="16"/>
          <w:szCs w:val="16"/>
          <w:b w:val="1"/>
          <w:bCs w:val="1"/>
          <w:color w:val="auto"/>
        </w:rPr>
      </w:pPr>
    </w:p>
    <w:p>
      <w:pPr>
        <w:ind w:left="1300" w:hanging="644"/>
        <w:spacing w:after="0" w:line="277" w:lineRule="auto"/>
        <w:tabs>
          <w:tab w:leader="none" w:pos="917"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definition of Senior Debt applicable to the subordinated debt securities of that series and, if the series is issued on a senior subordinated basis, the definition of Subordinated Debt applicable to that series.</w:t>
      </w:r>
    </w:p>
    <w:p>
      <w:pPr>
        <w:spacing w:after="0" w:line="102" w:lineRule="exact"/>
        <w:rPr>
          <w:rFonts w:ascii="Arial" w:cs="Arial" w:eastAsia="Arial" w:hAnsi="Arial"/>
          <w:sz w:val="18"/>
          <w:szCs w:val="18"/>
          <w:b w:val="1"/>
          <w:bCs w:val="1"/>
          <w:color w:val="auto"/>
        </w:rPr>
      </w:pPr>
    </w:p>
    <w:p>
      <w:pPr>
        <w:ind w:left="1300" w:hanging="644"/>
        <w:spacing w:after="0" w:line="277" w:lineRule="auto"/>
        <w:tabs>
          <w:tab w:leader="none" w:pos="958"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prospectus supplement will also describe as of a recent date the approximate amount of Senior Debt to which the subordinated debt securities of that series will be subordinated.</w:t>
      </w:r>
    </w:p>
    <w:p>
      <w:pPr>
        <w:spacing w:after="0" w:line="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“—Legal Defeasance and Covenant Defeasance.”</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Form, Exchange and Transfer</w:t>
      </w:r>
    </w:p>
    <w:p>
      <w:pPr>
        <w:spacing w:after="0" w:line="1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option of the Holder, subject to the terms of the applicable Indenture and the limitations applicable to Global Securities, debt securities of each series will be exchangeable for other debt securities of the same series of any authorized denomination and of a like tenor and aggregate principal amount (Section 305).</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773" w:right="339" w:bottom="1440" w:gutter="0" w:footer="0" w:header="0"/>
          <w:type w:val="continuous"/>
        </w:sectPr>
      </w:pPr>
    </w:p>
    <w:bookmarkStart w:id="22" w:name="page23"/>
    <w:bookmarkEnd w:id="22"/>
    <w:p>
      <w:pPr>
        <w:jc w:val="both"/>
        <w:ind w:firstLine="648"/>
        <w:spacing w:after="0" w:line="270" w:lineRule="auto"/>
        <w:rPr>
          <w:sz w:val="20"/>
          <w:szCs w:val="20"/>
          <w:color w:val="auto"/>
        </w:rPr>
      </w:pPr>
      <w:r>
        <w:rPr>
          <w:rFonts w:ascii="Arial" w:cs="Arial" w:eastAsia="Arial" w:hAnsi="Arial"/>
          <w:sz w:val="17"/>
          <w:szCs w:val="17"/>
          <w:color w:val="auto"/>
        </w:rPr>
        <w:t>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(Section 305).</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Global Securities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w:t>
      </w:r>
    </w:p>
    <w:p>
      <w:pPr>
        <w:spacing w:after="0" w:line="1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103" w:lineRule="exact"/>
        <w:rPr>
          <w:sz w:val="20"/>
          <w:szCs w:val="20"/>
          <w:color w:val="auto"/>
        </w:rPr>
      </w:pPr>
    </w:p>
    <w:p>
      <w:pPr>
        <w:ind w:firstLine="656"/>
        <w:spacing w:after="0" w:line="308" w:lineRule="auto"/>
        <w:tabs>
          <w:tab w:leader="none" w:pos="103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for such Global Security or has ceased to be qualified to act as such as required by the applicable Indenture, and in either case we fail to appoint a successor Depositary within 90 days;</w:t>
      </w:r>
    </w:p>
    <w:p>
      <w:pPr>
        <w:spacing w:after="0" w:line="78" w:lineRule="exact"/>
        <w:rPr>
          <w:rFonts w:ascii="Arial" w:cs="Arial" w:eastAsia="Arial" w:hAnsi="Arial"/>
          <w:sz w:val="17"/>
          <w:szCs w:val="17"/>
          <w:color w:val="auto"/>
        </w:rPr>
      </w:pPr>
    </w:p>
    <w:p>
      <w:pPr>
        <w:ind w:firstLine="656"/>
        <w:spacing w:after="0" w:line="277" w:lineRule="auto"/>
        <w:tabs>
          <w:tab w:leader="none" w:pos="10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Security has occurred and is continuing and the Trustee has received a written request from the Depositary to issue certificated debt securities; or</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circumstances exist, in addition to or in lieu of those described above, as may be described in the applicable prospectus supplement.</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debt securities issued in exchange for a Global Security or any portion thereof will be registered in such names as the Depositary may direct (Sections 205 and 305).</w:t>
      </w: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(Section 308).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is represents for any purpose under the debt securities or the applicable Indenture. All payments on a Global Security will be made to the Depositary or its nominee, as the case may be, as the Holder of the security. The laws of some jurisdictions require that some purchasers of debt securities take physical delivery of such debt securities in definitive form. These laws may impair the ability to transfer beneficial interests in a Global Security.</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73"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Participants on their behalf). Payments, transfers, exchanges and other matters relating to beneficial interests in a Global Security may be subject to various policies and procedures adopted by the Depositary from time to time. None of us, the Subsidiary Guarantors, the Trustees or the agents of ourself, the Subsidiary Guarantors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Payment and Paying Agents</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 (Section 307).</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1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 (Section 1003).</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not consolidate with or merge into, or transfer, lease or otherwise dispose of all or substantially all of our assets to, any Person (a “successor Person”), and may not permit any Person to consolidate with or merge into us, unless:</w:t>
      </w:r>
    </w:p>
    <w:p>
      <w:pPr>
        <w:spacing w:after="0" w:line="103" w:lineRule="exact"/>
        <w:rPr>
          <w:sz w:val="20"/>
          <w:szCs w:val="20"/>
          <w:color w:val="auto"/>
        </w:rPr>
      </w:pPr>
    </w:p>
    <w:p>
      <w:pPr>
        <w:jc w:val="both"/>
        <w:ind w:firstLine="656"/>
        <w:spacing w:after="0" w:line="311" w:lineRule="auto"/>
        <w:tabs>
          <w:tab w:leader="none" w:pos="105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successor Person (if any) is a corporation, partnership, trust or other entity organized and validly existing under the laws of any domestic jurisdiction and assumes our obligations on the debt securities and under the Indentures including the due and punctual payment of the principal of, any premium on, and any interest on, all of the outstanding debt securities and the performance of every covenant applicable to be performed or observed by us;</w:t>
      </w:r>
    </w:p>
    <w:p>
      <w:pPr>
        <w:spacing w:after="0" w:line="67" w:lineRule="exact"/>
        <w:rPr>
          <w:rFonts w:ascii="Arial" w:cs="Arial" w:eastAsia="Arial" w:hAnsi="Arial"/>
          <w:sz w:val="16"/>
          <w:szCs w:val="16"/>
          <w:color w:val="auto"/>
        </w:rPr>
      </w:pPr>
    </w:p>
    <w:p>
      <w:pPr>
        <w:ind w:firstLine="656"/>
        <w:spacing w:after="0" w:line="277" w:lineRule="auto"/>
        <w:tabs>
          <w:tab w:leader="none" w:pos="10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immediately before and after giving pro forma effect to the transaction, no Event of Default, and no event which, after notice or lapse of time or both, would become an Event of Default, has occurred and is continuing;</w:t>
      </w:r>
    </w:p>
    <w:p>
      <w:pPr>
        <w:spacing w:after="0" w:line="102" w:lineRule="exact"/>
        <w:rPr>
          <w:rFonts w:ascii="Arial" w:cs="Arial" w:eastAsia="Arial" w:hAnsi="Arial"/>
          <w:sz w:val="18"/>
          <w:szCs w:val="18"/>
          <w:color w:val="auto"/>
        </w:rPr>
      </w:pPr>
    </w:p>
    <w:p>
      <w:pPr>
        <w:ind w:right="20" w:firstLine="656"/>
        <w:spacing w:after="0" w:line="277" w:lineRule="auto"/>
        <w:tabs>
          <w:tab w:leader="none" w:pos="11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each stating that such consolidation, merger, conveyance or transfer and such Supplemental Indenture comply with the foregoing provisions relating to such transaction; and</w:t>
      </w:r>
    </w:p>
    <w:p>
      <w:pPr>
        <w:spacing w:after="0" w:line="102" w:lineRule="exact"/>
        <w:rPr>
          <w:rFonts w:ascii="Arial" w:cs="Arial" w:eastAsia="Arial" w:hAnsi="Arial"/>
          <w:sz w:val="18"/>
          <w:szCs w:val="18"/>
          <w:color w:val="auto"/>
        </w:rPr>
      </w:pPr>
    </w:p>
    <w:p>
      <w:pPr>
        <w:ind w:firstLine="656"/>
        <w:spacing w:after="0" w:line="277" w:lineRule="auto"/>
        <w:tabs>
          <w:tab w:leader="none" w:pos="11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several other conditions, including any additional conditions with respect to any particular debt securities specified in the applicable prospectus supplement, are met (Section 801).</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Events of Default</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specified in the prospectus supplement, each of the following will constitute an Event of Default under the applicable Indenture with respect to debt securities of any series:</w:t>
      </w:r>
    </w:p>
    <w:p>
      <w:pPr>
        <w:spacing w:after="0" w:line="103" w:lineRule="exact"/>
        <w:rPr>
          <w:sz w:val="20"/>
          <w:szCs w:val="20"/>
          <w:color w:val="auto"/>
        </w:rPr>
      </w:pPr>
    </w:p>
    <w:p>
      <w:pPr>
        <w:ind w:firstLine="656"/>
        <w:spacing w:after="0" w:line="277" w:lineRule="auto"/>
        <w:tabs>
          <w:tab w:leader="none" w:pos="10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 whether or not, in the case of subordinated debt securities, such payment is prohibited by the subordination provisions of the Subordinated Indenture;</w:t>
      </w:r>
    </w:p>
    <w:p>
      <w:pPr>
        <w:spacing w:after="0" w:line="89" w:lineRule="exact"/>
        <w:rPr>
          <w:rFonts w:ascii="Arial" w:cs="Arial" w:eastAsia="Arial" w:hAnsi="Arial"/>
          <w:sz w:val="18"/>
          <w:szCs w:val="18"/>
          <w:color w:val="auto"/>
        </w:rPr>
      </w:pPr>
    </w:p>
    <w:p>
      <w:pPr>
        <w:ind w:firstLine="656"/>
        <w:spacing w:after="0" w:line="277" w:lineRule="auto"/>
        <w:tabs>
          <w:tab w:leader="none" w:pos="10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pay any interest on any debt securities of that series when due, continued for 30 days, whether or not, in the case of subordinated debt securities, such payment is prohibited by the subordination provisions of the Subordinated Indenture;</w:t>
      </w:r>
    </w:p>
    <w:p>
      <w:pPr>
        <w:spacing w:after="0" w:line="102" w:lineRule="exact"/>
        <w:rPr>
          <w:rFonts w:ascii="Arial" w:cs="Arial" w:eastAsia="Arial" w:hAnsi="Arial"/>
          <w:sz w:val="18"/>
          <w:szCs w:val="18"/>
          <w:color w:val="auto"/>
        </w:rPr>
      </w:pPr>
    </w:p>
    <w:p>
      <w:pPr>
        <w:ind w:firstLine="656"/>
        <w:spacing w:after="0" w:line="277" w:lineRule="auto"/>
        <w:tabs>
          <w:tab w:leader="none" w:pos="11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 in respect of any debt security of that series, whether or not, in the case of subordinated debt securities, such deposit is prohibited by the subordination provisions of the Subordinated Indenture;</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perform or comply with the provisions described under “—Consolidation, Merger and Sale of Assets”;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773" w:right="339" w:bottom="1440" w:gutter="0" w:footer="0" w:header="0"/>
          <w:type w:val="continuous"/>
        </w:sectPr>
      </w:pPr>
    </w:p>
    <w:bookmarkStart w:id="24" w:name="page25"/>
    <w:bookmarkEnd w:id="24"/>
    <w:p>
      <w:pPr>
        <w:jc w:val="both"/>
        <w:ind w:firstLine="656"/>
        <w:spacing w:after="0" w:line="263" w:lineRule="auto"/>
        <w:tabs>
          <w:tab w:leader="none" w:pos="10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perform any of our other covenants in such Indenture (other than a covenant included in such Indenture solely for the benefit of a series other than that series), continued for 60 days after written notice has been given by the applicable Trustee, or the Holders of at least 25% in principal amount of the Outstanding debt securities of that series, as provided in such Indenture; and</w:t>
      </w:r>
    </w:p>
    <w:p>
      <w:pPr>
        <w:spacing w:after="0" w:line="116"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or any Significant Subsidiary.</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(other than an Event of Default with respect to Cumberland Pharmaceuticals Inc. described in clause (6)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If an Event of Default with respect to Cumberland Pharmaceuticals Inc. described in clause (6)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(Section 502). For information as to waiver of defaults, see “—Modification and Waiver” below.</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default under other indebtedness of the Company will not be a default under the Indentures and a default under one series of debt securities will not necessarily be a default under another series. Any additions, deletions or other changes to the Events of Default which will apply to a series of debt securities will be described in the prospectus supplement relating to such series of debt securities.</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the Indentures, the trustee must give to the holders of each series of debt securities notice of all uncured defaults known to it with respect to such series within 90 days after such a default occurs (the term default to include the events specified above without notice or grace periods). However, except in the case of default in the payment of principal of, any premium on, or any interest on any of the debt securities, or default in the payment of any sinking or purchase fund installment or analogous obligations, the trustee shall be protected in withholding such notice if it in good faith determines that the withholding of such notice is in the interests of the holders of the debt securities of such series (Section 602).</w:t>
      </w:r>
    </w:p>
    <w:p>
      <w:pPr>
        <w:spacing w:after="0" w:line="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provisions of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indemnity (Section 603).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Holder of a debt security of any series will have any right to institute any proceeding with respect to the applicable Indenture, or for the appointment of a receiver or a trustee, or for any other remedy thereunder, unless:</w:t>
      </w:r>
    </w:p>
    <w:p>
      <w:pPr>
        <w:spacing w:after="0" w:line="103" w:lineRule="exact"/>
        <w:rPr>
          <w:sz w:val="20"/>
          <w:szCs w:val="20"/>
          <w:color w:val="auto"/>
        </w:rPr>
      </w:pPr>
    </w:p>
    <w:p>
      <w:pPr>
        <w:ind w:firstLine="656"/>
        <w:spacing w:after="0" w:line="277" w:lineRule="auto"/>
        <w:tabs>
          <w:tab w:leader="none" w:pos="10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Holder has previously given to the Trustee under the applicable Indenture written notice of a continuing Event of Default with respect to the debt securities of that series;</w:t>
      </w:r>
    </w:p>
    <w:p>
      <w:pPr>
        <w:spacing w:after="0" w:line="89" w:lineRule="exact"/>
        <w:rPr>
          <w:rFonts w:ascii="Arial" w:cs="Arial" w:eastAsia="Arial" w:hAnsi="Arial"/>
          <w:sz w:val="18"/>
          <w:szCs w:val="18"/>
          <w:color w:val="auto"/>
        </w:rPr>
      </w:pPr>
    </w:p>
    <w:p>
      <w:pPr>
        <w:ind w:firstLine="65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102" w:lineRule="exact"/>
        <w:rPr>
          <w:rFonts w:ascii="Arial" w:cs="Arial" w:eastAsia="Arial" w:hAnsi="Arial"/>
          <w:sz w:val="18"/>
          <w:szCs w:val="18"/>
          <w:color w:val="auto"/>
        </w:rPr>
      </w:pPr>
    </w:p>
    <w:p>
      <w:pPr>
        <w:ind w:right="20" w:firstLine="656"/>
        <w:spacing w:after="0" w:line="308" w:lineRule="auto"/>
        <w:tabs>
          <w:tab w:leader="none" w:pos="11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 (Section 507).</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(Section 508).</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 (Section 1004).</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73" w:right="339" w:bottom="1440" w:gutter="0" w:footer="0" w:header="0"/>
        </w:sectPr>
      </w:pPr>
    </w:p>
    <w:bookmarkStart w:id="25" w:name="page26"/>
    <w:bookmarkEnd w:id="25"/>
    <w:p>
      <w:pPr>
        <w:ind w:left="180"/>
        <w:spacing w:after="0"/>
        <w:rPr>
          <w:sz w:val="20"/>
          <w:szCs w:val="20"/>
          <w:color w:val="auto"/>
        </w:rPr>
      </w:pPr>
      <w:r>
        <w:rPr>
          <w:rFonts w:ascii="Arial" w:cs="Arial" w:eastAsia="Arial" w:hAnsi="Arial"/>
          <w:sz w:val="18"/>
          <w:szCs w:val="18"/>
          <w:b w:val="1"/>
          <w:bCs w:val="1"/>
          <w:color w:val="auto"/>
        </w:rPr>
        <w:t>Modification and Waiver</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and the trustee may, without the consent of the holders of the debt securities, enter into one or more Supplemental Indentures for, among others, one or more of the following purposes, provided that in the case of clauses (2), (3), (4) and (6), the interests of the holders of debt securities would not be adversely affected:</w:t>
      </w:r>
    </w:p>
    <w:p>
      <w:pPr>
        <w:spacing w:after="0" w:line="103" w:lineRule="exact"/>
        <w:rPr>
          <w:sz w:val="20"/>
          <w:szCs w:val="20"/>
          <w:color w:val="auto"/>
        </w:rPr>
      </w:pPr>
    </w:p>
    <w:p>
      <w:pPr>
        <w:ind w:right="20" w:firstLine="656"/>
        <w:spacing w:after="0" w:line="277" w:lineRule="auto"/>
        <w:tabs>
          <w:tab w:leader="none" w:pos="11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of our obligations under the applicable Indenture and the debt securities of any series;</w:t>
      </w:r>
    </w:p>
    <w:p>
      <w:pPr>
        <w:spacing w:after="0" w:line="102" w:lineRule="exact"/>
        <w:rPr>
          <w:rFonts w:ascii="Arial" w:cs="Arial" w:eastAsia="Arial" w:hAnsi="Arial"/>
          <w:sz w:val="18"/>
          <w:szCs w:val="18"/>
          <w:color w:val="auto"/>
        </w:rPr>
      </w:pPr>
    </w:p>
    <w:p>
      <w:pPr>
        <w:ind w:firstLine="656"/>
        <w:spacing w:after="0" w:line="277" w:lineRule="auto"/>
        <w:tabs>
          <w:tab w:leader="none" w:pos="10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covenants by us, or surrender any of our rights conferred by the applicable Indenture, for the benefit of the holders of debt securities of any or all series;</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cure any ambiguity, omission, defect or inconsistency in or make any other provision with respect to questions arising under the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129" w:lineRule="exact"/>
        <w:rPr>
          <w:rFonts w:ascii="Arial" w:cs="Arial" w:eastAsia="Arial" w:hAnsi="Arial"/>
          <w:sz w:val="16"/>
          <w:szCs w:val="16"/>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including any subordinated securities;</w:t>
      </w:r>
    </w:p>
    <w:p>
      <w:pPr>
        <w:spacing w:after="0" w:line="157" w:lineRule="exact"/>
        <w:rPr>
          <w:rFonts w:ascii="Arial" w:cs="Arial" w:eastAsia="Arial" w:hAnsi="Arial"/>
          <w:sz w:val="18"/>
          <w:szCs w:val="18"/>
          <w:color w:val="auto"/>
        </w:rPr>
      </w:pPr>
    </w:p>
    <w:p>
      <w:pPr>
        <w:ind w:firstLine="656"/>
        <w:spacing w:after="0" w:line="277" w:lineRule="auto"/>
        <w:tabs>
          <w:tab w:leader="none" w:pos="10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facilitate the administration of the trusts thereunder by one or more trustees in accordance with the applicable Indenture; and</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any additional Events of Default (Section 901).</w:t>
      </w:r>
    </w:p>
    <w:p>
      <w:pPr>
        <w:spacing w:after="0" w:line="14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Modifications and amendments of an Indenture may be made by us, the Subsidiary Guarantors, if applicable, and the applicable Trustee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81" w:lineRule="exact"/>
        <w:rPr>
          <w:sz w:val="20"/>
          <w:szCs w:val="20"/>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debt security;</w:t>
      </w:r>
    </w:p>
    <w:p>
      <w:pPr>
        <w:spacing w:after="0" w:line="144"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or any other debt security payable upon acceleration of the Maturity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143"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any debt security;</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due on or any conversion right with respect to any debt security;</w:t>
      </w:r>
    </w:p>
    <w:p>
      <w:pPr>
        <w:spacing w:after="0" w:line="155" w:lineRule="exact"/>
        <w:rPr>
          <w:rFonts w:ascii="Arial" w:cs="Arial" w:eastAsia="Arial" w:hAnsi="Arial"/>
          <w:sz w:val="17"/>
          <w:szCs w:val="17"/>
          <w:color w:val="auto"/>
        </w:rPr>
      </w:pPr>
    </w:p>
    <w:p>
      <w:pPr>
        <w:ind w:firstLine="656"/>
        <w:spacing w:after="0" w:line="277" w:lineRule="auto"/>
        <w:tabs>
          <w:tab w:leader="none" w:pos="11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the subordination provisions in the case of subordinated debt securities, or modify any conversion provisions, in either case in a manner adverse to the Holders of the subordinated debt securities;</w:t>
      </w:r>
    </w:p>
    <w:p>
      <w:pPr>
        <w:spacing w:after="0" w:line="102" w:lineRule="exact"/>
        <w:rPr>
          <w:rFonts w:ascii="Arial" w:cs="Arial" w:eastAsia="Arial" w:hAnsi="Arial"/>
          <w:sz w:val="18"/>
          <w:szCs w:val="18"/>
          <w:color w:val="auto"/>
        </w:rPr>
      </w:pPr>
    </w:p>
    <w:p>
      <w:pPr>
        <w:ind w:firstLine="656"/>
        <w:spacing w:after="0" w:line="277" w:lineRule="auto"/>
        <w:tabs>
          <w:tab w:leader="none" w:pos="11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spacing w:after="0" w:line="102" w:lineRule="exact"/>
        <w:rPr>
          <w:rFonts w:ascii="Arial" w:cs="Arial" w:eastAsia="Arial" w:hAnsi="Arial"/>
          <w:sz w:val="18"/>
          <w:szCs w:val="18"/>
          <w:color w:val="auto"/>
        </w:rPr>
      </w:pPr>
    </w:p>
    <w:p>
      <w:pPr>
        <w:ind w:firstLine="656"/>
        <w:spacing w:after="0" w:line="277" w:lineRule="auto"/>
        <w:tabs>
          <w:tab w:leader="none" w:pos="11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 or</w:t>
      </w:r>
    </w:p>
    <w:p>
      <w:pPr>
        <w:spacing w:after="0" w:line="89"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amendment or waiver (Section 902).</w:t>
      </w:r>
    </w:p>
    <w:p>
      <w:pPr>
        <w:spacing w:after="0" w:line="15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Holders of a majority in principal amount of the Outstanding debt securities of any series may waive compliance by us with certain restrictive provisions of the applicable Indenture (Section 1009). The Holders of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 (Section 513).</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Indentures provides that in determining whether the Holders of the requisite principal amount of the Outstanding debt securities have given or taken any direction, notice, consent, waiver or other action under such Indenture as of any date:</w:t>
      </w:r>
    </w:p>
    <w:p>
      <w:pPr>
        <w:spacing w:after="0" w:line="103" w:lineRule="exact"/>
        <w:rPr>
          <w:sz w:val="20"/>
          <w:szCs w:val="20"/>
          <w:color w:val="auto"/>
        </w:rPr>
      </w:pPr>
    </w:p>
    <w:p>
      <w:pPr>
        <w:ind w:firstLine="656"/>
        <w:spacing w:after="0" w:line="277" w:lineRule="auto"/>
        <w:tabs>
          <w:tab w:leader="none" w:pos="10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69" w:right="339" w:bottom="1440" w:gutter="0" w:footer="0" w:header="0"/>
        </w:sectPr>
      </w:pPr>
    </w:p>
    <w:bookmarkStart w:id="26" w:name="page27"/>
    <w:bookmarkEnd w:id="26"/>
    <w:p>
      <w:pPr>
        <w:jc w:val="both"/>
        <w:ind w:firstLine="656"/>
        <w:spacing w:after="0" w:line="263" w:lineRule="auto"/>
        <w:tabs>
          <w:tab w:leader="none" w:pos="10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w:t>
      </w:r>
    </w:p>
    <w:p>
      <w:pPr>
        <w:spacing w:after="0" w:line="116" w:lineRule="exact"/>
        <w:rPr>
          <w:rFonts w:ascii="Arial" w:cs="Arial" w:eastAsia="Arial" w:hAnsi="Arial"/>
          <w:sz w:val="18"/>
          <w:szCs w:val="18"/>
          <w:color w:val="auto"/>
        </w:rPr>
      </w:pPr>
    </w:p>
    <w:p>
      <w:pPr>
        <w:jc w:val="both"/>
        <w:ind w:firstLine="656"/>
        <w:spacing w:after="0" w:line="286" w:lineRule="auto"/>
        <w:tabs>
          <w:tab w:leader="none" w:pos="117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w:t>
      </w:r>
    </w:p>
    <w:p>
      <w:pPr>
        <w:spacing w:after="0" w:line="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debt securities, including those owned by us or any of our other Affiliates, will not be deemed to be Outstanding (Section 101). 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(Section 104).</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Satisfaction and Discharge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167"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either:</w:t>
      </w:r>
    </w:p>
    <w:p>
      <w:pPr>
        <w:spacing w:after="0" w:line="158" w:lineRule="exact"/>
        <w:rPr>
          <w:sz w:val="20"/>
          <w:szCs w:val="20"/>
          <w:color w:val="auto"/>
        </w:rPr>
      </w:pPr>
    </w:p>
    <w:p>
      <w:pPr>
        <w:jc w:val="both"/>
        <w:ind w:firstLine="656"/>
        <w:spacing w:after="0" w:line="263" w:lineRule="auto"/>
        <w:tabs>
          <w:tab w:leader="none" w:pos="11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16" w:lineRule="exact"/>
        <w:rPr>
          <w:rFonts w:ascii="Arial" w:cs="Arial" w:eastAsia="Arial" w:hAnsi="Arial"/>
          <w:sz w:val="18"/>
          <w:szCs w:val="18"/>
          <w:color w:val="auto"/>
        </w:rPr>
      </w:pPr>
    </w:p>
    <w:p>
      <w:pPr>
        <w:jc w:val="both"/>
        <w:ind w:firstLine="656"/>
        <w:spacing w:after="0" w:line="257" w:lineRule="auto"/>
        <w:tabs>
          <w:tab w:leader="none" w:pos="10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107"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paid or caused to be paid all other sums payable by us under the Indenture with respect to the debt securities of that series; and</w:t>
      </w:r>
    </w:p>
    <w:p>
      <w:pPr>
        <w:spacing w:after="0" w:line="180" w:lineRule="exact"/>
        <w:rPr>
          <w:rFonts w:ascii="Arial" w:cs="Arial" w:eastAsia="Arial" w:hAnsi="Arial"/>
          <w:sz w:val="16"/>
          <w:szCs w:val="16"/>
          <w:color w:val="auto"/>
        </w:rPr>
      </w:pPr>
    </w:p>
    <w:p>
      <w:pPr>
        <w:ind w:firstLine="656"/>
        <w:spacing w:after="0" w:line="277" w:lineRule="auto"/>
        <w:tabs>
          <w:tab w:leader="none" w:pos="10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of the Indenture with respect to the debt securities of that series have been satisfied (Article Four).</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and to the extent indicated in the applicable prospectus supplement, we may elect, at our option at any time, to have the provisions of Section 1502, relating to defeasance and discharge of indebtedness, which we call “legal defeasance” or Section 1503, relating to defeasance of certain restrictive covenants applied to the debt securities of any series, or to any specified part of a series, which we call “covenant defeasance” (Section 1501).</w:t>
      </w:r>
    </w:p>
    <w:p>
      <w:pPr>
        <w:spacing w:after="0" w:line="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Indentures provide that, upon our exercise of our option (if any) to have Section 1502 applied to any debt securities,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73" w:right="339" w:bottom="1440" w:gutter="0" w:footer="0" w:header="0"/>
        </w:sectPr>
      </w:pPr>
    </w:p>
    <w:bookmarkStart w:id="27" w:name="page28"/>
    <w:bookmarkEnd w:id="27"/>
    <w:p>
      <w:pPr>
        <w:jc w:val="both"/>
        <w:ind w:firstLine="656"/>
        <w:spacing w:after="0" w:line="301" w:lineRule="auto"/>
        <w:tabs>
          <w:tab w:leader="none" w:pos="10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89" w:lineRule="exact"/>
        <w:rPr>
          <w:rFonts w:ascii="Arial" w:cs="Arial" w:eastAsia="Arial" w:hAnsi="Arial"/>
          <w:sz w:val="16"/>
          <w:szCs w:val="16"/>
          <w:color w:val="auto"/>
        </w:rPr>
      </w:pPr>
    </w:p>
    <w:p>
      <w:pPr>
        <w:jc w:val="both"/>
        <w:ind w:firstLine="656"/>
        <w:spacing w:after="0" w:line="263" w:lineRule="auto"/>
        <w:tabs>
          <w:tab w:leader="none" w:pos="10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(6) under “—Events of Default,” at any time until 121 days after such deposit;</w:t>
      </w:r>
    </w:p>
    <w:p>
      <w:pPr>
        <w:spacing w:after="0" w:line="102" w:lineRule="exact"/>
        <w:rPr>
          <w:rFonts w:ascii="Arial" w:cs="Arial" w:eastAsia="Arial" w:hAnsi="Arial"/>
          <w:sz w:val="18"/>
          <w:szCs w:val="18"/>
          <w:color w:val="auto"/>
        </w:rPr>
      </w:pPr>
    </w:p>
    <w:p>
      <w:pPr>
        <w:ind w:firstLine="656"/>
        <w:spacing w:after="0" w:line="277" w:lineRule="auto"/>
        <w:tabs>
          <w:tab w:leader="none" w:pos="10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deposit and legal defeasance will not result in a breach or violation of, or constitute a default under, any agreement or instrument to which we are a party or by which we are bound;</w:t>
      </w:r>
    </w:p>
    <w:p>
      <w:pPr>
        <w:spacing w:after="0" w:line="102" w:lineRule="exact"/>
        <w:rPr>
          <w:rFonts w:ascii="Arial" w:cs="Arial" w:eastAsia="Arial" w:hAnsi="Arial"/>
          <w:sz w:val="18"/>
          <w:szCs w:val="18"/>
          <w:color w:val="auto"/>
        </w:rPr>
      </w:pPr>
    </w:p>
    <w:p>
      <w:pPr>
        <w:jc w:val="both"/>
        <w:ind w:firstLine="656"/>
        <w:spacing w:after="0" w:line="259" w:lineRule="auto"/>
        <w:tabs>
          <w:tab w:leader="none" w:pos="112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w:t>
      </w:r>
    </w:p>
    <w:p>
      <w:pPr>
        <w:spacing w:after="0" w:line="119" w:lineRule="exact"/>
        <w:rPr>
          <w:rFonts w:ascii="Arial" w:cs="Arial" w:eastAsia="Arial" w:hAnsi="Arial"/>
          <w:sz w:val="18"/>
          <w:szCs w:val="18"/>
          <w:color w:val="auto"/>
        </w:rPr>
      </w:pPr>
    </w:p>
    <w:p>
      <w:pPr>
        <w:ind w:firstLine="656"/>
        <w:spacing w:after="0" w:line="277" w:lineRule="auto"/>
        <w:tabs>
          <w:tab w:leader="none" w:pos="10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deposit shall not cause the Trustee or the trust so created to be subject to the Investment Company Act of 1940 (Sections 1502 and 1504).</w:t>
      </w:r>
    </w:p>
    <w:p>
      <w:pPr>
        <w:spacing w:after="0" w:line="8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Covenant Defeasance</w:t>
      </w:r>
      <w:r>
        <w:rPr>
          <w:rFonts w:ascii="Arial" w:cs="Arial" w:eastAsia="Arial" w:hAnsi="Arial"/>
          <w:sz w:val="16"/>
          <w:szCs w:val="16"/>
          <w:color w:val="auto"/>
        </w:rPr>
        <w:t>. The Indentures provide that, upon our exercise of our option (if any) to have Section 1503 applied to any debt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we may omit to comply with certain restrictive covenants (but not to conversion, if applicable), including those that may be described in the applicable prospectus supplement, the occurrence of certain Events of Default, which are described above in clause (5) (with respect to such restrictive covenants) and clause (6) (with respect only to Significant Subsidiaries) under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1503 and 1504).</w:t>
      </w:r>
    </w:p>
    <w:p>
      <w:pPr>
        <w:spacing w:after="0" w:line="106" w:lineRule="exact"/>
        <w:rPr>
          <w:sz w:val="20"/>
          <w:szCs w:val="20"/>
          <w:color w:val="auto"/>
        </w:rPr>
      </w:pPr>
    </w:p>
    <w:p>
      <w:pPr>
        <w:ind w:left="180" w:right="1160" w:firstLine="468"/>
        <w:spacing w:after="0" w:line="414" w:lineRule="auto"/>
        <w:rPr>
          <w:sz w:val="20"/>
          <w:szCs w:val="20"/>
          <w:color w:val="auto"/>
        </w:rPr>
      </w:pPr>
      <w:r>
        <w:rPr>
          <w:rFonts w:ascii="Arial" w:cs="Arial" w:eastAsia="Arial" w:hAnsi="Arial"/>
          <w:sz w:val="18"/>
          <w:szCs w:val="18"/>
          <w:color w:val="auto"/>
        </w:rPr>
        <w:t xml:space="preserve">If we exercise either our legal defeasance or covenant defeasance option, any Subsidiary Guarantees will terminate (Section 1304). </w:t>
      </w:r>
      <w:r>
        <w:rPr>
          <w:rFonts w:ascii="Arial" w:cs="Arial" w:eastAsia="Arial" w:hAnsi="Arial"/>
          <w:sz w:val="18"/>
          <w:szCs w:val="18"/>
          <w:b w:val="1"/>
          <w:bCs w:val="1"/>
          <w:color w:val="auto"/>
        </w:rPr>
        <w:t>Notices</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may appear in the Security Register (Sections 101 and 106).</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Title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the Subsidiary Guarantors, the Trustees and any agent of us, the Subsidiary Guarantors or a Trustee may treat the Person in whose name a</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security is registered as the absolute owner of the debt security (whether or not such debt security may be overdue) for the purpose of making payment and for all other purposes (Section 308).</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Indentures and the debt securities will be governed by, and construed in accordance with, the law of the State of New York (Section 112).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73"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issue units comprised of common stock, preferred stock, warrants and other securities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19" w:lineRule="exact"/>
        <w:rPr>
          <w:sz w:val="20"/>
          <w:szCs w:val="20"/>
          <w:color w:val="auto"/>
        </w:rPr>
      </w:pPr>
    </w:p>
    <w:p>
      <w:pPr>
        <w:ind w:left="980" w:right="600" w:hanging="324"/>
        <w:spacing w:after="0" w:line="277" w:lineRule="auto"/>
        <w:tabs>
          <w:tab w:leader="none" w:pos="8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02"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44"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57"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applicable U.S. federal income tax considerations relating to the units;</w:t>
      </w:r>
    </w:p>
    <w:p>
      <w:pPr>
        <w:spacing w:after="0" w:line="157"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55" w:lineRule="exact"/>
        <w:rPr>
          <w:rFonts w:ascii="Arial" w:cs="Arial" w:eastAsia="Arial" w:hAnsi="Arial"/>
          <w:sz w:val="17"/>
          <w:szCs w:val="17"/>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15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Common Stock", "Description of Preferred Stock," and "Description of Warrants" will apply to the securities included in each unit, to the extent relevant and as may be updated in any prospectus supplements.</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Issuance in Series</w:t>
      </w:r>
    </w:p>
    <w:p>
      <w:pPr>
        <w:spacing w:after="0" w:line="1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 Agreements</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 without Consent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44" w:lineRule="exact"/>
        <w:rPr>
          <w:sz w:val="20"/>
          <w:szCs w:val="20"/>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cure any ambiguity in any provisions of the governing unit agreement that differ from those described below;</w:t>
      </w:r>
    </w:p>
    <w:p>
      <w:pPr>
        <w:spacing w:after="0" w:line="157"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44" w:lineRule="exact"/>
        <w:rPr>
          <w:rFonts w:ascii="Arial" w:cs="Arial" w:eastAsia="Arial" w:hAnsi="Arial"/>
          <w:sz w:val="18"/>
          <w:szCs w:val="18"/>
          <w:color w:val="auto"/>
        </w:rPr>
      </w:pPr>
    </w:p>
    <w:p>
      <w:pPr>
        <w:ind w:left="980" w:right="20" w:hanging="324"/>
        <w:spacing w:after="0" w:line="277" w:lineRule="auto"/>
        <w:tabs>
          <w:tab w:leader="none" w:pos="9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0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77" w:right="3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material respect. In those cases, we do not need to obtain the approval of the holder of the unaffected unit; we need only obtain any required approvals from the holders of the affected units.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 with Consent</w:t>
      </w:r>
    </w:p>
    <w:p>
      <w:pPr>
        <w:spacing w:after="0" w:line="14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103" w:lineRule="exact"/>
        <w:rPr>
          <w:sz w:val="20"/>
          <w:szCs w:val="20"/>
          <w:color w:val="auto"/>
        </w:rPr>
      </w:pPr>
    </w:p>
    <w:p>
      <w:pPr>
        <w:ind w:left="980" w:hanging="324"/>
        <w:spacing w:after="0" w:line="277" w:lineRule="auto"/>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02" w:lineRule="exact"/>
        <w:rPr>
          <w:rFonts w:ascii="Arial" w:cs="Arial" w:eastAsia="Arial" w:hAnsi="Arial"/>
          <w:sz w:val="18"/>
          <w:szCs w:val="18"/>
          <w:color w:val="auto"/>
        </w:rPr>
      </w:pPr>
    </w:p>
    <w:p>
      <w:pPr>
        <w:ind w:left="980" w:hanging="324"/>
        <w:spacing w:after="0" w:line="277" w:lineRule="auto"/>
        <w:tabs>
          <w:tab w:leader="none" w:pos="9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58" w:lineRule="exact"/>
        <w:rPr>
          <w:sz w:val="20"/>
          <w:szCs w:val="20"/>
          <w:color w:val="auto"/>
        </w:rPr>
      </w:pPr>
    </w:p>
    <w:p>
      <w:pPr>
        <w:ind w:left="980" w:hanging="324"/>
        <w:spacing w:after="0" w:line="277" w:lineRule="auto"/>
        <w:tabs>
          <w:tab w:leader="none" w:pos="9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102" w:lineRule="exact"/>
        <w:rPr>
          <w:rFonts w:ascii="Arial" w:cs="Arial" w:eastAsia="Arial" w:hAnsi="Arial"/>
          <w:sz w:val="18"/>
          <w:szCs w:val="18"/>
          <w:color w:val="auto"/>
        </w:rPr>
      </w:pPr>
    </w:p>
    <w:p>
      <w:pPr>
        <w:ind w:left="980" w:hanging="324"/>
        <w:spacing w:after="0" w:line="342" w:lineRule="auto"/>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 Agreements Will Not Be Qualified under Trust Indenture Act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holders of units issued under unit agreements will not have the protections of the Trust Indenture Act with respect to their units.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Mergers and Similar Transactions Permitted; No Restrictive Covenants or Events of Default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Governing Law</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unit agreements and the units will be governed by New York law.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Exchange and Transfer</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158" w:lineRule="exact"/>
        <w:rPr>
          <w:sz w:val="20"/>
          <w:szCs w:val="20"/>
          <w:color w:val="auto"/>
        </w:rPr>
      </w:pPr>
    </w:p>
    <w:p>
      <w:pPr>
        <w:ind w:left="1300" w:right="20" w:hanging="136"/>
        <w:spacing w:after="0" w:line="308" w:lineRule="auto"/>
        <w:rPr>
          <w:sz w:val="20"/>
          <w:szCs w:val="20"/>
          <w:color w:val="auto"/>
        </w:rPr>
      </w:pPr>
      <w:r>
        <w:rPr>
          <w:rFonts w:ascii="Arial" w:cs="Arial" w:eastAsia="Arial" w:hAnsi="Arial"/>
          <w:sz w:val="17"/>
          <w:szCs w:val="17"/>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73" w:right="339" w:bottom="1440" w:gutter="0" w:footer="0" w:header="0"/>
        </w:sectPr>
      </w:pPr>
    </w:p>
    <w:bookmarkStart w:id="30" w:name="page31"/>
    <w:bookmarkEnd w:id="30"/>
    <w:p>
      <w:pPr>
        <w:ind w:left="1300" w:hanging="97"/>
        <w:spacing w:after="0" w:line="277" w:lineRule="auto"/>
        <w:rPr>
          <w:sz w:val="20"/>
          <w:szCs w:val="20"/>
          <w:color w:val="auto"/>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03" w:lineRule="exact"/>
        <w:rPr>
          <w:sz w:val="20"/>
          <w:szCs w:val="20"/>
          <w:color w:val="auto"/>
        </w:rPr>
      </w:pPr>
    </w:p>
    <w:p>
      <w:pPr>
        <w:jc w:val="both"/>
        <w:ind w:left="1300" w:hanging="134"/>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106" w:lineRule="exact"/>
        <w:rPr>
          <w:sz w:val="20"/>
          <w:szCs w:val="20"/>
          <w:color w:val="auto"/>
        </w:rPr>
      </w:pPr>
    </w:p>
    <w:p>
      <w:pPr>
        <w:jc w:val="both"/>
        <w:ind w:left="1300" w:hanging="136"/>
        <w:spacing w:after="0" w:line="273" w:lineRule="auto"/>
        <w:rPr>
          <w:sz w:val="20"/>
          <w:szCs w:val="20"/>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10" w:lineRule="exact"/>
        <w:rPr>
          <w:sz w:val="20"/>
          <w:szCs w:val="20"/>
          <w:color w:val="auto"/>
        </w:rPr>
      </w:pPr>
    </w:p>
    <w:p>
      <w:pPr>
        <w:ind w:right="1740" w:firstLine="648"/>
        <w:spacing w:after="0" w:line="414" w:lineRule="auto"/>
        <w:rPr>
          <w:sz w:val="20"/>
          <w:szCs w:val="20"/>
          <w:color w:val="auto"/>
        </w:rPr>
      </w:pPr>
      <w:r>
        <w:rPr>
          <w:rFonts w:ascii="Arial" w:cs="Arial" w:eastAsia="Arial" w:hAnsi="Arial"/>
          <w:sz w:val="18"/>
          <w:szCs w:val="18"/>
          <w:color w:val="auto"/>
        </w:rPr>
        <w:t xml:space="preserve">Only the depositary will be entitled to transfer or exchange a unit in global form, since it will be the sole holder of the unit. </w:t>
      </w:r>
      <w:r>
        <w:rPr>
          <w:rFonts w:ascii="Arial" w:cs="Arial" w:eastAsia="Arial" w:hAnsi="Arial"/>
          <w:sz w:val="18"/>
          <w:szCs w:val="18"/>
          <w:i w:val="1"/>
          <w:iCs w:val="1"/>
          <w:color w:val="auto"/>
        </w:rPr>
        <w:t>Payments and Notices</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making payments and giving notices with respect to our units, we will follow the procedures as described in the applicable prospectus supplement.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sell securities from time to time pursuant to underwritten public offering, negotiated transactions, block trades or a combination of these methods in the United States through underwriters or dealers, directly to purchasers or through agents or in ordinary brokerage transactions and transactions in which the broker-dealer solicits purchasers. The securities may be distributed from time to time in one or more transactions:</w:t>
      </w:r>
    </w:p>
    <w:p>
      <w:pPr>
        <w:spacing w:after="0" w:line="84"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at a fixed price or prices, which may be changed;</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at market prices prevailing at the time of sale;</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at prices related to such prevailing market prices; or</w:t>
      </w:r>
    </w:p>
    <w:p>
      <w:pPr>
        <w:spacing w:after="0" w:line="144"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at negotiated prices.</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To the extent required by applicable law, a prospectus supplement will include the following information:</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terms of the offering;</w:t>
      </w:r>
    </w:p>
    <w:p>
      <w:pPr>
        <w:spacing w:after="0" w:line="144"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names of any underwriters or agents;</w:t>
      </w:r>
    </w:p>
    <w:p>
      <w:pPr>
        <w:spacing w:after="0" w:line="157" w:lineRule="exact"/>
        <w:rPr>
          <w:rFonts w:ascii="Arial" w:cs="Arial" w:eastAsia="Arial" w:hAnsi="Arial"/>
          <w:sz w:val="18"/>
          <w:szCs w:val="18"/>
          <w:b w:val="1"/>
          <w:bCs w:val="1"/>
          <w:color w:val="auto"/>
        </w:rPr>
      </w:pPr>
    </w:p>
    <w:p>
      <w:pPr>
        <w:ind w:left="1300" w:hanging="644"/>
        <w:spacing w:after="0" w:line="277" w:lineRule="auto"/>
        <w:tabs>
          <w:tab w:leader="none" w:pos="917"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purchase price of the securities and, if the purchase price is not payable in U.S. dollars, the currency or composite currency in which the purchase price is payable;</w:t>
      </w:r>
    </w:p>
    <w:p>
      <w:pPr>
        <w:spacing w:after="0" w:line="102"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net proceeds to us from the sale of the common stock;</w:t>
      </w:r>
    </w:p>
    <w:p>
      <w:pPr>
        <w:spacing w:after="0" w:line="144"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any delayed delivery arrangements;</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any underwriting discounts, commissions and other items constituting underwriters’ compensation;</w:t>
      </w:r>
    </w:p>
    <w:p>
      <w:pPr>
        <w:spacing w:after="0" w:line="144"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initial public offering price;</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any discounts or concessions allowed or reallowed or paid to dealers; and</w:t>
      </w:r>
    </w:p>
    <w:p>
      <w:pPr>
        <w:spacing w:after="0" w:line="157" w:lineRule="exact"/>
        <w:rPr>
          <w:rFonts w:ascii="Arial" w:cs="Arial" w:eastAsia="Arial" w:hAnsi="Arial"/>
          <w:sz w:val="18"/>
          <w:szCs w:val="18"/>
          <w:b w:val="1"/>
          <w:bCs w:val="1"/>
          <w:color w:val="auto"/>
        </w:rPr>
      </w:pPr>
    </w:p>
    <w:p>
      <w:pPr>
        <w:ind w:left="880" w:hanging="224"/>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any commissions paid to agents.</w:t>
      </w:r>
    </w:p>
    <w:p>
      <w:pPr>
        <w:spacing w:after="0" w:line="14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73" w:right="339" w:bottom="1440" w:gutter="0" w:footer="0" w:header="0"/>
        </w:sectPr>
      </w:pPr>
    </w:p>
    <w:bookmarkStart w:id="31" w:name="page32"/>
    <w:bookmarkEnd w:id="31"/>
    <w:p>
      <w:pPr>
        <w:jc w:val="both"/>
        <w:ind w:firstLine="648"/>
        <w:spacing w:after="0" w:line="259" w:lineRule="auto"/>
        <w:rPr>
          <w:sz w:val="20"/>
          <w:szCs w:val="20"/>
          <w:color w:val="auto"/>
        </w:rPr>
      </w:pPr>
      <w:r>
        <w:rPr>
          <w:rFonts w:ascii="Arial" w:cs="Arial" w:eastAsia="Arial" w:hAnsi="Arial"/>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w:t>
      </w:r>
    </w:p>
    <w:p>
      <w:pPr>
        <w:spacing w:after="0" w:line="1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1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consideration or discount to be received by any FINRA member or independent broker dealer may not exceed 8% of the aggregate proceeds of the offering.</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securities will be passed upon for us by Baker, Donelson, Bearman, Caldwell &amp; Berkowitz, PC. Legal counsel to any underwriters may pass upon legal matters for such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73"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EXPERTS</w:t>
      </w:r>
    </w:p>
    <w:p>
      <w:pPr>
        <w:spacing w:after="0" w:line="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consolidated financial statements and schedule of Cumberland Pharmaceuticals Inc. as of December 31, 2019 and 2018, and for each of the three years in the period ended December 31, 2019 incorporated by reference in this prospectus have been so incorporated in reliance on the report of BDO USA, LLP, an independent registered public accounting firm, incorporated herein by reference, given on the authority of said firm as experts in auditing and accounting.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Arial" w:cs="Arial" w:eastAsia="Arial" w:hAnsi="Arial"/>
          <w:sz w:val="18"/>
          <w:szCs w:val="18"/>
          <w:u w:val="single" w:color="auto"/>
          <w:color w:val="0000FF"/>
        </w:rPr>
        <w:t>www.sec.gov</w:t>
      </w:r>
      <w:r>
        <w:rPr>
          <w:rFonts w:ascii="Arial" w:cs="Arial" w:eastAsia="Arial" w:hAnsi="Arial"/>
          <w:sz w:val="18"/>
          <w:szCs w:val="18"/>
          <w:color w:val="auto"/>
        </w:rPr>
        <w:t xml:space="preserve">). Our SEC filings are also available on our website located at </w:t>
      </w:r>
      <w:r>
        <w:rPr>
          <w:rFonts w:ascii="Arial" w:cs="Arial" w:eastAsia="Arial" w:hAnsi="Arial"/>
          <w:sz w:val="18"/>
          <w:szCs w:val="18"/>
          <w:i w:val="1"/>
          <w:iCs w:val="1"/>
          <w:color w:val="auto"/>
        </w:rPr>
        <w:t>www.cumberlandpharma.com</w:t>
      </w:r>
      <w:r>
        <w:rPr>
          <w:rFonts w:ascii="Arial" w:cs="Arial" w:eastAsia="Arial" w:hAnsi="Arial"/>
          <w:sz w:val="18"/>
          <w:szCs w:val="18"/>
          <w:color w:val="auto"/>
        </w:rPr>
        <w:t>. Information contained on our website is not incorporated by reference into this prospectus and, therefore, is not part of this prospectus or any accompanying prospectus supplement.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incorporating by reference in this prospectus the documents that we file with the SEC. This means that we are disclosing important information to you by referring to these filings. The information we incorporate by reference is considered a part of this prospectus, and subsequent information that we file with the SEC will automatically update and supersede this information.</w:t>
      </w:r>
    </w:p>
    <w:p>
      <w:pPr>
        <w:spacing w:after="0" w:line="14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other subsequently filed document that is considered to be incorporated by reference in this prospectus modifies or supersedes such statement.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the following documents that we have filed with the SEC:</w:t>
      </w:r>
    </w:p>
    <w:p>
      <w:pPr>
        <w:spacing w:after="0" w:line="185" w:lineRule="exact"/>
        <w:rPr>
          <w:sz w:val="20"/>
          <w:szCs w:val="20"/>
          <w:color w:val="auto"/>
        </w:rPr>
      </w:pPr>
    </w:p>
    <w:p>
      <w:pPr>
        <w:ind w:left="1300" w:right="20" w:hanging="644"/>
        <w:spacing w:after="0" w:line="342" w:lineRule="auto"/>
        <w:tabs>
          <w:tab w:leader="none" w:pos="971"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Annual Report on Form 10-K for the fiscal year ended December 31, 2019, filed on March 20, 2020, including information specifically incorporated by reference into our Form 10-K from our Proxy Statement for our Annual Meeting of Shareholders held on May 5, 2020;</w:t>
      </w:r>
    </w:p>
    <w:p>
      <w:pPr>
        <w:spacing w:after="0" w:line="83" w:lineRule="exact"/>
        <w:rPr>
          <w:rFonts w:ascii="Arial" w:cs="Arial" w:eastAsia="Arial" w:hAnsi="Arial"/>
          <w:sz w:val="16"/>
          <w:szCs w:val="16"/>
          <w:b w:val="1"/>
          <w:bCs w:val="1"/>
          <w:color w:val="auto"/>
        </w:rPr>
      </w:pPr>
    </w:p>
    <w:p>
      <w:pPr>
        <w:ind w:left="1300" w:hanging="644"/>
        <w:spacing w:after="0" w:line="277" w:lineRule="auto"/>
        <w:tabs>
          <w:tab w:leader="none" w:pos="917"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March 31, 2020, filed on May 22, 2020, as amended by that Amendment to Quarterly Report on Form 10-Q filed on July 24, 2020;</w:t>
      </w:r>
    </w:p>
    <w:p>
      <w:pPr>
        <w:spacing w:after="0" w:line="143" w:lineRule="exact"/>
        <w:rPr>
          <w:rFonts w:ascii="Arial" w:cs="Arial" w:eastAsia="Arial" w:hAnsi="Arial"/>
          <w:sz w:val="18"/>
          <w:szCs w:val="18"/>
          <w:b w:val="1"/>
          <w:bCs w:val="1"/>
          <w:color w:val="auto"/>
        </w:rPr>
      </w:pPr>
    </w:p>
    <w:p>
      <w:pPr>
        <w:ind w:left="880" w:hanging="224"/>
        <w:spacing w:after="0"/>
        <w:tabs>
          <w:tab w:leader="none" w:pos="8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June 30, 2020, filed on August 14, 2020;</w:t>
      </w:r>
    </w:p>
    <w:p>
      <w:pPr>
        <w:spacing w:after="0" w:line="184" w:lineRule="exact"/>
        <w:rPr>
          <w:rFonts w:ascii="Arial" w:cs="Arial" w:eastAsia="Arial" w:hAnsi="Arial"/>
          <w:sz w:val="18"/>
          <w:szCs w:val="18"/>
          <w:b w:val="1"/>
          <w:bCs w:val="1"/>
          <w:color w:val="auto"/>
        </w:rPr>
      </w:pPr>
    </w:p>
    <w:p>
      <w:pPr>
        <w:ind w:left="880" w:hanging="224"/>
        <w:spacing w:after="0"/>
        <w:tabs>
          <w:tab w:leader="none" w:pos="8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quarter ended September 30, 2020, filed on November 13, 2020;</w:t>
      </w:r>
    </w:p>
    <w:p>
      <w:pPr>
        <w:spacing w:after="0" w:line="184" w:lineRule="exact"/>
        <w:rPr>
          <w:rFonts w:ascii="Arial" w:cs="Arial" w:eastAsia="Arial" w:hAnsi="Arial"/>
          <w:sz w:val="18"/>
          <w:szCs w:val="18"/>
          <w:b w:val="1"/>
          <w:bCs w:val="1"/>
          <w:color w:val="auto"/>
        </w:rPr>
      </w:pPr>
    </w:p>
    <w:p>
      <w:pPr>
        <w:ind w:left="1300" w:hanging="644"/>
        <w:spacing w:after="0" w:line="277" w:lineRule="auto"/>
        <w:tabs>
          <w:tab w:leader="none" w:pos="89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Current Report on Form 8-K and 8-K/A filed with the SEC on January 3, 2020, January 10, 2020, April 21, 2020, May 1, 2020, May 8, 2020, May 29, 2020, October 9, 2020 and December 10, 2020; and</w:t>
      </w:r>
    </w:p>
    <w:p>
      <w:pPr>
        <w:spacing w:after="0" w:line="143" w:lineRule="exact"/>
        <w:rPr>
          <w:rFonts w:ascii="Arial" w:cs="Arial" w:eastAsia="Arial" w:hAnsi="Arial"/>
          <w:sz w:val="18"/>
          <w:szCs w:val="18"/>
          <w:b w:val="1"/>
          <w:bCs w:val="1"/>
          <w:color w:val="auto"/>
        </w:rPr>
      </w:pPr>
    </w:p>
    <w:p>
      <w:pPr>
        <w:ind w:left="1300" w:hanging="644"/>
        <w:spacing w:after="0" w:line="277" w:lineRule="auto"/>
        <w:tabs>
          <w:tab w:leader="none" w:pos="985"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description of the Company’s common stock contained in its registration statement on Form 8-A filed on August 1, 2007, and any amendment or report subsequently filed for the purpose of updating such description.</w:t>
      </w:r>
    </w:p>
    <w:p>
      <w:pPr>
        <w:spacing w:after="0" w:line="1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we incorporate by reference into this prospectus (i) all other reports filed pursuant to Section 13(a) or 15(d) of the Exchange Act since December 31, 2019, except for information furnished under Form 8-K which is not deemed filed and not incorporated herein by reference, (ii) all documents filed by us pursuant to Section 13(a), 13(c), 14 or 15(d) of the Exchange Act subsequent to the date of this prospectus and before we have sold all of the common stock to which the prospectus relates or the offering is otherwise terminated and (iii) all documents filed by us pursuant to the Exchange Act after the date of the initial registration statement and prior to effectiveness of the registration statement.</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is delivered, upon written or oral request, a copy of any or all of the information that has been incorporated in this prospectus by reference but not delivered with this prospectus. Requests for copies should be directed to Cumberland Pharmaceuticals Inc., ATTN: Investor Relations, 2525 West End Avenue, Suite 950, Nashville, Tennessee 37203, telephone (615) 255-0068.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56" w:right="339" w:bottom="1440" w:gutter="0" w:footer="0" w:header="0"/>
        </w:sectPr>
      </w:pPr>
    </w:p>
    <w:bookmarkStart w:id="33" w:name="page34"/>
    <w:bookmarkEnd w:id="33"/>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 to $19,000,000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 Riley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6"/>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5"/>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4"/>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2"/>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2"/>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sec.gov/ix?doc=/Archives/edgar/data/1087294/000162828021004654/cpix-20201231.htm" TargetMode="External"/><Relationship Id="rId11" Type="http://schemas.openxmlformats.org/officeDocument/2006/relationships/hyperlink" Target="https://www.sec.gov/ix?doc=/Archives/edgar/data/1087294/000162828021010387/cpix-20210331.htm" TargetMode="External"/><Relationship Id="rId12" Type="http://schemas.openxmlformats.org/officeDocument/2006/relationships/hyperlink" Target="https://www.sec.gov/ix?doc=/Archives/edgar/data/1087294/000162828021017022/cpix-20210630.htm" TargetMode="External"/><Relationship Id="rId13" Type="http://schemas.openxmlformats.org/officeDocument/2006/relationships/hyperlink" Target="https://www.sec.gov/ix?doc=/Archives/edgar/data/1087294/000162828021023213/cpix-20210930.htm" TargetMode="External"/><Relationship Id="rId14" Type="http://schemas.openxmlformats.org/officeDocument/2006/relationships/hyperlink" Target="https://www.sec.gov/Archives/edgar/data/1087294/000162828021008486/aapril2021annualshareholde.htm" TargetMode="External"/><Relationship Id="rId15" Type="http://schemas.openxmlformats.org/officeDocument/2006/relationships/hyperlink" Target="https://www.sec.gov/Archives/edgar/data/1087294/000162828021010388/a8-kcfoq12021.htm" TargetMode="External"/><Relationship Id="rId16" Type="http://schemas.openxmlformats.org/officeDocument/2006/relationships/hyperlink" Target="https://www.sec.gov/Archives/edgar/data/1087294/000162828021012190/ppploanforgiven.htm" TargetMode="External"/><Relationship Id="rId17" Type="http://schemas.openxmlformats.org/officeDocument/2006/relationships/hyperlink" Target="https://www.sec.gov/ix?doc=/Archives/edgar/data/1087294/000162828021021025/cpix-20211101.htm" TargetMode="External"/><Relationship Id="rId18" Type="http://schemas.openxmlformats.org/officeDocument/2006/relationships/hyperlink" Target="https://www.sec.gov/ix?doc=/Archives/edgar/data/1087294/000162828021023902/cpix-20211119.htm" TargetMode="External"/><Relationship Id="rId19" Type="http://schemas.openxmlformats.org/officeDocument/2006/relationships/hyperlink" Target="https://www.sec.gov/ix?doc=/Archives/edgar/data/1087294/000162828021024264/cpix-20211130.htm" TargetMode="External"/><Relationship Id="rId20" Type="http://schemas.openxmlformats.org/officeDocument/2006/relationships/hyperlink" Target="https://www.sec.gov/Archives/edgar/data/1087294/000095014407007080/g06286abe8va12b.htm" TargetMode="External"/><Relationship Id="rId21" Type="http://schemas.openxmlformats.org/officeDocument/2006/relationships/hyperlink" Target="https://www.sec.gov/Archives/edgar/data/1087294/000095014407007143/g06286r8e8va12bz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2021-12-27T16:04:05Z</dcterms:created>
  <dcterms:modified xsi:type="dcterms:W3CDTF">2021-12-27T16:04:05Z</dcterms:modified>
</cp:coreProperties>
</file>