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345"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345"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220" w:after="283"/>
        <w:jc w:val="center"/>
        <w:rPr>
          <w:rFonts w:ascii="Times New Roman;sans-serif" w:hAnsi="Times New Roman;sans-serif"/>
          <w:b/>
          <w:color w:val="231F20"/>
          <w:sz w:val="24"/>
        </w:rPr>
      </w:pPr>
      <w:r>
        <w:rPr>
          <w:rFonts w:ascii="Times New Roman;sans-serif" w:hAnsi="Times New Roman;sans-serif"/>
          <w:b/>
          <w:color w:val="231F20"/>
          <w:sz w:val="24"/>
        </w:rPr>
        <w:t>CURRENT REPORT</w:t>
      </w:r>
    </w:p>
    <w:p>
      <w:pPr>
        <w:pStyle w:val="TextBody"/>
        <w:bidi w:val="0"/>
        <w:spacing w:lineRule="auto" w:line="288" w:before="20" w:after="283"/>
        <w:jc w:val="center"/>
        <w:rPr>
          <w:rFonts w:ascii="Times New Roman;sans-serif" w:hAnsi="Times New Roman;sans-serif"/>
          <w:b/>
          <w:color w:val="231F20"/>
          <w:sz w:val="24"/>
        </w:rPr>
      </w:pPr>
      <w:r>
        <w:rPr>
          <w:rFonts w:ascii="Times New Roman;sans-serif" w:hAnsi="Times New Roman;sans-serif"/>
          <w:b/>
          <w:color w:val="231F2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November 11, 2024 (November 6, 2024)</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Date of Report (date of earliest event reported)</w:t>
      </w:r>
    </w:p>
    <w:p>
      <w:pPr>
        <w:pStyle w:val="TextBody"/>
        <w:bidi w:val="0"/>
        <w:spacing w:before="0" w:after="0"/>
        <w:jc w:val="left"/>
        <w:rPr/>
      </w:pPr>
      <w:r>
        <w:rPr/>
      </w:r>
    </w:p>
    <w:p>
      <w:pPr>
        <w:pStyle w:val="TextBody"/>
        <w:bidi w:val="0"/>
        <w:spacing w:lineRule="auto" w:line="345"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CUMBERLAND PHARMACEUTICALS INC. </w:t>
      </w:r>
    </w:p>
    <w:p>
      <w:pPr>
        <w:pStyle w:val="TextBody"/>
        <w:bidi w:val="0"/>
        <w:spacing w:lineRule="auto" w:line="345" w:before="0" w:after="0"/>
        <w:jc w:val="center"/>
        <w:rPr>
          <w:rFonts w:ascii="Times New Roman;sans-serif" w:hAnsi="Times New Roman;sans-serif"/>
          <w:b/>
          <w:color w:val="000000"/>
          <w:sz w:val="24"/>
        </w:rPr>
      </w:pPr>
      <w:r>
        <w:rPr>
          <w:rFonts w:ascii="Times New Roman;sans-serif" w:hAnsi="Times New Roman;sans-serif"/>
          <w:b/>
          <w:color w:val="000000"/>
          <w:sz w:val="24"/>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778"/>
        <w:gridCol w:w="1566"/>
        <w:gridCol w:w="1573"/>
        <w:gridCol w:w="378"/>
        <w:gridCol w:w="378"/>
        <w:gridCol w:w="378"/>
        <w:gridCol w:w="378"/>
        <w:gridCol w:w="378"/>
        <w:gridCol w:w="386"/>
        <w:gridCol w:w="877"/>
        <w:gridCol w:w="877"/>
        <w:gridCol w:w="1258"/>
      </w:tblGrid>
      <w:tr>
        <w:trPr/>
        <w:tc>
          <w:tcPr>
            <w:tcW w:w="1778"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Tennessee</w:t>
            </w:r>
          </w:p>
        </w:tc>
        <w:tc>
          <w:tcPr>
            <w:tcW w:w="2276" w:type="dxa"/>
            <w:gridSpan w:val="6"/>
            <w:tcBorders/>
            <w:tcMar>
              <w:top w:w="0" w:type="dxa"/>
              <w:left w:w="0" w:type="dxa"/>
              <w:bottom w:w="0" w:type="dxa"/>
              <w:right w:w="0" w:type="dxa"/>
            </w:tcMar>
            <w:vAlign w:val="center"/>
          </w:tcPr>
          <w:p>
            <w:pPr>
              <w:pStyle w:val="TableContents"/>
              <w:bidi w:val="0"/>
              <w:spacing w:lineRule="auto" w:line="345" w:before="0" w:after="283"/>
              <w:jc w:val="center"/>
              <w:rPr>
                <w:rFonts w:ascii="Times New Roman;sans-serif" w:hAnsi="Times New Roman;sans-serif"/>
                <w:b/>
                <w:color w:val="000000"/>
                <w:sz w:val="20"/>
              </w:rPr>
            </w:pPr>
            <w:r>
              <w:rPr>
                <w:rFonts w:ascii="Times New Roman;sans-serif" w:hAnsi="Times New Roman;sans-serif"/>
                <w:b/>
                <w:color w:val="000000"/>
                <w:sz w:val="20"/>
              </w:rPr>
              <w:t>001-33637</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62-1765329</w:t>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2276"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1600 West End Avenue, Suite 1300 Nashville, Tennessee 37203</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(615) 255-0068 </w:t>
      </w:r>
    </w:p>
    <w:p>
      <w:pPr>
        <w:pStyle w:val="TextBody"/>
        <w:bidi w:val="0"/>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before="0" w:after="20"/>
        <w:jc w:val="left"/>
        <w:rPr/>
      </w:pPr>
      <w:r>
        <w:rPr/>
      </w:r>
    </w:p>
    <w:p>
      <w:pPr>
        <w:pStyle w:val="TextBody"/>
        <w:bidi w:val="0"/>
        <w:spacing w:lineRule="auto" w:line="288" w:before="0" w:after="20"/>
        <w:jc w:val="left"/>
        <w:rPr/>
      </w:pPr>
      <w:r>
        <w:rPr>
          <w:color w:val="000000"/>
        </w:rPr>
        <w:t xml:space="preserve">☐ </w:t>
      </w:r>
      <w:r>
        <w:rPr>
          <w:rFonts w:ascii="Times New Roman;sans-serif" w:hAnsi="Times New Roman;sans-serif"/>
          <w:b w:val="false"/>
          <w:color w:val="231F20"/>
          <w:sz w:val="20"/>
        </w:rPr>
        <w:t xml:space="preserve">Soliciting material pursuant to Rule 14a-12 under the Exchange Act (17 CFR 240.14a-12) </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ans-serif" w:hAnsi="Times New Roman;sans-serif"/>
          <w:b w:val="false"/>
          <w:color w:val="231F20"/>
          <w:sz w:val="20"/>
        </w:rPr>
        <w:t xml:space="preserve">Pre-commencement communications pursuant to Rule 14d-2(b) under the Exchange Act (17 CFR 240.14d-2(b)) </w:t>
      </w:r>
    </w:p>
    <w:p>
      <w:pPr>
        <w:pStyle w:val="TextBody"/>
        <w:bidi w:val="0"/>
        <w:spacing w:before="0" w:after="0"/>
        <w:jc w:val="left"/>
        <w:rPr/>
      </w:pPr>
      <w:r>
        <w:rPr/>
      </w:r>
    </w:p>
    <w:p>
      <w:pPr>
        <w:pStyle w:val="TextBody"/>
        <w:bidi w:val="0"/>
        <w:spacing w:lineRule="auto" w:line="288" w:before="0" w:after="20"/>
        <w:jc w:val="left"/>
        <w:rPr/>
      </w:pPr>
      <w:r>
        <w:rPr>
          <w:color w:val="000000"/>
        </w:rPr>
        <w:t>☐</w:t>
      </w:r>
      <w:r>
        <w:rPr>
          <w:color w:val="231F20"/>
        </w:rPr>
        <w:t xml:space="preserve"> </w:t>
      </w:r>
      <w:r>
        <w:rPr>
          <w:rFonts w:ascii="Times New Roman;sans-serif" w:hAnsi="Times New Roman;sans-serif"/>
          <w:b w:val="false"/>
          <w:color w:val="231F2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7798" w:type="dxa"/>
        <w:jc w:val="center"/>
        <w:tblInd w:w="0" w:type="dxa"/>
        <w:tblLayout w:type="fixed"/>
        <w:tblCellMar>
          <w:top w:w="28" w:type="dxa"/>
          <w:left w:w="28" w:type="dxa"/>
          <w:bottom w:w="28" w:type="dxa"/>
          <w:right w:w="28" w:type="dxa"/>
        </w:tblCellMar>
      </w:tblPr>
      <w:tblGrid>
        <w:gridCol w:w="896"/>
        <w:gridCol w:w="784"/>
        <w:gridCol w:w="794"/>
        <w:gridCol w:w="539"/>
        <w:gridCol w:w="539"/>
        <w:gridCol w:w="541"/>
        <w:gridCol w:w="1085"/>
        <w:gridCol w:w="1085"/>
        <w:gridCol w:w="1535"/>
      </w:tblGrid>
      <w:tr>
        <w:trPr/>
        <w:tc>
          <w:tcPr>
            <w:tcW w:w="89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4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no par value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CPIX</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Emerging growth company </w:t>
      </w:r>
      <w:r>
        <w:rPr>
          <w:color w:val="000000"/>
        </w:rPr>
        <w:t>☐</w:t>
      </w:r>
      <w:r>
        <w:rPr>
          <w:color w:val="231F2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8.01     Other Events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6, 2024, Cumberland Pharmaceuticals Inc. (“Cumberland” or the “Company”) announced the U. S. Food and Drug Administration ("FDA") granted Orphan Drug Designation and Rare Pediatric Disease Designation to Ifetroban for the treatment of cardiomyopathy associated with Duchenne muscular dystrophy ("DMD"). Cumberland is completing the FIGHT DMD™ trial, a multicenter, double-blind, placebo-controlled Phase II study investigating the pharmacokinetics, safety and efficacy of once daily oral Ifetroban in patients with DMD. Results will be announced later this year.</w:t>
      </w:r>
    </w:p>
    <w:p>
      <w:pPr>
        <w:pStyle w:val="TextBody"/>
        <w:bidi w:val="0"/>
        <w:spacing w:lineRule="auto" w:line="288" w:before="160" w:after="283"/>
        <w:jc w:val="both"/>
        <w:rPr/>
      </w:pPr>
      <w:r>
        <w:rPr>
          <w:rFonts w:ascii="Times New Roman;sans-serif" w:hAnsi="Times New Roman;sans-serif"/>
          <w:b w:val="false"/>
          <w:color w:val="000000"/>
          <w:sz w:val="20"/>
        </w:rPr>
        <w:t xml:space="preserve">A copy of the release is furnished as </w:t>
      </w:r>
      <w:hyperlink w:anchor="dmd-orphandrugrarediseased.htm">
        <w:r>
          <w:rPr>
            <w:rStyle w:val="InternetLink"/>
            <w:rFonts w:ascii="Times New Roman;sans-serif" w:hAnsi="Times New Roman;sans-serif"/>
            <w:b w:val="false"/>
            <w:color w:val="0000FF"/>
            <w:sz w:val="20"/>
            <w:u w:val="single"/>
          </w:rPr>
          <w:t>Exhibit 99.1</w:t>
        </w:r>
      </w:hyperlink>
      <w:r>
        <w:rPr>
          <w:rFonts w:ascii="Times New Roman;sans-serif" w:hAnsi="Times New Roman;sans-serif"/>
          <w:b w:val="false"/>
          <w:color w:val="000000"/>
          <w:sz w:val="20"/>
        </w:rPr>
        <w:t>.</w:t>
      </w:r>
    </w:p>
    <w:p>
      <w:pPr>
        <w:pStyle w:val="TextBody"/>
        <w:bidi w:val="0"/>
        <w:spacing w:before="160" w:after="283"/>
        <w:jc w:val="both"/>
        <w:rPr/>
      </w:pPr>
      <w:r>
        <w:rPr/>
      </w:r>
    </w:p>
    <w:p>
      <w:pPr>
        <w:pStyle w:val="TextBody"/>
        <w:bidi w:val="0"/>
        <w:spacing w:before="160" w:after="283"/>
        <w:jc w:val="both"/>
        <w:rPr/>
      </w:pPr>
      <w:r>
        <w:rPr/>
      </w:r>
    </w:p>
    <w:tbl>
      <w:tblPr>
        <w:tblW w:w="4317" w:type="dxa"/>
        <w:jc w:val="left"/>
        <w:tblInd w:w="0" w:type="dxa"/>
        <w:tblLayout w:type="fixed"/>
        <w:tblCellMar>
          <w:top w:w="28" w:type="dxa"/>
          <w:left w:w="28" w:type="dxa"/>
          <w:bottom w:w="28" w:type="dxa"/>
          <w:right w:w="28" w:type="dxa"/>
        </w:tblCellMar>
      </w:tblPr>
      <w:tblGrid>
        <w:gridCol w:w="288"/>
        <w:gridCol w:w="252"/>
        <w:gridCol w:w="255"/>
        <w:gridCol w:w="109"/>
        <w:gridCol w:w="109"/>
        <w:gridCol w:w="109"/>
        <w:gridCol w:w="932"/>
        <w:gridCol w:w="932"/>
        <w:gridCol w:w="1331"/>
      </w:tblGrid>
      <w:tr>
        <w:trPr/>
        <w:tc>
          <w:tcPr>
            <w:tcW w:w="28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Description</w:t>
            </w:r>
          </w:p>
        </w:tc>
      </w:tr>
      <w:tr>
        <w:trPr/>
        <w:tc>
          <w:tcPr>
            <w:tcW w:w="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md-orphandrugrarediseased.htm">
              <w:r>
                <w:rPr>
                  <w:rStyle w:val="InternetLink"/>
                  <w:rFonts w:ascii="Times New Roman;sans-serif" w:hAnsi="Times New Roman;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md-orphandrugrarediseased.htm">
              <w:r>
                <w:rPr>
                  <w:rStyle w:val="InternetLink"/>
                  <w:rFonts w:ascii="Times New Roman;sans-serif" w:hAnsi="Times New Roman;sans-serif"/>
                  <w:b w:val="false"/>
                  <w:color w:val="000080"/>
                  <w:sz w:val="20"/>
                  <w:u w:val="single"/>
                </w:rPr>
                <w:t xml:space="preserve">Press release dated November </w:t>
              </w:r>
            </w:hyperlink>
            <w:hyperlink w:anchor="dmd-orphandrugrarediseased.htm">
              <w:r>
                <w:rPr>
                  <w:rStyle w:val="InternetLink"/>
                  <w:rFonts w:ascii="Times New Roman;sans-serif" w:hAnsi="Times New Roman;sans-serif"/>
                  <w:b w:val="false"/>
                  <w:color w:val="000080"/>
                  <w:sz w:val="20"/>
                  <w:u w:val="single"/>
                </w:rPr>
                <w:t>6</w:t>
              </w:r>
            </w:hyperlink>
            <w:hyperlink w:anchor="dmd-orphandrugrarediseased.htm">
              <w:r>
                <w:rPr>
                  <w:rStyle w:val="InternetLink"/>
                  <w:rFonts w:ascii="Times New Roman;sans-serif" w:hAnsi="Times New Roman;sans-serif"/>
                  <w:b w:val="false"/>
                  <w:color w:val="000080"/>
                  <w:sz w:val="20"/>
                  <w:u w:val="single"/>
                </w:rPr>
                <w:t>, 2024</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5"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25"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6207" w:type="dxa"/>
        <w:jc w:val="center"/>
        <w:tblInd w:w="0" w:type="dxa"/>
        <w:tblLayout w:type="fixed"/>
        <w:tblCellMar>
          <w:top w:w="28" w:type="dxa"/>
          <w:left w:w="28" w:type="dxa"/>
          <w:bottom w:w="28" w:type="dxa"/>
          <w:right w:w="28" w:type="dxa"/>
        </w:tblCellMar>
      </w:tblPr>
      <w:tblGrid>
        <w:gridCol w:w="835"/>
        <w:gridCol w:w="734"/>
        <w:gridCol w:w="741"/>
        <w:gridCol w:w="109"/>
        <w:gridCol w:w="109"/>
        <w:gridCol w:w="109"/>
        <w:gridCol w:w="109"/>
        <w:gridCol w:w="109"/>
        <w:gridCol w:w="109"/>
        <w:gridCol w:w="109"/>
        <w:gridCol w:w="109"/>
        <w:gridCol w:w="109"/>
        <w:gridCol w:w="303"/>
        <w:gridCol w:w="303"/>
        <w:gridCol w:w="303"/>
        <w:gridCol w:w="312"/>
        <w:gridCol w:w="312"/>
        <w:gridCol w:w="312"/>
        <w:gridCol w:w="312"/>
        <w:gridCol w:w="312"/>
        <w:gridCol w:w="447"/>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Cumberland Pharmaceuticals Inc.</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November 11,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John Hamm</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Hamm</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83"/>
        <w:jc w:val="center"/>
        <w:rPr/>
      </w:pPr>
      <w:r>
        <w:rPr/>
        <w:drawing>
          <wp:inline distT="0" distB="0" distL="0" distR="0">
            <wp:extent cx="3943350" cy="8953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3943350" cy="89535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417" w:before="0" w:after="0"/>
        <w:jc w:val="center"/>
        <w:rPr>
          <w:rFonts w:ascii="Times New Roman;sans-serif" w:hAnsi="Times New Roman;sans-serif"/>
          <w:b/>
          <w:color w:val="000000"/>
          <w:sz w:val="24"/>
        </w:rPr>
      </w:pPr>
      <w:r>
        <w:rPr>
          <w:rFonts w:ascii="Times New Roman;sans-serif" w:hAnsi="Times New Roman;sans-serif"/>
          <w:b/>
          <w:color w:val="000000"/>
          <w:sz w:val="24"/>
        </w:rPr>
        <w:t>CUMBERLAND PHARMACEUTICALS RECEIVES FDA</w:t>
      </w:r>
    </w:p>
    <w:p>
      <w:pPr>
        <w:pStyle w:val="TextBody"/>
        <w:bidi w:val="0"/>
        <w:spacing w:lineRule="auto" w:line="417"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ORPHAN DRUG AND RARE PEDIATRIC DISEASE DESIGNATIONS </w:t>
      </w:r>
    </w:p>
    <w:p>
      <w:pPr>
        <w:pStyle w:val="TextBody"/>
        <w:bidi w:val="0"/>
        <w:spacing w:lineRule="auto" w:line="417" w:before="0" w:after="0"/>
        <w:jc w:val="center"/>
        <w:rPr>
          <w:rFonts w:ascii="Times New Roman;sans-serif" w:hAnsi="Times New Roman;sans-serif"/>
          <w:b/>
          <w:color w:val="000000"/>
          <w:sz w:val="24"/>
        </w:rPr>
      </w:pPr>
      <w:r>
        <w:rPr>
          <w:rFonts w:ascii="Times New Roman;sans-serif" w:hAnsi="Times New Roman;sans-serif"/>
          <w:b/>
          <w:color w:val="000000"/>
          <w:sz w:val="24"/>
        </w:rPr>
        <w:t>FOR NEW TREATMENT OF DUCHENNE MUSCULAR DYSTROPHY</w:t>
      </w:r>
    </w:p>
    <w:p>
      <w:pPr>
        <w:pStyle w:val="TextBody"/>
        <w:bidi w:val="0"/>
        <w:spacing w:before="0" w:after="0"/>
        <w:jc w:val="center"/>
        <w:rPr/>
      </w:pPr>
      <w:r>
        <w:rPr/>
      </w:r>
    </w:p>
    <w:p>
      <w:pPr>
        <w:pStyle w:val="TextBody"/>
        <w:bidi w:val="0"/>
        <w:spacing w:lineRule="auto" w:line="300" w:before="0" w:after="120"/>
        <w:jc w:val="both"/>
        <w:rPr/>
      </w:pPr>
      <w:r>
        <w:rPr>
          <w:rFonts w:ascii="Times New Roman;sans-serif" w:hAnsi="Times New Roman;sans-serif"/>
          <w:b/>
          <w:color w:val="000000"/>
          <w:sz w:val="24"/>
        </w:rPr>
        <w:t>NASHVILLE, Tenn. (November 6, 2024) - Cumberland Pharmaceuticals Inc. (NASDAQ: CPIX)</w:t>
      </w:r>
      <w:r>
        <w:rPr>
          <w:rFonts w:ascii="Times New Roman;sans-serif" w:hAnsi="Times New Roman;sans-serif"/>
          <w:b w:val="false"/>
          <w:color w:val="000000"/>
          <w:sz w:val="24"/>
        </w:rPr>
        <w:t xml:space="preserve">, a specialty pharmaceutical company, announced today that the United States (U.S.) Food and Drug Administration (FDA) granted Orphan Drug Designation and Rare Pediatric Disease Designation to Ifetroban for the treatment of cardiomyopathy associated with Duchenne muscular dystrophy (DMD). Cumberland is completing the </w:t>
      </w:r>
      <w:r>
        <w:rPr>
          <w:rFonts w:ascii="Times New Roman;sans-serif" w:hAnsi="Times New Roman;sans-serif"/>
          <w:b w:val="false"/>
          <w:color w:val="0563C1"/>
          <w:sz w:val="24"/>
          <w:u w:val="single"/>
        </w:rPr>
        <w:t>FIGHT DMD™ trial</w:t>
      </w:r>
      <w:r>
        <w:rPr>
          <w:rFonts w:ascii="Times New Roman;sans-serif" w:hAnsi="Times New Roman;sans-serif"/>
          <w:b w:val="false"/>
          <w:color w:val="000000"/>
          <w:sz w:val="24"/>
        </w:rPr>
        <w:t>, a multicenter, double-blind, placebo-controlled Phase II study investigating the pharmacokinetics, safety and efficacy of once daily oral Ifetroban in patients with DMD. Results will be announced later this year.</w:t>
      </w:r>
    </w:p>
    <w:p>
      <w:pPr>
        <w:pStyle w:val="TextBody"/>
        <w:bidi w:val="0"/>
        <w:spacing w:lineRule="auto" w:line="300" w:before="0" w:after="120"/>
        <w:jc w:val="both"/>
        <w:rPr/>
      </w:pPr>
      <w:r>
        <w:rPr>
          <w:color w:val="000000"/>
        </w:rPr>
        <w:t>“</w:t>
      </w:r>
      <w:r>
        <w:rPr>
          <w:rFonts w:ascii="Times New Roman;sans-serif" w:hAnsi="Times New Roman;sans-serif"/>
          <w:b w:val="false"/>
          <w:color w:val="000000"/>
          <w:sz w:val="24"/>
        </w:rPr>
        <w:t>For Duchenne muscular dystrophy, a devastating genetic disorder affecting young boys, securing both Orphan Drug and Rare Pediatric Disease Designations for Ifetroban from the FDA is a critical step forward,”</w:t>
      </w:r>
      <w:r>
        <w:rPr>
          <w:color w:val="000000"/>
        </w:rPr>
        <w:t xml:space="preserve"> </w:t>
      </w:r>
      <w:r>
        <w:rPr>
          <w:rFonts w:ascii="Times New Roman;sans-serif" w:hAnsi="Times New Roman;sans-serif"/>
          <w:b w:val="false"/>
          <w:color w:val="000000"/>
          <w:sz w:val="24"/>
        </w:rPr>
        <w:t>said A.J. Kazimi, chief executive officer of Cumberland Pharmaceuticals. “These designations not only recognize the urgent need for effective treatments but also provide vital support to accelerate research and development.</w:t>
      </w:r>
      <w:r>
        <w:rPr>
          <w:color w:val="000000"/>
        </w:rPr>
        <w:t xml:space="preserve"> </w:t>
      </w:r>
      <w:r>
        <w:rPr>
          <w:rFonts w:ascii="Times New Roman;sans-serif" w:hAnsi="Times New Roman;sans-serif"/>
          <w:b w:val="false"/>
          <w:color w:val="000000"/>
          <w:sz w:val="24"/>
        </w:rPr>
        <w:t xml:space="preserve">These important regulatory milestones represent hope for families and a pathway to bring transformative medicines to a vulnerable patient population more quickly and efficiently.” </w:t>
      </w:r>
    </w:p>
    <w:p>
      <w:pPr>
        <w:pStyle w:val="TextBody"/>
        <w:bidi w:val="0"/>
        <w:spacing w:lineRule="auto" w:line="30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U.S. FDA grants Rare Pediatric Disease Designation to incentivize drug development for life-threatening diseases affecting less than 200,000 children in the U.S. As these diseases pose unique challenges to drug development, special focus is needed to provide therapeutic options to these children. Companies that receive approval for a drug or biologic with this designation may be eligible for a voucher which may be redeemed for priority review of a different product. Additionally, this voucher may be transferred or sold to another sponsor. </w:t>
      </w:r>
    </w:p>
    <w:p>
      <w:pPr>
        <w:pStyle w:val="TextBody"/>
        <w:bidi w:val="0"/>
        <w:spacing w:lineRule="auto" w:line="30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Orphan Drug Designation is granted by the U.S. FDA to encourage development of new therapies for rare diseases or conditions affecting fewer than 200,000 people in the U.S. This designation offers sponsors multiple incentives, which include exemption from user fees, tax credits for qualified clinical trials and potential market exclusivity for seven years following approval of the product. </w:t>
      </w:r>
    </w:p>
    <w:p>
      <w:pPr>
        <w:pStyle w:val="TextBody"/>
        <w:bidi w:val="0"/>
        <w:spacing w:lineRule="auto" w:line="300" w:before="0" w:after="120"/>
        <w:jc w:val="both"/>
        <w:rPr>
          <w:rFonts w:ascii="Times New Roman;sans-serif" w:hAnsi="Times New Roman;sans-serif"/>
          <w:b/>
          <w:color w:val="000000"/>
          <w:sz w:val="24"/>
          <w:u w:val="single"/>
        </w:rPr>
      </w:pPr>
      <w:r>
        <w:rPr>
          <w:rFonts w:ascii="Times New Roman;sans-serif" w:hAnsi="Times New Roman;sans-serif"/>
          <w:b/>
          <w:color w:val="000000"/>
          <w:sz w:val="24"/>
          <w:u w:val="single"/>
        </w:rPr>
        <w:t>About Duchenne Muscular Dystrophy</w:t>
      </w:r>
    </w:p>
    <w:p>
      <w:pPr>
        <w:pStyle w:val="TextBody"/>
        <w:bidi w:val="0"/>
        <w:spacing w:lineRule="auto" w:line="300" w:before="0" w:after="120"/>
        <w:jc w:val="both"/>
        <w:rPr/>
      </w:pPr>
      <w:r>
        <w:rPr>
          <w:rFonts w:ascii="Times New Roman;sans-serif" w:hAnsi="Times New Roman;sans-serif"/>
          <w:b w:val="false"/>
          <w:color w:val="000000"/>
          <w:sz w:val="24"/>
        </w:rPr>
        <w:t>DMD is a rare and fatal genetic disorder which affects about 1 in every 3,300 male births worldwide. Characterized by mutations in the gene responsible for producing dystrophin, DMD causes damage to the skeletal and cardiac muscle of DMD patients, with cardiomyopathy recognized as the primary cause of death. Ifetroban is being evaluated to treat the heart disease associated with DMD</w:t>
      </w:r>
      <w:r>
        <w:rPr>
          <w:rFonts w:ascii="Times New Roman;sans-serif" w:hAnsi="Times New Roman;sans-serif"/>
          <w:b w:val="false"/>
          <w:color w:val="B5082E"/>
          <w:sz w:val="24"/>
        </w:rPr>
        <w:t>,</w:t>
      </w:r>
      <w:r>
        <w:rPr>
          <w:color w:val="000000"/>
        </w:rPr>
        <w:t xml:space="preserve"> </w:t>
      </w:r>
      <w:r>
        <w:rPr>
          <w:rFonts w:ascii="Times New Roman;sans-serif" w:hAnsi="Times New Roman;sans-serif"/>
          <w:b w:val="false"/>
          <w:color w:val="000000"/>
          <w:sz w:val="24"/>
        </w:rPr>
        <w:t>which has received limited attention with current therapies.</w:t>
      </w:r>
    </w:p>
    <w:p>
      <w:pPr>
        <w:pStyle w:val="TextBody"/>
        <w:bidi w:val="0"/>
        <w:spacing w:before="0" w:after="1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20"/>
        <w:jc w:val="left"/>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About Ifetroban </w:t>
      </w:r>
    </w:p>
    <w:p>
      <w:pPr>
        <w:pStyle w:val="TextBody"/>
        <w:bidi w:val="0"/>
        <w:spacing w:lineRule="auto" w:line="300" w:before="0" w:after="160"/>
        <w:jc w:val="both"/>
        <w:rPr/>
      </w:pPr>
      <w:r>
        <w:rPr>
          <w:rFonts w:ascii="Times New Roman;sans-serif" w:hAnsi="Times New Roman;sans-serif"/>
          <w:b w:val="false"/>
          <w:color w:val="000000"/>
          <w:sz w:val="24"/>
        </w:rPr>
        <w:t>Ifetroban is a potent and selective thromboxane-prostanoid receptor (TPr) antagonist. Ifetroban exhibits high affinity for TPr on many cell types including cardiomyocytes, platelets, vascular and airway smooth muscle, and fibroblasts, and lacks agonistic activity. In several preclinical models of muscular dystrophy</w:t>
      </w:r>
      <w:r>
        <w:rPr>
          <w:rFonts w:ascii="Times New Roman;sans-serif" w:hAnsi="Times New Roman;sans-serif"/>
          <w:b w:val="false"/>
          <w:color w:val="B5082E"/>
          <w:sz w:val="24"/>
        </w:rPr>
        <w:t>,</w:t>
      </w:r>
      <w:r>
        <w:rPr>
          <w:color w:val="000000"/>
        </w:rPr>
        <w:t xml:space="preserve"> </w:t>
      </w:r>
      <w:r>
        <w:rPr>
          <w:rFonts w:ascii="Times New Roman;sans-serif" w:hAnsi="Times New Roman;sans-serif"/>
          <w:b w:val="false"/>
          <w:color w:val="000000"/>
          <w:sz w:val="24"/>
        </w:rPr>
        <w:t>including limb-girdle and Duchenne, ifetroban prevented cardiac fibrosis</w:t>
      </w:r>
      <w:r>
        <w:rPr>
          <w:color w:val="B5082E"/>
        </w:rPr>
        <w:t xml:space="preserve"> </w:t>
      </w:r>
      <w:r>
        <w:rPr>
          <w:rFonts w:ascii="Times New Roman;sans-serif" w:hAnsi="Times New Roman;sans-serif"/>
          <w:b w:val="false"/>
          <w:color w:val="000000"/>
          <w:sz w:val="24"/>
        </w:rPr>
        <w:t>and cardiac dysfunction and improved mortality.</w:t>
      </w:r>
    </w:p>
    <w:p>
      <w:pPr>
        <w:pStyle w:val="TextBody"/>
        <w:bidi w:val="0"/>
        <w:spacing w:lineRule="auto" w:line="300" w:before="0" w:after="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Cumberland previously announced the acquisition of the ifetroban program in collaboration with Vanderbilt University and Cumberland Emerging Technologies. </w:t>
      </w:r>
    </w:p>
    <w:p>
      <w:pPr>
        <w:pStyle w:val="TextBody"/>
        <w:bidi w:val="0"/>
        <w:spacing w:lineRule="auto" w:line="300" w:before="0" w:after="160"/>
        <w:jc w:val="both"/>
        <w:rPr/>
      </w:pPr>
      <w:r>
        <w:rPr>
          <w:rFonts w:ascii="Times New Roman;sans-serif" w:hAnsi="Times New Roman;sans-serif"/>
          <w:b w:val="false"/>
          <w:color w:val="000000"/>
          <w:sz w:val="24"/>
        </w:rPr>
        <w:t xml:space="preserve">Cumberland is also evaluating ifetroban for systemic sclerosis and pulmonary fibrosis. The ongoing </w:t>
      </w:r>
      <w:r>
        <w:rPr>
          <w:rFonts w:ascii="Times New Roman;sans-serif" w:hAnsi="Times New Roman;sans-serif"/>
          <w:b w:val="false"/>
          <w:color w:val="0563C1"/>
          <w:sz w:val="24"/>
          <w:u w:val="single"/>
        </w:rPr>
        <w:t>FIGHTING FIBROSIS Trial</w:t>
      </w:r>
      <w:r>
        <w:rPr>
          <w:color w:val="000000"/>
        </w:rPr>
        <w:t xml:space="preserve"> </w:t>
      </w:r>
      <w:r>
        <w:rPr>
          <w:rFonts w:ascii="Times New Roman;sans-serif" w:hAnsi="Times New Roman;sans-serif"/>
          <w:b w:val="false"/>
          <w:color w:val="000000"/>
          <w:sz w:val="24"/>
        </w:rPr>
        <w:t xml:space="preserve">is a multicenter, randomized placebo-controlled Phase II study in patients with idiopathic pulmonary fibrosis (IPF), a progressive interstitial lung disease. IPF is marked by inflammation and fibrosis of the lungs, resulting in rapidly declining lung function and reduced survival within five years of diagnosis. The study is evaluating the safety and efficacy of once daily oral Ifetroban for 52 weeks. </w:t>
      </w:r>
    </w:p>
    <w:p>
      <w:pPr>
        <w:pStyle w:val="TextBody"/>
        <w:bidi w:val="0"/>
        <w:spacing w:lineRule="auto" w:line="362" w:before="0" w:after="120"/>
        <w:jc w:val="left"/>
        <w:rPr>
          <w:rFonts w:ascii="Times New Roman;sans-serif" w:hAnsi="Times New Roman;sans-serif"/>
          <w:b/>
          <w:color w:val="000000"/>
          <w:sz w:val="24"/>
          <w:u w:val="single"/>
        </w:rPr>
      </w:pPr>
      <w:r>
        <w:rPr>
          <w:rFonts w:ascii="Times New Roman;sans-serif" w:hAnsi="Times New Roman;sans-serif"/>
          <w:b/>
          <w:color w:val="000000"/>
          <w:sz w:val="24"/>
          <w:u w:val="single"/>
        </w:rPr>
        <w:t>About Cumberland Pharmaceuticals</w:t>
      </w:r>
    </w:p>
    <w:p>
      <w:pPr>
        <w:pStyle w:val="TextBody"/>
        <w:bidi w:val="0"/>
        <w:spacing w:lineRule="auto" w:line="30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Cumberland Pharmaceuticals Inc. is a specialty pharmaceutical company focused on the delivery of high-quality prescription brands to improve patient care. The Company develops, acquires, and commercializes brands for the hospital acute care, gastroenterology and rheumatology market segments. The Company's portfolio of FDA-approved brands includes:</w:t>
      </w:r>
    </w:p>
    <w:p>
      <w:pPr>
        <w:pStyle w:val="TextBody"/>
        <w:bidi w:val="0"/>
        <w:spacing w:lineRule="auto" w:line="288" w:before="120" w:after="120"/>
        <w:ind w:left="0" w:right="0" w:hanging="360"/>
        <w:jc w:val="left"/>
        <w:rPr/>
      </w:pPr>
      <w:r>
        <w:rPr>
          <w:color w:val="000000"/>
        </w:rPr>
        <w:t>–</w:t>
      </w:r>
      <w:r>
        <w:rPr>
          <w:rFonts w:ascii="Times New Roman;sans-serif" w:hAnsi="Times New Roman;sans-serif"/>
          <w:b/>
          <w:color w:val="000000"/>
          <w:sz w:val="24"/>
        </w:rPr>
        <w:t>Acetadote</w:t>
      </w:r>
      <w:r>
        <w:rPr>
          <w:rFonts w:ascii="Times New Roman;sans-serif" w:hAnsi="Times New Roman;sans-serif"/>
          <w:b/>
          <w:color w:val="000000"/>
          <w:sz w:val="16"/>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val="false"/>
          <w:i/>
          <w:color w:val="000000"/>
          <w:sz w:val="24"/>
        </w:rPr>
        <w:t>acetylcysteine</w:t>
      </w:r>
      <w:r>
        <w:rPr>
          <w:rFonts w:ascii="Times New Roman;sans-serif" w:hAnsi="Times New Roman;sans-serif"/>
          <w:b w:val="false"/>
          <w:color w:val="000000"/>
          <w:sz w:val="24"/>
        </w:rPr>
        <w:t>) Injection, for the treatment of acetaminophen poisoning;</w:t>
      </w:r>
    </w:p>
    <w:p>
      <w:pPr>
        <w:pStyle w:val="TextBody"/>
        <w:bidi w:val="0"/>
        <w:spacing w:lineRule="auto" w:line="288" w:before="120" w:after="120"/>
        <w:ind w:left="0" w:right="0" w:hanging="360"/>
        <w:jc w:val="left"/>
        <w:rPr/>
      </w:pPr>
      <w:r>
        <w:rPr>
          <w:color w:val="000000"/>
        </w:rPr>
        <w:t>–</w:t>
      </w:r>
      <w:r>
        <w:rPr>
          <w:rFonts w:ascii="Times New Roman;sans-serif" w:hAnsi="Times New Roman;sans-serif"/>
          <w:b/>
          <w:color w:val="000000"/>
          <w:sz w:val="24"/>
        </w:rPr>
        <w:t>Caldolor</w:t>
      </w:r>
      <w:r>
        <w:rPr>
          <w:rFonts w:ascii="Times New Roman;sans-serif" w:hAnsi="Times New Roman;sans-serif"/>
          <w:b/>
          <w:color w:val="000000"/>
          <w:sz w:val="16"/>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val="false"/>
          <w:i/>
          <w:color w:val="000000"/>
          <w:sz w:val="24"/>
        </w:rPr>
        <w:t>ibuprofen</w:t>
      </w:r>
      <w:r>
        <w:rPr>
          <w:rFonts w:ascii="Times New Roman;sans-serif" w:hAnsi="Times New Roman;sans-serif"/>
          <w:b w:val="false"/>
          <w:color w:val="000000"/>
          <w:sz w:val="24"/>
        </w:rPr>
        <w:t>) Injection, for the treatment of pain and fever;</w:t>
      </w:r>
    </w:p>
    <w:p>
      <w:pPr>
        <w:pStyle w:val="TextBody"/>
        <w:bidi w:val="0"/>
        <w:spacing w:lineRule="auto" w:line="288" w:before="120" w:after="120"/>
        <w:ind w:left="0" w:right="0" w:hanging="360"/>
        <w:jc w:val="left"/>
        <w:rPr/>
      </w:pPr>
      <w:r>
        <w:rPr>
          <w:color w:val="000000"/>
        </w:rPr>
        <w:t>–</w:t>
      </w:r>
      <w:r>
        <w:rPr>
          <w:rFonts w:ascii="Times New Roman;sans-serif" w:hAnsi="Times New Roman;sans-serif"/>
          <w:b/>
          <w:color w:val="000000"/>
          <w:sz w:val="24"/>
        </w:rPr>
        <w:t>Vaprisol</w:t>
      </w:r>
      <w:r>
        <w:rPr>
          <w:rFonts w:ascii="Times New Roman;sans-serif" w:hAnsi="Times New Roman;sans-serif"/>
          <w:b/>
          <w:color w:val="000000"/>
          <w:sz w:val="16"/>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val="false"/>
          <w:i/>
          <w:color w:val="000000"/>
          <w:sz w:val="24"/>
        </w:rPr>
        <w:t>conivaptan</w:t>
      </w:r>
      <w:r>
        <w:rPr>
          <w:rFonts w:ascii="Times New Roman;sans-serif" w:hAnsi="Times New Roman;sans-serif"/>
          <w:b w:val="false"/>
          <w:color w:val="000000"/>
          <w:sz w:val="24"/>
        </w:rPr>
        <w:t>) Injection, to raise serum sodium levels in hospitalized patients with euvolemic and hypervolemic hyponatremia;</w:t>
      </w:r>
    </w:p>
    <w:p>
      <w:pPr>
        <w:pStyle w:val="TextBody"/>
        <w:bidi w:val="0"/>
        <w:spacing w:lineRule="auto" w:line="288" w:before="120" w:after="120"/>
        <w:ind w:left="0" w:right="0" w:hanging="360"/>
        <w:jc w:val="left"/>
        <w:rPr/>
      </w:pPr>
      <w:r>
        <w:rPr>
          <w:color w:val="000000"/>
        </w:rPr>
        <w:t>–</w:t>
      </w:r>
      <w:r>
        <w:rPr>
          <w:rFonts w:ascii="Times New Roman;sans-serif" w:hAnsi="Times New Roman;sans-serif"/>
          <w:b/>
          <w:color w:val="000000"/>
          <w:sz w:val="24"/>
        </w:rPr>
        <w:t>Vibativ</w:t>
      </w:r>
      <w:r>
        <w:rPr>
          <w:rFonts w:ascii="Times New Roman;sans-serif" w:hAnsi="Times New Roman;sans-serif"/>
          <w:b/>
          <w:color w:val="000000"/>
          <w:sz w:val="16"/>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val="false"/>
          <w:i/>
          <w:color w:val="000000"/>
          <w:sz w:val="24"/>
        </w:rPr>
        <w:t>telavancin</w:t>
      </w:r>
      <w:r>
        <w:rPr>
          <w:rFonts w:ascii="Times New Roman;sans-serif" w:hAnsi="Times New Roman;sans-serif"/>
          <w:b w:val="false"/>
          <w:color w:val="000000"/>
          <w:sz w:val="24"/>
        </w:rPr>
        <w:t>) Injection, for the treatment of certain serious bacterial infections including hospital-acquired and ventilator-associated bacterial pneumonia, as well as complicated skin and skin structure infections;</w:t>
      </w:r>
    </w:p>
    <w:p>
      <w:pPr>
        <w:pStyle w:val="TextBody"/>
        <w:bidi w:val="0"/>
        <w:spacing w:lineRule="auto" w:line="288" w:before="120" w:after="120"/>
        <w:ind w:left="0" w:right="0" w:hanging="360"/>
        <w:jc w:val="left"/>
        <w:rPr/>
      </w:pPr>
      <w:r>
        <w:rPr>
          <w:color w:val="000000"/>
        </w:rPr>
        <w:t>–</w:t>
      </w:r>
      <w:r>
        <w:rPr>
          <w:rFonts w:ascii="Times New Roman;sans-serif" w:hAnsi="Times New Roman;sans-serif"/>
          <w:b/>
          <w:color w:val="000000"/>
          <w:sz w:val="24"/>
        </w:rPr>
        <w:t>Kristalose</w:t>
      </w:r>
      <w:r>
        <w:rPr>
          <w:rFonts w:ascii="Times New Roman;sans-serif" w:hAnsi="Times New Roman;sans-serif"/>
          <w:b/>
          <w:color w:val="000000"/>
          <w:sz w:val="16"/>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val="false"/>
          <w:i/>
          <w:color w:val="000000"/>
          <w:sz w:val="24"/>
        </w:rPr>
        <w:t>lactulose</w:t>
      </w:r>
      <w:r>
        <w:rPr>
          <w:rFonts w:ascii="Times New Roman;sans-serif" w:hAnsi="Times New Roman;sans-serif"/>
          <w:b w:val="false"/>
          <w:color w:val="000000"/>
          <w:sz w:val="24"/>
        </w:rPr>
        <w:t>) for Oral Solution, a prescription laxative, for the treatment of chronic and acute constipation; and</w:t>
      </w:r>
    </w:p>
    <w:p>
      <w:pPr>
        <w:pStyle w:val="TextBody"/>
        <w:bidi w:val="0"/>
        <w:spacing w:lineRule="auto" w:line="288" w:before="120" w:after="120"/>
        <w:ind w:left="0" w:right="0" w:hanging="360"/>
        <w:jc w:val="left"/>
        <w:rPr/>
      </w:pPr>
      <w:r>
        <w:rPr>
          <w:color w:val="000000"/>
        </w:rPr>
        <w:t>–</w:t>
      </w:r>
      <w:r>
        <w:rPr>
          <w:rFonts w:ascii="Times New Roman;sans-serif" w:hAnsi="Times New Roman;sans-serif"/>
          <w:b/>
          <w:color w:val="000000"/>
          <w:sz w:val="24"/>
        </w:rPr>
        <w:t>Sancuso</w:t>
      </w:r>
      <w:r>
        <w:rPr>
          <w:rFonts w:ascii="Times New Roman;sans-serif" w:hAnsi="Times New Roman;sans-serif"/>
          <w:b/>
          <w:color w:val="000000"/>
          <w:sz w:val="16"/>
        </w:rPr>
        <w:t xml:space="preserve">® </w:t>
      </w:r>
      <w:r>
        <w:rPr>
          <w:rFonts w:ascii="Times New Roman;sans-serif" w:hAnsi="Times New Roman;sans-serif"/>
          <w:b w:val="false"/>
          <w:color w:val="000000"/>
          <w:sz w:val="24"/>
        </w:rPr>
        <w:t>(</w:t>
      </w:r>
      <w:r>
        <w:rPr>
          <w:rFonts w:ascii="Times New Roman;sans-serif" w:hAnsi="Times New Roman;sans-serif"/>
          <w:b w:val="false"/>
          <w:i/>
          <w:color w:val="000000"/>
          <w:sz w:val="24"/>
        </w:rPr>
        <w:t>granisetron</w:t>
      </w:r>
      <w:r>
        <w:rPr>
          <w:rFonts w:ascii="Times New Roman;sans-serif" w:hAnsi="Times New Roman;sans-serif"/>
          <w:b w:val="false"/>
          <w:color w:val="000000"/>
          <w:sz w:val="24"/>
        </w:rPr>
        <w:t>) Transdermal delivery system, for the treatment of nausea and vomiting associated with chemotherapy.</w:t>
      </w:r>
    </w:p>
    <w:p>
      <w:pPr>
        <w:pStyle w:val="TextBody"/>
        <w:bidi w:val="0"/>
        <w:spacing w:lineRule="auto" w:line="300" w:before="0" w:after="120"/>
        <w:jc w:val="both"/>
        <w:rPr/>
      </w:pPr>
      <w:r>
        <w:rPr>
          <w:rFonts w:ascii="Times New Roman;sans-serif" w:hAnsi="Times New Roman;sans-serif"/>
          <w:b w:val="false"/>
          <w:color w:val="000000"/>
          <w:sz w:val="24"/>
        </w:rPr>
        <w:t xml:space="preserve">For more information on Cumberland’s approved products, including full prescribing information, please visit the individual product websites, links to which can be found on the Company’s website </w:t>
      </w:r>
      <w:r>
        <w:rPr>
          <w:rFonts w:ascii="Times New Roman;sans-serif" w:hAnsi="Times New Roman;sans-serif"/>
          <w:b w:val="false"/>
          <w:color w:val="0563C1"/>
          <w:sz w:val="24"/>
          <w:u w:val="single"/>
        </w:rPr>
        <w:t>www.cumberlandpharma.com</w:t>
      </w:r>
      <w:r>
        <w:rPr>
          <w:rFonts w:ascii="Times New Roman;sans-serif" w:hAnsi="Times New Roman;sans-serif"/>
          <w:b w:val="false"/>
          <w:color w:val="000000"/>
          <w:sz w:val="24"/>
        </w:rPr>
        <w:t>.</w:t>
      </w:r>
    </w:p>
    <w:p>
      <w:pPr>
        <w:pStyle w:val="TextBody"/>
        <w:bidi w:val="0"/>
        <w:spacing w:before="240" w:after="1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240" w:after="120"/>
        <w:jc w:val="both"/>
        <w:rPr>
          <w:rFonts w:ascii="Times New Roman;sans-serif" w:hAnsi="Times New Roman;sans-serif"/>
          <w:b/>
          <w:color w:val="000000"/>
          <w:sz w:val="24"/>
          <w:u w:val="single"/>
        </w:rPr>
      </w:pPr>
      <w:r>
        <w:rPr>
          <w:rFonts w:ascii="Times New Roman;sans-serif" w:hAnsi="Times New Roman;sans-serif"/>
          <w:b/>
          <w:color w:val="000000"/>
          <w:sz w:val="24"/>
          <w:u w:val="single"/>
        </w:rPr>
        <w:t>About Cumberland Emerging Technologies</w:t>
      </w:r>
    </w:p>
    <w:p>
      <w:pPr>
        <w:pStyle w:val="TextBody"/>
        <w:bidi w:val="0"/>
        <w:spacing w:lineRule="auto" w:line="300" w:before="0" w:after="240"/>
        <w:jc w:val="both"/>
        <w:rPr/>
      </w:pPr>
      <w:r>
        <w:rPr>
          <w:rFonts w:ascii="Times New Roman;sans-serif" w:hAnsi="Times New Roman;sans-serif"/>
          <w:b w:val="false"/>
          <w:color w:val="000000"/>
          <w:sz w:val="24"/>
        </w:rPr>
        <w:t>Cumberland Emerging Technologies, Inc. (</w:t>
      </w:r>
      <w:r>
        <w:rPr>
          <w:rFonts w:ascii="Times New Roman;sans-serif" w:hAnsi="Times New Roman;sans-serif"/>
          <w:b w:val="false"/>
          <w:color w:val="0563C1"/>
          <w:sz w:val="24"/>
          <w:u w:val="single"/>
        </w:rPr>
        <w:t>www.cet-fund.com</w:t>
      </w:r>
      <w:r>
        <w:rPr>
          <w:rFonts w:ascii="Times New Roman;sans-serif" w:hAnsi="Times New Roman;sans-serif"/>
          <w:b w:val="false"/>
          <w:color w:val="000000"/>
          <w:sz w:val="24"/>
        </w:rPr>
        <w:t>) is a joint initiative between Cumberland Pharmaceuticals Inc., Vanderbilt University, Launch Tennessee and WinHealth Pharma. The mission of CET is to bring biomedical technologies and products conceived at Vanderbilt and other regional research centers to the marketplace. CET helps manage the development and commercialization process for select projects and provides expertise on intellectual property, regulatory, manufacturing and marketing issues that are critical to successful new biomedical products. CET’s Life Sciences Center, located in Nashville, Tennessee, provides laboratory space, equipment and infrastructure to early-stage life sciences companies. </w:t>
      </w:r>
    </w:p>
    <w:p>
      <w:pPr>
        <w:pStyle w:val="TextBody"/>
        <w:bidi w:val="0"/>
        <w:spacing w:lineRule="auto" w:line="319" w:before="240" w:after="120"/>
        <w:jc w:val="both"/>
        <w:rPr>
          <w:rFonts w:ascii="Times New Roman;sans-serif" w:hAnsi="Times New Roman;sans-serif"/>
          <w:b/>
          <w:color w:val="000000"/>
          <w:sz w:val="24"/>
          <w:u w:val="single"/>
        </w:rPr>
      </w:pPr>
      <w:r>
        <w:rPr>
          <w:rFonts w:ascii="Times New Roman;sans-serif" w:hAnsi="Times New Roman;sans-serif"/>
          <w:b/>
          <w:color w:val="000000"/>
          <w:sz w:val="24"/>
          <w:u w:val="single"/>
        </w:rPr>
        <w:t>Forward-Looking Statements</w:t>
      </w:r>
    </w:p>
    <w:p>
      <w:pPr>
        <w:pStyle w:val="TextBody"/>
        <w:bidi w:val="0"/>
        <w:spacing w:lineRule="auto" w:line="319" w:before="0" w:after="160"/>
        <w:jc w:val="both"/>
        <w:rPr>
          <w:rFonts w:ascii="Times New Roman;sans-serif" w:hAnsi="Times New Roman;sans-serif"/>
          <w:b w:val="false"/>
          <w:color w:val="000000"/>
          <w:sz w:val="24"/>
        </w:rPr>
      </w:pPr>
      <w:r>
        <w:rPr>
          <w:rFonts w:ascii="Times New Roman;sans-serif" w:hAnsi="Times New Roman;sans-serif"/>
          <w:b w:val="false"/>
          <w:color w:val="000000"/>
          <w:sz w:val="24"/>
        </w:rPr>
        <w:t>This press release contains forward-looking statements, which are subject to certain risks and reflect Cumberland’s current views on future events based on what it believes are reasonable assumptions. No assurance can be given that these events will occur. As with any business, all phases of Cumberland’s operations are subject to factors outside of its control, and any one or combination of these factors could materially affect Cumberland’s results of operations. These factors include market conditions, competition, an inability of manufacturers to produce Cumberland’s products on a timely basis or failure of manufacturers to comply with regulations applicable to pharmaceutical manufacturers, maintaining an effective sales and marketing infrastructure, natural disasters, public health epidemics, and other events beyond our control, as more fully discussed in the Company’s most recent Form 10-K and subsequent 10-Qs as filed with the SEC. There can be no assurance that results anticipated by the Company will be realized or that they will have the expected effects. Readers are cautioned not to place undue reliance on forward-looking statements, which speak only as of the date hereof. The Company does not undertake any obligation to publicly revise these statements to reflect events after the date hereof.</w:t>
      </w:r>
    </w:p>
    <w:p>
      <w:pPr>
        <w:pStyle w:val="TextBody"/>
        <w:bidi w:val="0"/>
        <w:spacing w:lineRule="auto" w:line="300" w:before="0" w:after="160"/>
        <w:jc w:val="both"/>
        <w:rPr>
          <w:rFonts w:ascii="Times New Roman;sans-serif" w:hAnsi="Times New Roman;sans-serif"/>
          <w:b w:val="false"/>
          <w:color w:val="000000"/>
          <w:sz w:val="24"/>
        </w:rPr>
      </w:pPr>
      <w:r>
        <w:rPr>
          <w:rFonts w:ascii="Times New Roman;sans-serif" w:hAnsi="Times New Roman;sans-serif"/>
          <w:b w:val="false"/>
          <w:color w:val="000000"/>
          <w:sz w:val="24"/>
        </w:rPr>
        <w:t>SOURCE: Cumberland Pharmaceuticals Inc.</w:t>
      </w:r>
    </w:p>
    <w:p>
      <w:pPr>
        <w:pStyle w:val="TextBody"/>
        <w:bidi w:val="0"/>
        <w:spacing w:before="0" w:after="160"/>
        <w:jc w:val="both"/>
        <w:rPr/>
      </w:pPr>
      <w:r>
        <w:rPr/>
      </w:r>
    </w:p>
    <w:p>
      <w:pPr>
        <w:pStyle w:val="TextBody"/>
        <w:bidi w:val="0"/>
        <w:spacing w:lineRule="auto" w:line="300" w:before="0" w:after="160"/>
        <w:jc w:val="both"/>
        <w:rPr>
          <w:rFonts w:ascii="Times New Roman;sans-serif" w:hAnsi="Times New Roman;sans-serif"/>
          <w:b/>
          <w:color w:val="000000"/>
          <w:sz w:val="24"/>
        </w:rPr>
      </w:pPr>
      <w:r>
        <w:rPr>
          <w:rFonts w:ascii="Times New Roman;sans-serif" w:hAnsi="Times New Roman;sans-serif"/>
          <w:b/>
          <w:color w:val="000000"/>
          <w:sz w:val="24"/>
        </w:rPr>
        <w:t>Investor Contact:                    Media Contact:</w:t>
      </w:r>
    </w:p>
    <w:p>
      <w:pPr>
        <w:pStyle w:val="TextBody"/>
        <w:bidi w:val="0"/>
        <w:spacing w:lineRule="auto" w:line="300" w:before="0" w:after="160"/>
        <w:jc w:val="left"/>
        <w:rPr>
          <w:rFonts w:ascii="Times New Roman;sans-serif" w:hAnsi="Times New Roman;sans-serif"/>
          <w:b w:val="false"/>
          <w:color w:val="000000"/>
          <w:sz w:val="24"/>
        </w:rPr>
      </w:pPr>
      <w:r>
        <w:rPr>
          <w:rFonts w:ascii="Times New Roman;sans-serif" w:hAnsi="Times New Roman;sans-serif"/>
          <w:b w:val="false"/>
          <w:color w:val="000000"/>
          <w:sz w:val="24"/>
        </w:rPr>
        <w:t>Shayla Simpson                    Molly Aggas</w:t>
      </w:r>
    </w:p>
    <w:p>
      <w:pPr>
        <w:pStyle w:val="TextBody"/>
        <w:bidi w:val="0"/>
        <w:spacing w:lineRule="auto" w:line="300" w:before="0" w:after="160"/>
        <w:jc w:val="left"/>
        <w:rPr>
          <w:rFonts w:ascii="Times New Roman;sans-serif" w:hAnsi="Times New Roman;sans-serif"/>
          <w:b w:val="false"/>
          <w:color w:val="000000"/>
          <w:sz w:val="24"/>
        </w:rPr>
      </w:pPr>
      <w:r>
        <w:rPr>
          <w:rFonts w:ascii="Times New Roman;sans-serif" w:hAnsi="Times New Roman;sans-serif"/>
          <w:b w:val="false"/>
          <w:color w:val="000000"/>
          <w:sz w:val="24"/>
        </w:rPr>
        <w:t>Cumberland Pharmaceuticals                Dalton Agency</w:t>
      </w:r>
    </w:p>
    <w:p>
      <w:pPr>
        <w:pStyle w:val="TextBody"/>
        <w:bidi w:val="0"/>
        <w:spacing w:lineRule="auto" w:line="300" w:before="0" w:after="160"/>
        <w:jc w:val="left"/>
        <w:rPr>
          <w:rFonts w:ascii="Times New Roman;sans-serif" w:hAnsi="Times New Roman;sans-serif"/>
          <w:b w:val="false"/>
          <w:color w:val="000000"/>
          <w:sz w:val="24"/>
        </w:rPr>
      </w:pPr>
      <w:r>
        <w:rPr>
          <w:rFonts w:ascii="Times New Roman;sans-serif" w:hAnsi="Times New Roman;sans-serif"/>
          <w:b w:val="false"/>
          <w:color w:val="000000"/>
          <w:sz w:val="24"/>
        </w:rPr>
        <w:t>(615) 255-0068                    (704) 641-6641</w:t>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1481</Words>
  <Characters>9121</Characters>
  <CharactersWithSpaces>10621</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