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61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61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309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256,800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257,109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257,418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257,727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258,036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258,345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258,654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258,963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259,272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259,581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259,890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260,199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260,508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309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260,817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309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261,126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309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261,435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309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261,744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262,053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262,362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262,671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262,980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263,289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263,598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611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20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7"/>
              </w:rPr>
              <w:t>1. The reported purchases occurred automatically pursuant to a Rule 10b5-1 trading plan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7"/>
              </w:rPr>
              <w:t>of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7"/>
              </w:rPr>
              <w:t xml:space="preserve"> adopted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7"/>
              </w:rPr>
              <w:t>(D)</w:t>
            </w:r>
          </w:p>
        </w:tc>
        <w:tc>
          <w:tcPr>
            <w:tcW w:w="2680" w:type="dxa"/>
            <w:vAlign w:val="bottom"/>
            <w:gridSpan w:val="8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by the reporting person on March 13, 2024.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highlight w:val="white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  <w:highlight w:val="white"/>
              </w:rPr>
              <w:t>Kenneth J. Krogulski by /s/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11/05/2024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John Hamm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000000"/>
                <w:w w:val="96"/>
              </w:rPr>
              <w:t>Number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asattorney-in-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fact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415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41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58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2024-11-05T15:56:29Z</dcterms:created>
  <dcterms:modified xsi:type="dcterms:W3CDTF">2024-11-05T15:56:29Z</dcterms:modified>
</cp:coreProperties>
</file>