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right="4720"/>
        <w:spacing w:after="0" w:line="253" w:lineRule="auto"/>
        <w:rPr>
          <w:sz w:val="20"/>
          <w:szCs w:val="20"/>
          <w:color w:val="auto"/>
        </w:rPr>
      </w:pPr>
      <w:r>
        <w:rPr>
          <w:rFonts w:ascii="Arial" w:cs="Arial" w:eastAsia="Arial" w:hAnsi="Arial"/>
          <w:sz w:val="35"/>
          <w:szCs w:val="35"/>
          <w:color w:val="00004D"/>
        </w:rPr>
        <w:t>Quality Medicines to Enhance Patients’ Quality of Life</w:t>
      </w:r>
    </w:p>
    <w:p>
      <w:pPr>
        <w:sectPr>
          <w:pgSz w:w="12240" w:h="15840" w:orient="portrait"/>
          <w:cols w:equalWidth="0" w:num="1">
            <w:col w:w="10400"/>
          </w:cols>
          <w:pgMar w:left="1080" w:top="1440" w:right="760" w:bottom="561" w:gutter="0" w:footer="0" w:header="0"/>
        </w:sectPr>
      </w:pPr>
    </w:p>
    <w:p>
      <w:pPr>
        <w:spacing w:after="0" w:line="200" w:lineRule="exact"/>
        <w:rPr>
          <w:sz w:val="24"/>
          <w:szCs w:val="24"/>
          <w:color w:val="auto"/>
        </w:rPr>
      </w:pPr>
    </w:p>
    <w:p>
      <w:pPr>
        <w:spacing w:after="0" w:line="208" w:lineRule="exact"/>
        <w:rPr>
          <w:sz w:val="24"/>
          <w:szCs w:val="24"/>
          <w:color w:val="auto"/>
        </w:rPr>
      </w:pPr>
    </w:p>
    <w:p>
      <w:pPr>
        <w:ind w:left="7560"/>
        <w:spacing w:after="0"/>
        <w:rPr>
          <w:sz w:val="20"/>
          <w:szCs w:val="20"/>
          <w:color w:val="auto"/>
        </w:rPr>
      </w:pPr>
      <w:r>
        <w:rPr>
          <w:rFonts w:ascii="Arial" w:cs="Arial" w:eastAsia="Arial" w:hAnsi="Arial"/>
          <w:sz w:val="26"/>
          <w:szCs w:val="26"/>
          <w:color w:val="00004D"/>
        </w:rPr>
        <w:t>2022 Annual Report</w:t>
      </w:r>
    </w:p>
    <w:p>
      <w:pPr>
        <w:sectPr>
          <w:pgSz w:w="12240" w:h="15840" w:orient="portrait"/>
          <w:cols w:equalWidth="0" w:num="1">
            <w:col w:w="10400"/>
          </w:cols>
          <w:pgMar w:left="1080" w:top="1440" w:right="760" w:bottom="561" w:gutter="0" w:footer="0" w:header="0"/>
          <w:type w:val="continuous"/>
        </w:sectPr>
      </w:pPr>
    </w:p>
    <w:bookmarkStart w:id="1" w:name="page2"/>
    <w:bookmarkEnd w:id="1"/>
    <w:p>
      <w:pPr>
        <w:spacing w:after="0"/>
        <w:rPr>
          <w:sz w:val="20"/>
          <w:szCs w:val="20"/>
          <w:color w:val="auto"/>
        </w:rPr>
      </w:pPr>
      <w:r>
        <w:rPr>
          <w:rFonts w:ascii="Arial" w:cs="Arial" w:eastAsia="Arial" w:hAnsi="Arial"/>
          <w:sz w:val="46"/>
          <w:szCs w:val="46"/>
          <w:color w:val="00065C"/>
        </w:rPr>
        <w:t>2022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7766050</wp:posOffset>
            </wp:positionH>
            <wp:positionV relativeFrom="paragraph">
              <wp:posOffset>-288290</wp:posOffset>
            </wp:positionV>
            <wp:extent cx="1494790" cy="178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4790" cy="178879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6"/>
          <w:szCs w:val="26"/>
          <w:color w:val="377FA7"/>
        </w:rPr>
        <w:t>A New Brand, New Partnerships, New Horizons</w:t>
      </w:r>
    </w:p>
    <w:p>
      <w:pPr>
        <w:sectPr>
          <w:pgSz w:w="24480" w:h="15840" w:orient="landscape"/>
          <w:cols w:equalWidth="0" w:num="1">
            <w:col w:w="23220"/>
          </w:cols>
          <w:pgMar w:left="720" w:top="99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80" w:right="920" w:hanging="370"/>
        <w:spacing w:after="0" w:line="181" w:lineRule="auto"/>
        <w:tabs>
          <w:tab w:leader="none" w:pos="680" w:val="left"/>
        </w:tabs>
        <w:numPr>
          <w:ilvl w:val="0"/>
          <w:numId w:val="1"/>
        </w:numPr>
        <w:rPr>
          <w:rFonts w:ascii="Arial" w:cs="Arial" w:eastAsia="Arial" w:hAnsi="Arial"/>
          <w:sz w:val="66"/>
          <w:szCs w:val="66"/>
          <w:color w:val="FFFFFF"/>
          <w:vertAlign w:val="subscript"/>
        </w:rPr>
      </w:pPr>
      <w:r>
        <w:rPr>
          <w:rFonts w:ascii="Arial" w:cs="Arial" w:eastAsia="Arial" w:hAnsi="Arial"/>
          <w:sz w:val="30"/>
          <w:szCs w:val="30"/>
          <w:color w:val="00004D"/>
        </w:rPr>
        <w:t xml:space="preserve">Acquired &amp; Launched New Oncology Medicine – </w:t>
      </w:r>
      <w:r>
        <w:rPr>
          <w:rFonts w:ascii="Arial" w:cs="Arial" w:eastAsia="Arial" w:hAnsi="Arial"/>
          <w:sz w:val="30"/>
          <w:szCs w:val="30"/>
          <w:color w:val="377FA7"/>
        </w:rPr>
        <w:t>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-899160</wp:posOffset>
            </wp:positionV>
            <wp:extent cx="3225800" cy="3262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5800" cy="3262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4"/>
        </w:trPr>
        <w:tc>
          <w:tcPr>
            <w:tcW w:w="280" w:type="dxa"/>
            <w:vAlign w:val="bottom"/>
          </w:tcPr>
          <w:p>
            <w:pPr>
              <w:jc w:val="right"/>
              <w:spacing w:after="0"/>
              <w:rPr>
                <w:sz w:val="20"/>
                <w:szCs w:val="20"/>
                <w:color w:val="auto"/>
              </w:rPr>
            </w:pPr>
            <w:r>
              <w:rPr>
                <w:rFonts w:ascii="Arial" w:cs="Arial" w:eastAsia="Arial" w:hAnsi="Arial"/>
                <w:sz w:val="36"/>
                <w:szCs w:val="36"/>
                <w:color w:val="FFFFFF"/>
                <w:w w:val="89"/>
              </w:rPr>
              <w:t>2</w:t>
            </w:r>
          </w:p>
        </w:tc>
        <w:tc>
          <w:tcPr>
            <w:tcW w:w="3640" w:type="dxa"/>
            <w:vAlign w:val="bottom"/>
          </w:tcPr>
          <w:p>
            <w:pPr>
              <w:ind w:left="80"/>
              <w:spacing w:after="0"/>
              <w:rPr>
                <w:sz w:val="20"/>
                <w:szCs w:val="20"/>
                <w:color w:val="auto"/>
              </w:rPr>
            </w:pPr>
            <w:r>
              <w:rPr>
                <w:rFonts w:ascii="Arial" w:cs="Arial" w:eastAsia="Arial" w:hAnsi="Arial"/>
                <w:sz w:val="32"/>
                <w:szCs w:val="32"/>
                <w:color w:val="00004D"/>
              </w:rPr>
              <w:t>Entered into</w:t>
            </w:r>
          </w:p>
        </w:tc>
      </w:tr>
      <w:tr>
        <w:trPr>
          <w:trHeight w:val="360"/>
        </w:trPr>
        <w:tc>
          <w:tcPr>
            <w:tcW w:w="280" w:type="dxa"/>
            <w:vAlign w:val="bottom"/>
          </w:tcPr>
          <w:p>
            <w:pPr>
              <w:spacing w:after="0"/>
              <w:rPr>
                <w:sz w:val="24"/>
                <w:szCs w:val="24"/>
                <w:color w:val="auto"/>
              </w:rPr>
            </w:pPr>
          </w:p>
        </w:tc>
        <w:tc>
          <w:tcPr>
            <w:tcW w:w="3640" w:type="dxa"/>
            <w:vAlign w:val="bottom"/>
          </w:tcPr>
          <w:p>
            <w:pPr>
              <w:ind w:left="80"/>
              <w:spacing w:after="0" w:line="359" w:lineRule="exact"/>
              <w:rPr>
                <w:sz w:val="20"/>
                <w:szCs w:val="20"/>
                <w:color w:val="auto"/>
              </w:rPr>
            </w:pPr>
            <w:r>
              <w:rPr>
                <w:rFonts w:ascii="Arial" w:cs="Arial" w:eastAsia="Arial" w:hAnsi="Arial"/>
                <w:sz w:val="32"/>
                <w:szCs w:val="32"/>
                <w:color w:val="00004D"/>
              </w:rPr>
              <w:t>New Agreement</w:t>
            </w:r>
          </w:p>
        </w:tc>
      </w:tr>
      <w:tr>
        <w:trPr>
          <w:trHeight w:val="360"/>
        </w:trPr>
        <w:tc>
          <w:tcPr>
            <w:tcW w:w="280" w:type="dxa"/>
            <w:vAlign w:val="bottom"/>
          </w:tcPr>
          <w:p>
            <w:pPr>
              <w:spacing w:after="0"/>
              <w:rPr>
                <w:sz w:val="24"/>
                <w:szCs w:val="24"/>
                <w:color w:val="auto"/>
              </w:rPr>
            </w:pPr>
          </w:p>
        </w:tc>
        <w:tc>
          <w:tcPr>
            <w:tcW w:w="3640" w:type="dxa"/>
            <w:vAlign w:val="bottom"/>
          </w:tcPr>
          <w:p>
            <w:pPr>
              <w:ind w:left="80"/>
              <w:spacing w:after="0" w:line="359" w:lineRule="exact"/>
              <w:rPr>
                <w:sz w:val="20"/>
                <w:szCs w:val="20"/>
                <w:color w:val="auto"/>
              </w:rPr>
            </w:pPr>
            <w:r>
              <w:rPr>
                <w:rFonts w:ascii="Arial" w:cs="Arial" w:eastAsia="Arial" w:hAnsi="Arial"/>
                <w:sz w:val="32"/>
                <w:szCs w:val="32"/>
                <w:color w:val="00004D"/>
              </w:rPr>
              <w:t>for Vibativ in the</w:t>
            </w:r>
          </w:p>
        </w:tc>
      </w:tr>
      <w:tr>
        <w:trPr>
          <w:trHeight w:val="262"/>
        </w:trPr>
        <w:tc>
          <w:tcPr>
            <w:tcW w:w="280" w:type="dxa"/>
            <w:vAlign w:val="bottom"/>
          </w:tcPr>
          <w:p>
            <w:pPr>
              <w:spacing w:after="0"/>
              <w:rPr>
                <w:sz w:val="22"/>
                <w:szCs w:val="22"/>
                <w:color w:val="auto"/>
              </w:rPr>
            </w:pPr>
          </w:p>
        </w:tc>
        <w:tc>
          <w:tcPr>
            <w:tcW w:w="3640" w:type="dxa"/>
            <w:vAlign w:val="bottom"/>
          </w:tcPr>
          <w:p>
            <w:pPr>
              <w:ind w:left="80"/>
              <w:spacing w:after="0" w:line="262" w:lineRule="exact"/>
              <w:rPr>
                <w:sz w:val="20"/>
                <w:szCs w:val="20"/>
                <w:color w:val="auto"/>
              </w:rPr>
            </w:pPr>
            <w:r>
              <w:rPr>
                <w:rFonts w:ascii="Arial" w:cs="Arial" w:eastAsia="Arial" w:hAnsi="Arial"/>
                <w:sz w:val="30"/>
                <w:szCs w:val="30"/>
                <w:color w:val="00004D"/>
              </w:rPr>
              <w:t xml:space="preserve">Middle East – </w:t>
            </w:r>
            <w:r>
              <w:rPr>
                <w:rFonts w:ascii="Arial" w:cs="Arial" w:eastAsia="Arial" w:hAnsi="Arial"/>
                <w:sz w:val="30"/>
                <w:szCs w:val="30"/>
                <w:color w:val="377FA7"/>
              </w:rPr>
              <w:t>March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-1057275</wp:posOffset>
            </wp:positionV>
            <wp:extent cx="3225800" cy="436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5800" cy="4368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46"/>
          <w:szCs w:val="46"/>
          <w:color w:val="00065C"/>
        </w:rPr>
        <w:t>To Our</w:t>
      </w:r>
    </w:p>
    <w:p>
      <w:pPr>
        <w:spacing w:after="0" w:line="44" w:lineRule="exact"/>
        <w:rPr>
          <w:sz w:val="20"/>
          <w:szCs w:val="20"/>
          <w:color w:val="auto"/>
        </w:rPr>
      </w:pPr>
    </w:p>
    <w:p>
      <w:pPr>
        <w:spacing w:after="0"/>
        <w:rPr>
          <w:sz w:val="20"/>
          <w:szCs w:val="20"/>
          <w:color w:val="auto"/>
        </w:rPr>
      </w:pPr>
      <w:r>
        <w:rPr>
          <w:rFonts w:ascii="Arial" w:cs="Arial" w:eastAsia="Arial" w:hAnsi="Arial"/>
          <w:sz w:val="26"/>
          <w:szCs w:val="26"/>
          <w:color w:val="377FA7"/>
        </w:rPr>
        <w:t>Shareholders, Employees &amp; Partners:</w:t>
      </w:r>
    </w:p>
    <w:p>
      <w:pPr>
        <w:spacing w:after="0" w:line="98" w:lineRule="exact"/>
        <w:rPr>
          <w:sz w:val="20"/>
          <w:szCs w:val="20"/>
          <w:color w:val="auto"/>
        </w:rPr>
      </w:pPr>
    </w:p>
    <w:p>
      <w:pPr>
        <w:sectPr>
          <w:pgSz w:w="24480" w:h="15840" w:orient="landscape"/>
          <w:cols w:equalWidth="0" w:num="3">
            <w:col w:w="5360" w:space="720"/>
            <w:col w:w="8100" w:space="720"/>
            <w:col w:w="8320"/>
          </w:cols>
          <w:pgMar w:left="720" w:top="995" w:right="540" w:bottom="0" w:gutter="0" w:footer="0" w:header="0"/>
          <w:type w:val="continuous"/>
        </w:sectPr>
      </w:pPr>
    </w:p>
    <w:p>
      <w:pPr>
        <w:ind w:left="680" w:right="850"/>
        <w:spacing w:after="0" w:line="265" w:lineRule="auto"/>
        <w:rPr>
          <w:sz w:val="20"/>
          <w:szCs w:val="20"/>
          <w:color w:val="auto"/>
        </w:rPr>
      </w:pPr>
      <w:r>
        <w:rPr>
          <w:rFonts w:ascii="Arial" w:cs="Arial" w:eastAsia="Arial" w:hAnsi="Arial"/>
          <w:sz w:val="22"/>
          <w:szCs w:val="22"/>
          <w:color w:val="auto"/>
        </w:rPr>
        <w:t xml:space="preserve">We acquired the U.S. rights, from Japan-based Kyowa Kirin, to Sancuso, the first and only FDA-approved prescription patch for the prevention of nausea and vomiting in patients receiving certain types of chemotherapy treatment. To support Sancuso, we established a dedicated oncology sales division, </w:t>
      </w:r>
      <w:r>
        <w:rPr>
          <w:rFonts w:ascii="Arial" w:cs="Arial" w:eastAsia="Arial" w:hAnsi="Arial"/>
          <w:sz w:val="22"/>
          <w:szCs w:val="22"/>
          <w:i w:val="1"/>
          <w:iCs w:val="1"/>
          <w:color w:val="auto"/>
        </w:rPr>
        <w:t>Cumberland</w:t>
      </w:r>
      <w:r>
        <w:rPr>
          <w:rFonts w:ascii="Arial" w:cs="Arial" w:eastAsia="Arial" w:hAnsi="Arial"/>
          <w:sz w:val="22"/>
          <w:szCs w:val="22"/>
          <w:color w:val="auto"/>
        </w:rPr>
        <w:t xml:space="preserve"> </w:t>
      </w:r>
      <w:r>
        <w:rPr>
          <w:rFonts w:ascii="Arial" w:cs="Arial" w:eastAsia="Arial" w:hAnsi="Arial"/>
          <w:sz w:val="22"/>
          <w:szCs w:val="22"/>
          <w:i w:val="1"/>
          <w:iCs w:val="1"/>
          <w:color w:val="auto"/>
        </w:rPr>
        <w:t>Oncology</w:t>
      </w:r>
      <w:r>
        <w:rPr>
          <w:rFonts w:ascii="Arial" w:cs="Arial" w:eastAsia="Arial" w:hAnsi="Arial"/>
          <w:sz w:val="22"/>
          <w:szCs w:val="22"/>
          <w:color w:val="auto"/>
        </w:rPr>
        <w:t>, which will feature the</w:t>
      </w:r>
      <w:r>
        <w:rPr>
          <w:rFonts w:ascii="Arial" w:cs="Arial" w:eastAsia="Arial" w:hAnsi="Arial"/>
          <w:sz w:val="22"/>
          <w:szCs w:val="22"/>
          <w:i w:val="1"/>
          <w:iCs w:val="1"/>
          <w:color w:val="auto"/>
        </w:rPr>
        <w:t xml:space="preserve"> </w:t>
      </w:r>
      <w:r>
        <w:rPr>
          <w:rFonts w:ascii="Arial" w:cs="Arial" w:eastAsia="Arial" w:hAnsi="Arial"/>
          <w:sz w:val="22"/>
          <w:szCs w:val="22"/>
          <w:color w:val="auto"/>
        </w:rPr>
        <w:t>newest addition to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0" w:right="2450" w:hanging="370"/>
        <w:spacing w:after="0" w:line="183" w:lineRule="auto"/>
        <w:tabs>
          <w:tab w:leader="none" w:pos="680" w:val="left"/>
        </w:tabs>
        <w:numPr>
          <w:ilvl w:val="0"/>
          <w:numId w:val="2"/>
        </w:numPr>
        <w:rPr>
          <w:rFonts w:ascii="Arial" w:cs="Arial" w:eastAsia="Arial" w:hAnsi="Arial"/>
          <w:sz w:val="55"/>
          <w:szCs w:val="55"/>
          <w:color w:val="FFFFFF"/>
          <w:vertAlign w:val="subscript"/>
        </w:rPr>
      </w:pPr>
      <w:r>
        <w:rPr>
          <w:rFonts w:ascii="Arial" w:cs="Arial" w:eastAsia="Arial" w:hAnsi="Arial"/>
          <w:sz w:val="27"/>
          <w:szCs w:val="27"/>
          <w:color w:val="00004D"/>
        </w:rPr>
        <w:t>Formed New Partnership</w:t>
      </w:r>
    </w:p>
    <w:p>
      <w:pPr>
        <w:spacing w:after="0" w:line="1" w:lineRule="exact"/>
        <w:rPr>
          <w:rFonts w:ascii="Arial" w:cs="Arial" w:eastAsia="Arial" w:hAnsi="Arial"/>
          <w:sz w:val="55"/>
          <w:szCs w:val="55"/>
          <w:color w:val="FFFFFF"/>
          <w:vertAlign w:val="subscript"/>
        </w:rPr>
      </w:pPr>
    </w:p>
    <w:p>
      <w:pPr>
        <w:ind w:left="680"/>
        <w:spacing w:after="0"/>
        <w:rPr>
          <w:rFonts w:ascii="Arial" w:cs="Arial" w:eastAsia="Arial" w:hAnsi="Arial"/>
          <w:sz w:val="55"/>
          <w:szCs w:val="55"/>
          <w:color w:val="FFFFFF"/>
          <w:vertAlign w:val="subscript"/>
        </w:rPr>
      </w:pPr>
      <w:r>
        <w:rPr>
          <w:rFonts w:ascii="Arial" w:cs="Arial" w:eastAsia="Arial" w:hAnsi="Arial"/>
          <w:sz w:val="32"/>
          <w:szCs w:val="32"/>
          <w:color w:val="00004D"/>
        </w:rPr>
        <w:t xml:space="preserve">for Mexico – </w:t>
      </w:r>
      <w:r>
        <w:rPr>
          <w:rFonts w:ascii="Arial" w:cs="Arial" w:eastAsia="Arial" w:hAnsi="Arial"/>
          <w:sz w:val="32"/>
          <w:szCs w:val="32"/>
          <w:color w:val="377FA7"/>
        </w:rPr>
        <w:t>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-895985</wp:posOffset>
            </wp:positionV>
            <wp:extent cx="3225800" cy="3992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25800" cy="3992880"/>
                    </a:xfrm>
                    <a:prstGeom prst="rect">
                      <a:avLst/>
                    </a:prstGeom>
                    <a:noFill/>
                  </pic:spPr>
                </pic:pic>
              </a:graphicData>
            </a:graphic>
          </wp:anchor>
        </w:drawing>
      </w:r>
    </w:p>
    <w:p>
      <w:pPr>
        <w:spacing w:after="0" w:line="234" w:lineRule="exact"/>
        <w:rPr>
          <w:sz w:val="20"/>
          <w:szCs w:val="20"/>
          <w:color w:val="auto"/>
        </w:rPr>
      </w:pPr>
    </w:p>
    <w:p>
      <w:pPr>
        <w:ind w:left="680" w:right="650"/>
        <w:spacing w:after="0" w:line="265" w:lineRule="auto"/>
        <w:rPr>
          <w:sz w:val="20"/>
          <w:szCs w:val="20"/>
          <w:color w:val="auto"/>
        </w:rPr>
      </w:pPr>
      <w:r>
        <w:rPr>
          <w:rFonts w:ascii="Arial" w:cs="Arial" w:eastAsia="Arial" w:hAnsi="Arial"/>
          <w:sz w:val="22"/>
          <w:szCs w:val="22"/>
          <w:color w:val="auto"/>
        </w:rPr>
        <w:t>We announced an agreement with PiSA Pharmaceutical for the registration and commercialization in Mexico of Caldolor – Cumberland’s non-narcotic pain relief product. When administered immediately before surgery, Caldolor enables patients to wake up after their procedure in significantly less pain and then continue to experience significantly less pain during their recovery. It can also considerably reduce the need for post-operative opioids and improve patients’ quality of life by reducing opioid-related side effects and the potential for addiction.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-456565</wp:posOffset>
                </wp:positionH>
                <wp:positionV relativeFrom="paragraph">
                  <wp:posOffset>772160</wp:posOffset>
                </wp:positionV>
                <wp:extent cx="456565" cy="23749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237490"/>
                        </a:xfrm>
                        <a:prstGeom prst="rect">
                          <a:avLst/>
                        </a:prstGeom>
                        <a:solidFill>
                          <a:srgbClr val="377FA7"/>
                        </a:solidFill>
                      </wps:spPr>
                      <wps:bodyPr/>
                    </wps:wsp>
                  </a:graphicData>
                </a:graphic>
              </wp:anchor>
            </w:drawing>
          </mc:Choice>
          <mc:Fallback>
            <w:pict>
              <v:rect id="Shape 6" o:spid="_x0000_s1031" style="position:absolute;margin-left:-35.9499pt;margin-top:60.8pt;width:35.95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77FA7" stroked="f"/>
            </w:pict>
          </mc:Fallback>
        </mc:AlternateConten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370" w:right="1300"/>
        <w:spacing w:after="0" w:line="265" w:lineRule="auto"/>
        <w:rPr>
          <w:sz w:val="20"/>
          <w:szCs w:val="20"/>
          <w:color w:val="auto"/>
        </w:rPr>
      </w:pPr>
      <w:r>
        <w:rPr>
          <w:rFonts w:ascii="Arial" w:cs="Arial" w:eastAsia="Arial" w:hAnsi="Arial"/>
          <w:sz w:val="22"/>
          <w:szCs w:val="22"/>
          <w:color w:val="auto"/>
        </w:rPr>
        <w:t>We established distribution for our Vibativ product in the Middle East, through a partnership with Tabuk Pharmaceutical Manufacturing Company. Vibativ is a potentially life-saving treatment for patients with hospital-acquired and ventilator-associated pneumonia resulting from</w:t>
      </w:r>
    </w:p>
    <w:p>
      <w:pPr>
        <w:spacing w:after="0" w:line="6" w:lineRule="exact"/>
        <w:rPr>
          <w:sz w:val="20"/>
          <w:szCs w:val="20"/>
          <w:color w:val="auto"/>
        </w:rPr>
      </w:pPr>
    </w:p>
    <w:p>
      <w:pPr>
        <w:ind w:left="370" w:right="1360" w:hanging="6"/>
        <w:spacing w:after="0" w:line="266" w:lineRule="auto"/>
        <w:tabs>
          <w:tab w:leader="none" w:pos="558" w:val="left"/>
        </w:tabs>
        <w:numPr>
          <w:ilvl w:val="0"/>
          <w:numId w:val="3"/>
        </w:numPr>
        <w:rPr>
          <w:rFonts w:ascii="Arial" w:cs="Arial" w:eastAsia="Arial" w:hAnsi="Arial"/>
          <w:sz w:val="22"/>
          <w:szCs w:val="22"/>
          <w:color w:val="auto"/>
        </w:rPr>
      </w:pPr>
      <w:r>
        <w:rPr>
          <w:rFonts w:ascii="Arial" w:cs="Arial" w:eastAsia="Arial" w:hAnsi="Arial"/>
          <w:sz w:val="22"/>
          <w:szCs w:val="22"/>
          <w:color w:val="auto"/>
        </w:rPr>
        <w:t>range of Gram-positive bacterial pathogens, including those that are considered difficult-to-treat and are multidrug-resistant. Through our partnership, Tabuk will introduce the product in Saudi Arabia, Jordan and potentially other countries in the Middle 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70" w:right="2360" w:hanging="370"/>
        <w:spacing w:after="0" w:line="181" w:lineRule="auto"/>
        <w:tabs>
          <w:tab w:leader="none" w:pos="370" w:val="left"/>
        </w:tabs>
        <w:numPr>
          <w:ilvl w:val="0"/>
          <w:numId w:val="4"/>
        </w:numPr>
        <w:rPr>
          <w:rFonts w:ascii="Arial" w:cs="Arial" w:eastAsia="Arial" w:hAnsi="Arial"/>
          <w:sz w:val="66"/>
          <w:szCs w:val="66"/>
          <w:color w:val="FFFFFF"/>
          <w:vertAlign w:val="subscript"/>
        </w:rPr>
      </w:pPr>
      <w:r>
        <w:rPr>
          <w:rFonts w:ascii="Arial" w:cs="Arial" w:eastAsia="Arial" w:hAnsi="Arial"/>
          <w:sz w:val="30"/>
          <w:szCs w:val="30"/>
          <w:color w:val="00004D"/>
        </w:rPr>
        <w:t xml:space="preserve">Opened New Headquarters – </w:t>
      </w:r>
      <w:r>
        <w:rPr>
          <w:rFonts w:ascii="Arial" w:cs="Arial" w:eastAsia="Arial" w:hAnsi="Arial"/>
          <w:sz w:val="30"/>
          <w:szCs w:val="30"/>
          <w:color w:val="377FA7"/>
        </w:rPr>
        <w:t>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-899160</wp:posOffset>
            </wp:positionV>
            <wp:extent cx="3225800" cy="2757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3225800" cy="2757805"/>
                    </a:xfrm>
                    <a:prstGeom prst="rect">
                      <a:avLst/>
                    </a:prstGeom>
                    <a:noFill/>
                  </pic:spPr>
                </pic:pic>
              </a:graphicData>
            </a:graphic>
          </wp:anchor>
        </w:drawing>
      </w:r>
    </w:p>
    <w:p>
      <w:pPr>
        <w:spacing w:after="0" w:line="229" w:lineRule="exact"/>
        <w:rPr>
          <w:sz w:val="20"/>
          <w:szCs w:val="20"/>
          <w:color w:val="auto"/>
        </w:rPr>
      </w:pPr>
    </w:p>
    <w:p>
      <w:pPr>
        <w:ind w:left="370" w:right="1300"/>
        <w:spacing w:after="0" w:line="266" w:lineRule="auto"/>
        <w:rPr>
          <w:sz w:val="20"/>
          <w:szCs w:val="20"/>
          <w:color w:val="auto"/>
        </w:rPr>
      </w:pPr>
      <w:r>
        <w:rPr>
          <w:rFonts w:ascii="Arial" w:cs="Arial" w:eastAsia="Arial" w:hAnsi="Arial"/>
          <w:sz w:val="22"/>
          <w:szCs w:val="22"/>
          <w:color w:val="auto"/>
        </w:rPr>
        <w:t>We opened our new headquarter offices at the Broadwest campus in the Vanderbilt/West End corridor of Nashville. Our move allows the company to accommodate our growth, support our team, and better serve our international base of customers and partners.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We welcomed a return to a more typical operating environment as 2022 progressed, following the economic and societal effects of the pandemic. We were excited to see enrollment in our clinical trials resume, patient procedures return to more customary levels and access for our sales representatives improve as they gained more face-to-face meetings with medical professionals.</w:t>
      </w:r>
    </w:p>
    <w:p>
      <w:pPr>
        <w:spacing w:after="0" w:line="211" w:lineRule="exact"/>
        <w:rPr>
          <w:sz w:val="20"/>
          <w:szCs w:val="20"/>
          <w:color w:val="auto"/>
        </w:rPr>
      </w:pPr>
    </w:p>
    <w:p>
      <w:pPr>
        <w:jc w:val="both"/>
        <w:ind w:right="340"/>
        <w:spacing w:after="0" w:line="236" w:lineRule="auto"/>
        <w:rPr>
          <w:sz w:val="20"/>
          <w:szCs w:val="20"/>
          <w:color w:val="auto"/>
        </w:rPr>
      </w:pPr>
      <w:r>
        <w:rPr>
          <w:rFonts w:ascii="Arial" w:cs="Arial" w:eastAsia="Arial" w:hAnsi="Arial"/>
          <w:sz w:val="20"/>
          <w:szCs w:val="20"/>
          <w:color w:val="auto"/>
        </w:rPr>
        <w:t xml:space="preserve">What the pandemic did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change was our mission to deliver high-quality medicines to improve patient care.</w:t>
      </w:r>
    </w:p>
    <w:p>
      <w:pPr>
        <w:spacing w:after="0" w:line="208"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We remained focused on further expanding our product portfolio, starting the year with the exciting and significant announcement of our Sancuso</w:t>
      </w:r>
      <w:r>
        <w:rPr>
          <w:rFonts w:ascii="Arial" w:cs="Arial" w:eastAsia="Arial" w:hAnsi="Arial"/>
          <w:sz w:val="11"/>
          <w:szCs w:val="11"/>
          <w:color w:val="auto"/>
        </w:rPr>
        <w:t>®</w:t>
      </w:r>
      <w:r>
        <w:rPr>
          <w:rFonts w:ascii="Arial" w:cs="Arial" w:eastAsia="Arial" w:hAnsi="Arial"/>
          <w:sz w:val="20"/>
          <w:szCs w:val="20"/>
          <w:color w:val="auto"/>
        </w:rPr>
        <w:t xml:space="preserve"> acquisition from the U.S. affiliate of Japan-based Kyowa Kirin. During the year, we successfully transitioned Sancuso from Kyowa Kirin and we’re supporting the brand through our new sales division</w:t>
      </w:r>
    </w:p>
    <w:p>
      <w:pPr>
        <w:spacing w:after="0" w:line="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 Cumberland Oncology. Sancuso is designed to support cancer patients and we are honored to provide this unique product to patients throughout the U.S. who can benefit from it.</w:t>
      </w:r>
    </w:p>
    <w:p>
      <w:pPr>
        <w:spacing w:after="0" w:line="211"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While Cumberland remains focused on featuring our Caldolor</w:t>
      </w:r>
      <w:r>
        <w:rPr>
          <w:rFonts w:ascii="Arial" w:cs="Arial" w:eastAsia="Arial" w:hAnsi="Arial"/>
          <w:sz w:val="11"/>
          <w:szCs w:val="11"/>
          <w:color w:val="auto"/>
        </w:rPr>
        <w:t>®</w:t>
      </w:r>
      <w:r>
        <w:rPr>
          <w:rFonts w:ascii="Arial" w:cs="Arial" w:eastAsia="Arial" w:hAnsi="Arial"/>
          <w:sz w:val="20"/>
          <w:szCs w:val="20"/>
          <w:color w:val="auto"/>
        </w:rPr>
        <w:t xml:space="preserve"> and Vibativ</w:t>
      </w:r>
      <w:r>
        <w:rPr>
          <w:rFonts w:ascii="Arial" w:cs="Arial" w:eastAsia="Arial" w:hAnsi="Arial"/>
          <w:sz w:val="11"/>
          <w:szCs w:val="11"/>
          <w:color w:val="auto"/>
        </w:rPr>
        <w:t>®</w:t>
      </w:r>
      <w:r>
        <w:rPr>
          <w:rFonts w:ascii="Arial" w:cs="Arial" w:eastAsia="Arial" w:hAnsi="Arial"/>
          <w:sz w:val="20"/>
          <w:szCs w:val="20"/>
          <w:color w:val="auto"/>
        </w:rPr>
        <w:t xml:space="preserve"> brands in the United States, we’re excited and eager to bring the products to patients in other countries.</w:t>
      </w:r>
    </w:p>
    <w:p>
      <w:pPr>
        <w:spacing w:after="0" w:line="211"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In the fourth quarter of 2022, we entered into an agreement with PiSA Pharmaceutical for the exclusive supply and distribution of our Caldolor product in Mexico. We believe Caldolor will serve an important role in the careful management of pain there, and we’re pleased to work with PiSA to establish a successful partnership.</w:t>
      </w:r>
    </w:p>
    <w:p>
      <w:pPr>
        <w:spacing w:after="0" w:line="212" w:lineRule="exact"/>
        <w:rPr>
          <w:sz w:val="20"/>
          <w:szCs w:val="20"/>
          <w:color w:val="auto"/>
        </w:rPr>
      </w:pPr>
    </w:p>
    <w:p>
      <w:pPr>
        <w:ind w:right="200"/>
        <w:spacing w:after="0" w:line="231" w:lineRule="auto"/>
        <w:rPr>
          <w:sz w:val="20"/>
          <w:szCs w:val="20"/>
          <w:color w:val="auto"/>
        </w:rPr>
      </w:pPr>
      <w:r>
        <w:rPr>
          <w:rFonts w:ascii="Arial" w:cs="Arial" w:eastAsia="Arial" w:hAnsi="Arial"/>
          <w:sz w:val="20"/>
          <w:szCs w:val="20"/>
          <w:color w:val="auto"/>
        </w:rPr>
        <w:t>Earlier in 2022, we announced a new partnership with Saudi-based Tabuk Pharmaceutical to introduce Vibativ into the Middle East. The arrangement provides Tabuk exclusive rights to distribute Vibativ in Saudi Arabia and Jordan, with the option to expand into other countries in the region.</w:t>
      </w:r>
    </w:p>
    <w:p>
      <w:pPr>
        <w:spacing w:after="0" w:line="212"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Meanwhile, our Vibativ partner for the Chinese market, SciClone Pharmaceuticals, had their approval application in China accepted for review in September 2021. We’ve since been supporting SciClone and their requests associated with review of that submission. They are working toward the approval and believe that there is significant potential for Vibativ in their country.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color w:val="auto"/>
        </w:rPr>
        <w:t>In addition to expanding our international partnerships, we’re working to build a pipeline of innovative products that address unmet medical needs. These product candidates are designed to improve patient care and patients’ quality of life. In 2022, we continued efforts to progress our series of Phase II clinical trials. We look forward to sharing the results from these studies as they emerge and then advancing these development programs, which we believe have the potential to help many patients.</w:t>
      </w:r>
    </w:p>
    <w:p>
      <w:pPr>
        <w:spacing w:after="0" w:line="208" w:lineRule="exact"/>
        <w:rPr>
          <w:sz w:val="20"/>
          <w:szCs w:val="20"/>
          <w:color w:val="auto"/>
        </w:rPr>
      </w:pPr>
    </w:p>
    <w:p>
      <w:pPr>
        <w:ind w:right="400"/>
        <w:spacing w:after="0" w:line="230" w:lineRule="auto"/>
        <w:rPr>
          <w:sz w:val="20"/>
          <w:szCs w:val="20"/>
          <w:color w:val="auto"/>
        </w:rPr>
      </w:pPr>
      <w:r>
        <w:rPr>
          <w:rFonts w:ascii="Arial" w:cs="Arial" w:eastAsia="Arial" w:hAnsi="Arial"/>
          <w:sz w:val="20"/>
          <w:szCs w:val="20"/>
          <w:color w:val="auto"/>
        </w:rPr>
        <w:t>Toward the end of the year, we moved into our new headquarter offices on the Broadwest campus in the Vanderbilt/West End corridor of Nashville. We are delighted to continue our presence and participation in the Nashville health care community, which represents the largest concentration of health care companies in the U.S. Our new headquarters also keeps us close to the Vanderbilt Medical Center, where we continue our collaboration to develop innovative new medicines. The new, state-of-the-art facility allows us to accommodate our growth, support our team and better serve our patients, customers and partners.</w:t>
      </w:r>
    </w:p>
    <w:p>
      <w:pPr>
        <w:spacing w:after="0" w:line="215"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color w:val="auto"/>
        </w:rPr>
        <w:t>While we’re pleased to share so many exciting developments contributing to our growth, we also understand the importance of recognizing and addressing our impact on the environment, our employees and the community. Last year, we shared our 2021 Sustainability Report, outlining our activities pertaining to environmental, social and governance issues. This year, we have added a table to this annual report sharing an update on our key sustainability metrics for 2022.</w:t>
      </w:r>
    </w:p>
    <w:p>
      <w:pPr>
        <w:spacing w:after="0" w:line="208"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With a new product to promote in Sancuso, an improving operating environment and a robust pipeline, we’re very optimistic about our future and look forward to delivering quality medicines to enhance patients’ quality of life.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All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659130" cy="56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65913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AJ Kazimi</w:t>
      </w:r>
    </w:p>
    <w:p>
      <w:pPr>
        <w:spacing w:after="0"/>
        <w:rPr>
          <w:sz w:val="20"/>
          <w:szCs w:val="20"/>
          <w:color w:val="auto"/>
        </w:rPr>
      </w:pPr>
      <w:r>
        <w:rPr>
          <w:rFonts w:ascii="Arial" w:cs="Arial" w:eastAsia="Arial" w:hAnsi="Arial"/>
          <w:sz w:val="20"/>
          <w:szCs w:val="20"/>
          <w:color w:val="auto"/>
        </w:rPr>
        <w:t>Chairman and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3378200</wp:posOffset>
                </wp:positionH>
                <wp:positionV relativeFrom="paragraph">
                  <wp:posOffset>382270</wp:posOffset>
                </wp:positionV>
                <wp:extent cx="457200" cy="23812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238125"/>
                        </a:xfrm>
                        <a:prstGeom prst="rect">
                          <a:avLst/>
                        </a:prstGeom>
                        <a:solidFill>
                          <a:srgbClr val="377FA7"/>
                        </a:solidFill>
                      </wps:spPr>
                      <wps:bodyPr/>
                    </wps:wsp>
                  </a:graphicData>
                </a:graphic>
              </wp:anchor>
            </w:drawing>
          </mc:Choice>
          <mc:Fallback>
            <w:pict>
              <v:rect id="Shape 9" o:spid="_x0000_s1034" style="position:absolute;margin-left:266pt;margin-top:30.1pt;width:36pt;height:1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77FA7" stroked="f"/>
            </w:pict>
          </mc:Fallback>
        </mc:AlternateContent>
      </w:r>
    </w:p>
    <w:p>
      <w:pPr>
        <w:spacing w:after="0" w:line="639" w:lineRule="exact"/>
        <w:rPr>
          <w:sz w:val="20"/>
          <w:szCs w:val="20"/>
          <w:color w:val="auto"/>
        </w:rPr>
      </w:pPr>
    </w:p>
    <w:p>
      <w:pPr>
        <w:sectPr>
          <w:pgSz w:w="24480" w:h="15840" w:orient="landscape"/>
          <w:cols w:equalWidth="0" w:num="4">
            <w:col w:w="5350" w:space="720"/>
            <w:col w:w="5450" w:space="720"/>
            <w:col w:w="5320" w:space="160"/>
            <w:col w:w="5500"/>
          </w:cols>
          <w:pgMar w:left="720" w:top="995" w:right="540" w:bottom="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color w:val="00004D"/>
        </w:rPr>
        <w:t xml:space="preserve">Cumberland Pharmaceuticals — </w:t>
      </w:r>
      <w:r>
        <w:rPr>
          <w:rFonts w:ascii="Arial" w:cs="Arial" w:eastAsia="Arial" w:hAnsi="Arial"/>
          <w:sz w:val="16"/>
          <w:szCs w:val="16"/>
          <w:color w:val="377FA7"/>
        </w:rPr>
        <w:t>Quality Medicines to Enhance Patients’ Quality of Life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color w:val="00004D"/>
        </w:rPr>
        <w:t>2022 Annual Report</w:t>
      </w:r>
      <w:r>
        <w:rPr>
          <w:sz w:val="20"/>
          <w:szCs w:val="20"/>
          <w:color w:val="auto"/>
        </w:rPr>
        <w:tab/>
      </w:r>
      <w:r>
        <w:rPr>
          <w:rFonts w:ascii="Arial" w:cs="Arial" w:eastAsia="Arial" w:hAnsi="Arial"/>
          <w:sz w:val="14"/>
          <w:szCs w:val="14"/>
          <w:color w:val="00004D"/>
        </w:rPr>
        <w:t>1</w:t>
      </w:r>
    </w:p>
    <w:p>
      <w:pPr>
        <w:sectPr>
          <w:pgSz w:w="24480" w:h="15840" w:orient="landscape"/>
          <w:cols w:equalWidth="0" w:num="2">
            <w:col w:w="20380" w:space="720"/>
            <w:col w:w="2120"/>
          </w:cols>
          <w:pgMar w:left="720" w:top="995" w:right="540" w:bottom="0" w:gutter="0" w:footer="0" w:header="0"/>
          <w:type w:val="continuous"/>
        </w:sectPr>
      </w:pPr>
    </w:p>
    <w:bookmarkStart w:id="2" w:name="page3"/>
    <w:bookmarkEnd w:id="2"/>
    <w:p>
      <w:pPr>
        <w:spacing w:after="0" w:line="200" w:lineRule="exact"/>
        <w:rPr>
          <w:sz w:val="20"/>
          <w:szCs w:val="20"/>
          <w:color w:val="auto"/>
        </w:r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46"/>
          <w:szCs w:val="46"/>
          <w:color w:val="00065C"/>
        </w:rPr>
        <w:t>Better Medicines for Better Lives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6"/>
          <w:szCs w:val="26"/>
          <w:color w:val="377FA7"/>
        </w:rPr>
        <w:t>Our Portfolio Continues to Expand in Order to Improve Patient Care</w:t>
      </w:r>
    </w:p>
    <w:p>
      <w:pPr>
        <w:spacing w:after="0" w:line="200" w:lineRule="exact"/>
        <w:rPr>
          <w:sz w:val="20"/>
          <w:szCs w:val="20"/>
          <w:color w:val="auto"/>
        </w:rPr>
      </w:pPr>
    </w:p>
    <w:p>
      <w:pPr>
        <w:spacing w:after="0" w:line="245" w:lineRule="exact"/>
        <w:rPr>
          <w:sz w:val="20"/>
          <w:szCs w:val="20"/>
          <w:color w:val="auto"/>
        </w:rPr>
      </w:pPr>
    </w:p>
    <w:p>
      <w:pPr>
        <w:jc w:val="both"/>
        <w:ind w:left="240" w:right="7240"/>
        <w:spacing w:after="0" w:line="266" w:lineRule="auto"/>
        <w:rPr>
          <w:sz w:val="20"/>
          <w:szCs w:val="20"/>
          <w:color w:val="auto"/>
        </w:rPr>
      </w:pPr>
      <w:r>
        <w:rPr>
          <w:rFonts w:ascii="Arial" w:cs="Arial" w:eastAsia="Arial" w:hAnsi="Arial"/>
          <w:sz w:val="22"/>
          <w:szCs w:val="22"/>
          <w:color w:val="auto"/>
        </w:rPr>
        <w:t>In developing and acquiring medicines, we focus on medical conditions that do not currently have a satisfactory treatment, targeting specialty markets including hospital acute care, gastroenterology and oncology.</w:t>
      </w:r>
    </w:p>
    <w:p>
      <w:pPr>
        <w:spacing w:after="0" w:line="279" w:lineRule="exact"/>
        <w:rPr>
          <w:sz w:val="20"/>
          <w:szCs w:val="20"/>
          <w:color w:val="auto"/>
        </w:rPr>
      </w:pPr>
    </w:p>
    <w:p>
      <w:pPr>
        <w:ind w:left="240" w:right="7560"/>
        <w:spacing w:after="0" w:line="266" w:lineRule="auto"/>
        <w:rPr>
          <w:sz w:val="20"/>
          <w:szCs w:val="20"/>
          <w:color w:val="auto"/>
        </w:rPr>
      </w:pPr>
      <w:r>
        <w:rPr>
          <w:rFonts w:ascii="Arial" w:cs="Arial" w:eastAsia="Arial" w:hAnsi="Arial"/>
          <w:sz w:val="22"/>
          <w:szCs w:val="22"/>
          <w:color w:val="auto"/>
        </w:rPr>
        <w:t>Our portfolio of FDA-approved brands continues to fulfill our mission of providing medicines that enhance patients’ quality of life. These products are promoted through our hospital, field and oncology sales divisions throughout the United States, and internationally through select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140970</wp:posOffset>
            </wp:positionV>
            <wp:extent cx="7772400" cy="6455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7772400" cy="6455410"/>
                    </a:xfrm>
                    <a:prstGeom prst="rect">
                      <a:avLst/>
                    </a:prstGeom>
                    <a:noFill/>
                  </pic:spPr>
                </pic:pic>
              </a:graphicData>
            </a:graphic>
          </wp:anchor>
        </w:drawing>
      </w:r>
    </w:p>
    <w:p>
      <w:pPr>
        <w:spacing w:after="0" w:line="25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Our commercial product line includes the brands shown to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80"/>
        <w:spacing w:after="0"/>
        <w:rPr>
          <w:sz w:val="20"/>
          <w:szCs w:val="20"/>
          <w:color w:val="auto"/>
        </w:rPr>
      </w:pPr>
      <w:r>
        <w:rPr>
          <w:rFonts w:ascii="Arial" w:cs="Arial" w:eastAsia="Arial" w:hAnsi="Arial"/>
          <w:sz w:val="16"/>
          <w:szCs w:val="16"/>
          <w:color w:val="00004D"/>
        </w:rPr>
        <w:t>For more information on Cumberland’s approved products,</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6"/>
          <w:szCs w:val="16"/>
          <w:color w:val="00004D"/>
        </w:rPr>
        <w:t>including full prescribing information, please visit links to</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6"/>
          <w:szCs w:val="16"/>
          <w:color w:val="00004D"/>
        </w:rPr>
        <w:t>the individual product websites, which can be found on the</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6"/>
          <w:szCs w:val="16"/>
          <w:color w:val="00004D"/>
        </w:rPr>
        <w:t>company’s website, www.cumberlandpharma.com.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color w:val="377FA7"/>
        </w:rPr>
        <w:t>(acetylcysteine)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-234315</wp:posOffset>
            </wp:positionV>
            <wp:extent cx="2129155" cy="822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2129155" cy="822960"/>
                    </a:xfrm>
                    <a:prstGeom prst="rect">
                      <a:avLst/>
                    </a:prstGeom>
                    <a:noFill/>
                  </pic:spPr>
                </pic:pic>
              </a:graphicData>
            </a:graphic>
          </wp:anchor>
        </w:drawing>
      </w:r>
    </w:p>
    <w:p>
      <w:pPr>
        <w:spacing w:after="0" w:line="215" w:lineRule="exact"/>
        <w:rPr>
          <w:sz w:val="20"/>
          <w:szCs w:val="20"/>
          <w:color w:val="auto"/>
        </w:rPr>
      </w:pPr>
    </w:p>
    <w:p>
      <w:pPr>
        <w:ind w:right="1180"/>
        <w:spacing w:after="0" w:line="234" w:lineRule="auto"/>
        <w:rPr>
          <w:sz w:val="20"/>
          <w:szCs w:val="20"/>
          <w:color w:val="auto"/>
        </w:rPr>
      </w:pPr>
      <w:r>
        <w:rPr>
          <w:rFonts w:ascii="Arial" w:cs="Arial" w:eastAsia="Arial" w:hAnsi="Arial"/>
          <w:sz w:val="24"/>
          <w:szCs w:val="24"/>
          <w:color w:val="00004D"/>
        </w:rPr>
        <w:t>An injection used for the treatment of acetaminophen poisoning, the leading cause of drug toxicity in the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572770</wp:posOffset>
                </wp:positionV>
                <wp:extent cx="0" cy="82296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22960"/>
                        </a:xfrm>
                        <a:prstGeom prst="line">
                          <a:avLst/>
                        </a:prstGeom>
                        <a:solidFill>
                          <a:srgbClr val="FFFFFF"/>
                        </a:solidFill>
                        <a:ln w="12700">
                          <a:solidFill>
                            <a:srgbClr val="00004D"/>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45.1pt" to="-9.6499pt,109.9pt" o:allowincell="f" strokecolor="#00004D"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0"/>
          <w:szCs w:val="30"/>
          <w:color w:val="377FA7"/>
        </w:rPr>
        <w:t>(ibuprofen)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20955</wp:posOffset>
            </wp:positionV>
            <wp:extent cx="1839595" cy="354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1839595" cy="354330"/>
                    </a:xfrm>
                    <a:prstGeom prst="rect">
                      <a:avLst/>
                    </a:prstGeom>
                    <a:noFill/>
                  </pic:spPr>
                </pic:pic>
              </a:graphicData>
            </a:graphic>
          </wp:anchor>
        </w:drawing>
      </w:r>
    </w:p>
    <w:p>
      <w:pPr>
        <w:spacing w:after="0" w:line="215" w:lineRule="exact"/>
        <w:rPr>
          <w:sz w:val="20"/>
          <w:szCs w:val="20"/>
          <w:color w:val="auto"/>
        </w:rPr>
      </w:pPr>
    </w:p>
    <w:p>
      <w:pPr>
        <w:ind w:right="1260"/>
        <w:spacing w:after="0" w:line="234" w:lineRule="auto"/>
        <w:rPr>
          <w:sz w:val="20"/>
          <w:szCs w:val="20"/>
          <w:color w:val="auto"/>
        </w:rPr>
      </w:pPr>
      <w:r>
        <w:rPr>
          <w:rFonts w:ascii="Arial" w:cs="Arial" w:eastAsia="Arial" w:hAnsi="Arial"/>
          <w:sz w:val="24"/>
          <w:szCs w:val="24"/>
          <w:color w:val="00004D"/>
        </w:rPr>
        <w:t>The first injectable therapy approved in the U.S. for the treatment of both pain and fever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561340</wp:posOffset>
                </wp:positionV>
                <wp:extent cx="0" cy="95440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4405"/>
                        </a:xfrm>
                        <a:prstGeom prst="line">
                          <a:avLst/>
                        </a:prstGeom>
                        <a:solidFill>
                          <a:srgbClr val="FFFFFF"/>
                        </a:solidFill>
                        <a:ln w="12700">
                          <a:solidFill>
                            <a:srgbClr val="00004D"/>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44.2pt" to="-9.6499pt,119.35pt" o:allowincell="f" strokecolor="#00004D"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0"/>
          <w:szCs w:val="30"/>
          <w:color w:val="377FA7"/>
        </w:rPr>
        <w:t>(lactulose)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114300</wp:posOffset>
            </wp:positionV>
            <wp:extent cx="1845945" cy="233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845945" cy="233045"/>
                    </a:xfrm>
                    <a:prstGeom prst="rect">
                      <a:avLst/>
                    </a:prstGeom>
                    <a:noFill/>
                  </pic:spPr>
                </pic:pic>
              </a:graphicData>
            </a:graphic>
          </wp:anchor>
        </w:drawing>
      </w:r>
    </w:p>
    <w:p>
      <w:pPr>
        <w:spacing w:after="0" w:line="215" w:lineRule="exact"/>
        <w:rPr>
          <w:sz w:val="20"/>
          <w:szCs w:val="20"/>
          <w:color w:val="auto"/>
        </w:rPr>
      </w:pPr>
    </w:p>
    <w:p>
      <w:pPr>
        <w:ind w:right="520"/>
        <w:spacing w:after="0" w:line="231" w:lineRule="auto"/>
        <w:rPr>
          <w:sz w:val="20"/>
          <w:szCs w:val="20"/>
          <w:color w:val="auto"/>
        </w:rPr>
      </w:pPr>
      <w:r>
        <w:rPr>
          <w:rFonts w:ascii="Arial" w:cs="Arial" w:eastAsia="Arial" w:hAnsi="Arial"/>
          <w:sz w:val="24"/>
          <w:szCs w:val="24"/>
          <w:color w:val="00004D"/>
        </w:rPr>
        <w:t>The only branded prescription laxative product that combines the established safety and efficacy of lactulose with the convenience and portability of a pre-measured dose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528320</wp:posOffset>
                </wp:positionV>
                <wp:extent cx="0" cy="10166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6635"/>
                        </a:xfrm>
                        <a:prstGeom prst="line">
                          <a:avLst/>
                        </a:prstGeom>
                        <a:solidFill>
                          <a:srgbClr val="FFFFFF"/>
                        </a:solidFill>
                        <a:ln w="12700">
                          <a:solidFill>
                            <a:srgbClr val="00004D"/>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41.6pt" to="-9.6499pt,121.65pt" o:allowincell="f" strokecolor="#00004D"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0"/>
          <w:szCs w:val="30"/>
          <w:color w:val="377FA7"/>
        </w:rPr>
        <w:t>(granisetron)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73660</wp:posOffset>
            </wp:positionV>
            <wp:extent cx="1299210" cy="279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1299210" cy="279400"/>
                    </a:xfrm>
                    <a:prstGeom prst="rect">
                      <a:avLst/>
                    </a:prstGeom>
                    <a:noFill/>
                  </pic:spPr>
                </pic:pic>
              </a:graphicData>
            </a:graphic>
          </wp:anchor>
        </w:drawing>
      </w:r>
    </w:p>
    <w:p>
      <w:pPr>
        <w:spacing w:after="0" w:line="215" w:lineRule="exact"/>
        <w:rPr>
          <w:sz w:val="20"/>
          <w:szCs w:val="20"/>
          <w:color w:val="auto"/>
        </w:rPr>
      </w:pPr>
    </w:p>
    <w:p>
      <w:pPr>
        <w:ind w:right="900"/>
        <w:spacing w:after="0" w:line="231" w:lineRule="auto"/>
        <w:rPr>
          <w:sz w:val="20"/>
          <w:szCs w:val="20"/>
          <w:color w:val="auto"/>
        </w:rPr>
      </w:pPr>
      <w:r>
        <w:rPr>
          <w:rFonts w:ascii="Arial" w:cs="Arial" w:eastAsia="Arial" w:hAnsi="Arial"/>
          <w:sz w:val="24"/>
          <w:szCs w:val="24"/>
          <w:color w:val="00004D"/>
        </w:rPr>
        <w:t>The first and only FDA-approved prescription patch that prevents nausea and vomiting in patients receiving certain types of chemotherapy treatment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576580</wp:posOffset>
                </wp:positionV>
                <wp:extent cx="0" cy="112458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4585"/>
                        </a:xfrm>
                        <a:prstGeom prst="line">
                          <a:avLst/>
                        </a:prstGeom>
                        <a:solidFill>
                          <a:srgbClr val="FFFFFF"/>
                        </a:solidFill>
                        <a:ln w="12700">
                          <a:solidFill>
                            <a:srgbClr val="00004D"/>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45.4pt" to="-9.6499pt,133.95pt" o:allowincell="f" strokecolor="#00004D"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0"/>
          <w:szCs w:val="30"/>
          <w:color w:val="377FA7"/>
        </w:rPr>
        <w:t>(conivaptan)</w:t>
      </w:r>
    </w:p>
    <w:p>
      <w:pPr>
        <w:spacing w:after="0" w:line="235" w:lineRule="exact"/>
        <w:rPr>
          <w:sz w:val="20"/>
          <w:szCs w:val="20"/>
          <w:color w:val="auto"/>
        </w:rPr>
      </w:pPr>
    </w:p>
    <w:p>
      <w:pPr>
        <w:ind w:right="980"/>
        <w:spacing w:after="0" w:line="230" w:lineRule="auto"/>
        <w:rPr>
          <w:sz w:val="20"/>
          <w:szCs w:val="20"/>
          <w:color w:val="auto"/>
        </w:rPr>
      </w:pPr>
      <w:r>
        <w:rPr>
          <w:rFonts w:ascii="Arial" w:cs="Arial" w:eastAsia="Arial" w:hAnsi="Arial"/>
          <w:sz w:val="24"/>
          <w:szCs w:val="24"/>
          <w:color w:val="00004D"/>
        </w:rPr>
        <w:t>The first and only intravenously administered vasopressin receptor antagonist, which is used to raise serum sodium levels in hospitalized patients with euvolemic and hypervolemic hyponatremia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-669290</wp:posOffset>
            </wp:positionV>
            <wp:extent cx="1440180" cy="374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1440180" cy="3746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-122555</wp:posOffset>
                </wp:positionH>
                <wp:positionV relativeFrom="paragraph">
                  <wp:posOffset>537210</wp:posOffset>
                </wp:positionV>
                <wp:extent cx="0" cy="112458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24585"/>
                        </a:xfrm>
                        <a:prstGeom prst="line">
                          <a:avLst/>
                        </a:prstGeom>
                        <a:solidFill>
                          <a:srgbClr val="FFFFFF"/>
                        </a:solidFill>
                        <a:ln w="12700">
                          <a:solidFill>
                            <a:srgbClr val="00004D"/>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42.3pt" to="-9.6499pt,130.85pt" o:allowincell="f" strokecolor="#00004D"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0"/>
          <w:szCs w:val="30"/>
          <w:color w:val="377FA7"/>
        </w:rPr>
        <w:t>(telavancin)</w:t>
      </w:r>
    </w:p>
    <w:p>
      <w:pPr>
        <w:spacing w:after="0" w:line="236" w:lineRule="exact"/>
        <w:rPr>
          <w:sz w:val="20"/>
          <w:szCs w:val="20"/>
          <w:color w:val="auto"/>
        </w:rPr>
      </w:pPr>
    </w:p>
    <w:p>
      <w:pPr>
        <w:ind w:right="1340"/>
        <w:spacing w:after="0" w:line="230" w:lineRule="auto"/>
        <w:rPr>
          <w:sz w:val="20"/>
          <w:szCs w:val="20"/>
          <w:color w:val="auto"/>
        </w:rPr>
      </w:pPr>
      <w:r>
        <w:rPr>
          <w:rFonts w:ascii="Arial" w:cs="Arial" w:eastAsia="Arial" w:hAnsi="Arial"/>
          <w:sz w:val="24"/>
          <w:szCs w:val="24"/>
          <w:color w:val="00004D"/>
        </w:rPr>
        <w:t>An injection used for the treatment of certain serious bacterial infections including hospital-acquired and ventilator-associated bacterial pneumonia, as well as complicated skin and skin structure infections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-649605</wp:posOffset>
            </wp:positionV>
            <wp:extent cx="1865630" cy="319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1865630" cy="3194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4470400</wp:posOffset>
                </wp:positionH>
                <wp:positionV relativeFrom="paragraph">
                  <wp:posOffset>464820</wp:posOffset>
                </wp:positionV>
                <wp:extent cx="457200" cy="23749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237490"/>
                        </a:xfrm>
                        <a:prstGeom prst="rect">
                          <a:avLst/>
                        </a:prstGeom>
                        <a:solidFill>
                          <a:srgbClr val="377FA7"/>
                        </a:solidFill>
                      </wps:spPr>
                      <wps:bodyPr/>
                    </wps:wsp>
                  </a:graphicData>
                </a:graphic>
              </wp:anchor>
            </w:drawing>
          </mc:Choice>
          <mc:Fallback>
            <w:pict>
              <v:rect id="Shape 22" o:spid="_x0000_s1047" style="position:absolute;margin-left:352pt;margin-top:36.6pt;width:36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77FA7" stroked="f"/>
            </w:pict>
          </mc:Fallback>
        </mc:AlternateContent>
      </w:r>
    </w:p>
    <w:p>
      <w:pPr>
        <w:spacing w:after="0" w:line="200" w:lineRule="exact"/>
        <w:rPr>
          <w:sz w:val="20"/>
          <w:szCs w:val="20"/>
          <w:color w:val="auto"/>
        </w:rPr>
      </w:pPr>
    </w:p>
    <w:p>
      <w:pPr>
        <w:sectPr>
          <w:pgSz w:w="24480" w:h="15840" w:orient="landscape"/>
          <w:cols w:equalWidth="0" w:num="2">
            <w:col w:w="15520" w:space="720"/>
            <w:col w:w="7260"/>
          </w:cols>
          <w:pgMar w:left="480" w:top="1440" w:right="500" w:bottom="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tabs>
          <w:tab w:leader="none" w:pos="340" w:val="left"/>
          <w:tab w:leader="none" w:pos="21320" w:val="left"/>
          <w:tab w:leader="none" w:pos="23360" w:val="left"/>
        </w:tabs>
        <w:rPr>
          <w:sz w:val="20"/>
          <w:szCs w:val="20"/>
          <w:color w:val="auto"/>
        </w:rPr>
      </w:pPr>
      <w:r>
        <w:rPr>
          <w:rFonts w:ascii="Arial" w:cs="Arial" w:eastAsia="Arial" w:hAnsi="Arial"/>
          <w:sz w:val="20"/>
          <w:szCs w:val="20"/>
          <w:color w:val="00004D"/>
        </w:rPr>
        <w:t>2</w:t>
      </w:r>
      <w:r>
        <w:rPr>
          <w:sz w:val="20"/>
          <w:szCs w:val="20"/>
          <w:color w:val="auto"/>
        </w:rPr>
        <w:tab/>
      </w:r>
      <w:r>
        <w:rPr>
          <w:rFonts w:ascii="Arial" w:cs="Arial" w:eastAsia="Arial" w:hAnsi="Arial"/>
          <w:sz w:val="16"/>
          <w:szCs w:val="16"/>
          <w:color w:val="00004D"/>
        </w:rPr>
        <w:t xml:space="preserve">Cumberland Pharmaceuticals — </w:t>
      </w:r>
      <w:r>
        <w:rPr>
          <w:rFonts w:ascii="Arial" w:cs="Arial" w:eastAsia="Arial" w:hAnsi="Arial"/>
          <w:sz w:val="16"/>
          <w:szCs w:val="16"/>
          <w:color w:val="377FA7"/>
        </w:rPr>
        <w:t>Quality Medicines to Enhance Patients’ Quality of Life</w:t>
      </w:r>
      <w:r>
        <w:rPr>
          <w:sz w:val="20"/>
          <w:szCs w:val="20"/>
          <w:color w:val="auto"/>
        </w:rPr>
        <w:tab/>
      </w:r>
      <w:r>
        <w:rPr>
          <w:rFonts w:ascii="Arial" w:cs="Arial" w:eastAsia="Arial" w:hAnsi="Arial"/>
          <w:sz w:val="16"/>
          <w:szCs w:val="16"/>
          <w:color w:val="00004D"/>
        </w:rPr>
        <w:t>2022 Annual Report</w:t>
      </w:r>
      <w:r>
        <w:rPr>
          <w:sz w:val="20"/>
          <w:szCs w:val="20"/>
          <w:color w:val="auto"/>
        </w:rPr>
        <w:tab/>
      </w:r>
      <w:r>
        <w:rPr>
          <w:rFonts w:ascii="Arial" w:cs="Arial" w:eastAsia="Arial" w:hAnsi="Arial"/>
          <w:sz w:val="20"/>
          <w:szCs w:val="20"/>
          <w:color w:val="00004D"/>
        </w:rPr>
        <w:t>3</w:t>
      </w:r>
    </w:p>
    <w:p>
      <w:pPr>
        <w:sectPr>
          <w:pgSz w:w="24480" w:h="15840" w:orient="landscape"/>
          <w:cols w:equalWidth="0" w:num="1">
            <w:col w:w="23500"/>
          </w:cols>
          <w:pgMar w:left="480" w:top="1440" w:right="500" w:bottom="0" w:gutter="0" w:footer="0" w:header="0"/>
          <w:type w:val="continuous"/>
        </w:sectPr>
      </w:pPr>
    </w:p>
    <w:bookmarkStart w:id="3" w:name="page4"/>
    <w:bookmarkEnd w:id="3"/>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46"/>
          <w:szCs w:val="46"/>
          <w:color w:val="00065C"/>
        </w:rPr>
        <w:t>New to the Product Line: Sancuso</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6"/>
          <w:szCs w:val="26"/>
          <w:color w:val="377FA7"/>
        </w:rPr>
        <w:t>Helping Patients Find Relief From Chemotherapy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168910</wp:posOffset>
            </wp:positionV>
            <wp:extent cx="14923135" cy="8131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14923135" cy="813181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520" w:right="14740"/>
        <w:spacing w:after="0" w:line="265" w:lineRule="auto"/>
        <w:rPr>
          <w:sz w:val="20"/>
          <w:szCs w:val="20"/>
          <w:color w:val="auto"/>
        </w:rPr>
      </w:pPr>
      <w:r>
        <w:rPr>
          <w:rFonts w:ascii="Arial" w:cs="Arial" w:eastAsia="Arial" w:hAnsi="Arial"/>
          <w:sz w:val="22"/>
          <w:szCs w:val="22"/>
          <w:color w:val="auto"/>
        </w:rPr>
        <w:t>The newest addition to our portfolio, Sancuso is a unique patented oncology support product – the first and only FDA-approved prescription patch for the prevention of nausea</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and vomiting in cancer patients receiving certain types of chemotherapy treatment.</w:t>
      </w:r>
    </w:p>
    <w:p>
      <w:pPr>
        <w:spacing w:after="0" w:line="307" w:lineRule="exact"/>
        <w:rPr>
          <w:sz w:val="20"/>
          <w:szCs w:val="20"/>
          <w:color w:val="auto"/>
        </w:rPr>
      </w:pPr>
    </w:p>
    <w:p>
      <w:pPr>
        <w:ind w:left="300" w:right="14660"/>
        <w:spacing w:after="0" w:line="266" w:lineRule="auto"/>
        <w:rPr>
          <w:sz w:val="20"/>
          <w:szCs w:val="20"/>
          <w:color w:val="auto"/>
        </w:rPr>
      </w:pPr>
      <w:r>
        <w:rPr>
          <w:rFonts w:ascii="Arial" w:cs="Arial" w:eastAsia="Arial" w:hAnsi="Arial"/>
          <w:sz w:val="22"/>
          <w:szCs w:val="22"/>
          <w:color w:val="auto"/>
        </w:rPr>
        <w:t>The active drug in Sancuso, granisetron, slowly dissolves through a thin layer that adheres to the patient’s skin and is released into their bloodstream over several days, working continuously to prevent chemotherapy-induced nausea and vomiting. It is applied 24 to 48 hours before receiving chemotherapy and can prevent nausea and vomiting for up to five consecutive days. Alternative oral treatments must be taken several times (day and night) to deliver the same therapeutic doses.</w:t>
      </w:r>
    </w:p>
    <w:p>
      <w:pPr>
        <w:spacing w:after="0" w:line="278" w:lineRule="exact"/>
        <w:rPr>
          <w:sz w:val="20"/>
          <w:szCs w:val="20"/>
          <w:color w:val="auto"/>
        </w:rPr>
      </w:pPr>
    </w:p>
    <w:p>
      <w:pPr>
        <w:jc w:val="both"/>
        <w:ind w:left="300" w:right="14540"/>
        <w:spacing w:after="0" w:line="266" w:lineRule="auto"/>
        <w:rPr>
          <w:sz w:val="20"/>
          <w:szCs w:val="20"/>
          <w:color w:val="auto"/>
        </w:rPr>
      </w:pPr>
      <w:r>
        <w:rPr>
          <w:rFonts w:ascii="Arial" w:cs="Arial" w:eastAsia="Arial" w:hAnsi="Arial"/>
          <w:sz w:val="22"/>
          <w:szCs w:val="22"/>
          <w:color w:val="auto"/>
        </w:rPr>
        <w:t>There were an estimated 1.9 million new cases of cancer in the U.S. in 2022</w:t>
      </w:r>
      <w:r>
        <w:rPr>
          <w:rFonts w:ascii="Arial" w:cs="Arial" w:eastAsia="Arial" w:hAnsi="Arial"/>
          <w:sz w:val="12"/>
          <w:szCs w:val="12"/>
          <w:color w:val="auto"/>
        </w:rPr>
        <w:t>1</w:t>
      </w:r>
      <w:r>
        <w:rPr>
          <w:rFonts w:ascii="Arial" w:cs="Arial" w:eastAsia="Arial" w:hAnsi="Arial"/>
          <w:sz w:val="22"/>
          <w:szCs w:val="22"/>
          <w:color w:val="auto"/>
        </w:rPr>
        <w:t xml:space="preserve"> and each year more than 1 million Americans undergo chemotherapy</w:t>
      </w:r>
      <w:r>
        <w:rPr>
          <w:rFonts w:ascii="Arial" w:cs="Arial" w:eastAsia="Arial" w:hAnsi="Arial"/>
          <w:sz w:val="12"/>
          <w:szCs w:val="12"/>
          <w:color w:val="auto"/>
        </w:rPr>
        <w:t>2</w:t>
      </w:r>
      <w:r>
        <w:rPr>
          <w:rFonts w:ascii="Arial" w:cs="Arial" w:eastAsia="Arial" w:hAnsi="Arial"/>
          <w:sz w:val="22"/>
          <w:szCs w:val="22"/>
          <w:color w:val="auto"/>
        </w:rPr>
        <w:t>, with many suffering from the side effects of their treatment.</w:t>
      </w:r>
    </w:p>
    <w:p>
      <w:pPr>
        <w:spacing w:after="0" w:line="279" w:lineRule="exact"/>
        <w:rPr>
          <w:sz w:val="20"/>
          <w:szCs w:val="20"/>
          <w:color w:val="auto"/>
        </w:rPr>
      </w:pPr>
    </w:p>
    <w:p>
      <w:pPr>
        <w:ind w:left="300" w:right="17340"/>
        <w:spacing w:after="0" w:line="265" w:lineRule="auto"/>
        <w:rPr>
          <w:sz w:val="20"/>
          <w:szCs w:val="20"/>
          <w:color w:val="auto"/>
        </w:rPr>
      </w:pPr>
      <w:r>
        <w:rPr>
          <w:rFonts w:ascii="Arial" w:cs="Arial" w:eastAsia="Arial" w:hAnsi="Arial"/>
          <w:sz w:val="22"/>
          <w:szCs w:val="22"/>
          <w:color w:val="auto"/>
        </w:rPr>
        <w:t>With Sancuso, patients are given a simple, easy-to-apply preventative solution that does not require swallowing pills</w:t>
      </w:r>
    </w:p>
    <w:p>
      <w:pPr>
        <w:spacing w:after="0" w:line="1" w:lineRule="exact"/>
        <w:rPr>
          <w:sz w:val="20"/>
          <w:szCs w:val="20"/>
          <w:color w:val="auto"/>
        </w:rPr>
      </w:pPr>
    </w:p>
    <w:p>
      <w:pPr>
        <w:ind w:left="300" w:right="17500"/>
        <w:spacing w:after="0" w:line="266" w:lineRule="auto"/>
        <w:rPr>
          <w:sz w:val="20"/>
          <w:szCs w:val="20"/>
          <w:color w:val="auto"/>
        </w:rPr>
      </w:pPr>
      <w:r>
        <w:rPr>
          <w:rFonts w:ascii="Arial" w:cs="Arial" w:eastAsia="Arial" w:hAnsi="Arial"/>
          <w:sz w:val="22"/>
          <w:szCs w:val="22"/>
          <w:color w:val="auto"/>
        </w:rPr>
        <w:t>– which can be difficult for patients experiencing nausea. We are honored to introduce this brand through our commercial organization, ensuring that it is delivered to the patients across the country who can benefit from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hanging="95"/>
        <w:spacing w:after="0"/>
        <w:tabs>
          <w:tab w:leader="none" w:pos="340" w:val="left"/>
        </w:tabs>
        <w:numPr>
          <w:ilvl w:val="0"/>
          <w:numId w:val="7"/>
        </w:numPr>
        <w:rPr>
          <w:rFonts w:ascii="Arial" w:cs="Arial" w:eastAsia="Arial" w:hAnsi="Arial"/>
          <w:sz w:val="8"/>
          <w:szCs w:val="8"/>
          <w:color w:val="auto"/>
        </w:rPr>
      </w:pPr>
      <w:r>
        <w:rPr>
          <w:rFonts w:ascii="Arial" w:cs="Arial" w:eastAsia="Arial" w:hAnsi="Arial"/>
          <w:sz w:val="14"/>
          <w:szCs w:val="14"/>
          <w:color w:val="auto"/>
        </w:rPr>
        <w:t>https://www.cancer.org/latest-news/facts-and-figures-2022.html</w:t>
      </w:r>
    </w:p>
    <w:p>
      <w:pPr>
        <w:spacing w:after="0" w:line="19" w:lineRule="exact"/>
        <w:rPr>
          <w:rFonts w:ascii="Arial" w:cs="Arial" w:eastAsia="Arial" w:hAnsi="Arial"/>
          <w:sz w:val="8"/>
          <w:szCs w:val="8"/>
          <w:color w:val="auto"/>
        </w:rPr>
      </w:pPr>
    </w:p>
    <w:p>
      <w:pPr>
        <w:ind w:left="340" w:hanging="95"/>
        <w:spacing w:after="0"/>
        <w:tabs>
          <w:tab w:leader="none" w:pos="340" w:val="left"/>
        </w:tabs>
        <w:numPr>
          <w:ilvl w:val="0"/>
          <w:numId w:val="7"/>
        </w:numPr>
        <w:rPr>
          <w:rFonts w:ascii="Arial" w:cs="Arial" w:eastAsia="Arial" w:hAnsi="Arial"/>
          <w:sz w:val="8"/>
          <w:szCs w:val="8"/>
          <w:color w:val="auto"/>
        </w:rPr>
      </w:pPr>
      <w:r>
        <w:rPr>
          <w:rFonts w:ascii="Arial" w:cs="Arial" w:eastAsia="Arial" w:hAnsi="Arial"/>
          <w:sz w:val="14"/>
          <w:szCs w:val="14"/>
          <w:color w:val="auto"/>
        </w:rPr>
        <w:t>https://www.cdc.gov/cancer/preventinfections/providers.htm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14782800</wp:posOffset>
                </wp:positionH>
                <wp:positionV relativeFrom="paragraph">
                  <wp:posOffset>1206500</wp:posOffset>
                </wp:positionV>
                <wp:extent cx="457200" cy="23749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237490"/>
                        </a:xfrm>
                        <a:prstGeom prst="rect">
                          <a:avLst/>
                        </a:prstGeom>
                        <a:solidFill>
                          <a:srgbClr val="377FA7"/>
                        </a:solidFill>
                      </wps:spPr>
                      <wps:bodyPr/>
                    </wps:wsp>
                  </a:graphicData>
                </a:graphic>
              </wp:anchor>
            </w:drawing>
          </mc:Choice>
          <mc:Fallback>
            <w:pict>
              <v:rect id="Shape 24" o:spid="_x0000_s1049" style="position:absolute;margin-left:1164pt;margin-top:95pt;width:36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77FA7" stroked="f"/>
            </w:pict>
          </mc:Fallback>
        </mc:AlternateContent>
      </w:r>
    </w:p>
    <w:p>
      <w:pPr>
        <w:sectPr>
          <w:pgSz w:w="24480" w:h="15840" w:orient="landscape"/>
          <w:cols w:equalWidth="0" w:num="1">
            <w:col w:w="23500"/>
          </w:cols>
          <w:pgMar w:left="480" w:top="144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340" w:val="left"/>
          <w:tab w:leader="none" w:pos="21320" w:val="left"/>
          <w:tab w:leader="none" w:pos="23360" w:val="left"/>
        </w:tabs>
        <w:rPr>
          <w:sz w:val="20"/>
          <w:szCs w:val="20"/>
          <w:color w:val="auto"/>
        </w:rPr>
      </w:pPr>
      <w:r>
        <w:rPr>
          <w:rFonts w:ascii="Arial" w:cs="Arial" w:eastAsia="Arial" w:hAnsi="Arial"/>
          <w:sz w:val="20"/>
          <w:szCs w:val="20"/>
          <w:color w:val="00004D"/>
        </w:rPr>
        <w:t>4</w:t>
      </w:r>
      <w:r>
        <w:rPr>
          <w:sz w:val="20"/>
          <w:szCs w:val="20"/>
          <w:color w:val="auto"/>
        </w:rPr>
        <w:tab/>
      </w:r>
      <w:r>
        <w:rPr>
          <w:rFonts w:ascii="Arial" w:cs="Arial" w:eastAsia="Arial" w:hAnsi="Arial"/>
          <w:sz w:val="16"/>
          <w:szCs w:val="16"/>
          <w:color w:val="00004D"/>
        </w:rPr>
        <w:t xml:space="preserve">Cumberland Pharmaceuticals — </w:t>
      </w:r>
      <w:r>
        <w:rPr>
          <w:rFonts w:ascii="Arial" w:cs="Arial" w:eastAsia="Arial" w:hAnsi="Arial"/>
          <w:sz w:val="16"/>
          <w:szCs w:val="16"/>
          <w:color w:val="377FA7"/>
        </w:rPr>
        <w:t>Quality Medicines to Enhance Patients’ Quality of Life</w:t>
      </w:r>
      <w:r>
        <w:rPr>
          <w:sz w:val="20"/>
          <w:szCs w:val="20"/>
          <w:color w:val="auto"/>
        </w:rPr>
        <w:tab/>
      </w:r>
      <w:r>
        <w:rPr>
          <w:rFonts w:ascii="Arial" w:cs="Arial" w:eastAsia="Arial" w:hAnsi="Arial"/>
          <w:sz w:val="16"/>
          <w:szCs w:val="16"/>
          <w:color w:val="00004D"/>
        </w:rPr>
        <w:t>2022 Annual Report</w:t>
      </w:r>
      <w:r>
        <w:rPr>
          <w:sz w:val="20"/>
          <w:szCs w:val="20"/>
          <w:color w:val="auto"/>
        </w:rPr>
        <w:tab/>
      </w:r>
      <w:r>
        <w:rPr>
          <w:rFonts w:ascii="Arial" w:cs="Arial" w:eastAsia="Arial" w:hAnsi="Arial"/>
          <w:sz w:val="20"/>
          <w:szCs w:val="20"/>
          <w:color w:val="00004D"/>
        </w:rPr>
        <w:t>5</w:t>
      </w:r>
    </w:p>
    <w:p>
      <w:pPr>
        <w:sectPr>
          <w:pgSz w:w="24480" w:h="15840" w:orient="landscape"/>
          <w:cols w:equalWidth="0" w:num="1">
            <w:col w:w="23500"/>
          </w:cols>
          <w:pgMar w:left="480" w:top="1440" w:right="50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20" w:right="1480" w:hanging="168"/>
        <w:spacing w:after="0" w:line="416" w:lineRule="auto"/>
        <w:rPr>
          <w:sz w:val="20"/>
          <w:szCs w:val="20"/>
          <w:color w:val="auto"/>
        </w:rPr>
      </w:pPr>
      <w:r>
        <w:rPr>
          <w:rFonts w:ascii="Arial" w:cs="Arial" w:eastAsia="Arial" w:hAnsi="Arial"/>
          <w:sz w:val="73"/>
          <w:szCs w:val="73"/>
          <w:color w:val="B2C910"/>
        </w:rPr>
        <w:t xml:space="preserve">WHEN YOUR FIRST </w:t>
      </w:r>
      <w:r>
        <w:rPr>
          <w:rFonts w:ascii="Arial" w:cs="Arial" w:eastAsia="Arial" w:hAnsi="Arial"/>
          <w:sz w:val="73"/>
          <w:szCs w:val="73"/>
          <w:color w:val="FFFFFF"/>
        </w:rPr>
        <w:t>ANTIBIOTIC FAILS</w:t>
      </w:r>
    </w:p>
    <w:p>
      <w:pPr>
        <w:jc w:val="right"/>
        <w:ind w:right="1480"/>
        <w:spacing w:after="0" w:line="222" w:lineRule="auto"/>
        <w:rPr>
          <w:sz w:val="20"/>
          <w:szCs w:val="20"/>
          <w:color w:val="auto"/>
        </w:rPr>
      </w:pPr>
      <w:r>
        <w:rPr>
          <w:rFonts w:ascii="Arial" w:cs="Arial" w:eastAsia="Arial" w:hAnsi="Arial"/>
          <w:sz w:val="41"/>
          <w:szCs w:val="41"/>
          <w:color w:val="FFFFFF"/>
        </w:rPr>
        <w:t>Serious bacterial infections</w:t>
      </w:r>
    </w:p>
    <w:p>
      <w:pPr>
        <w:spacing w:after="0" w:line="1" w:lineRule="exact"/>
        <w:rPr>
          <w:sz w:val="20"/>
          <w:szCs w:val="20"/>
          <w:color w:val="auto"/>
        </w:rPr>
      </w:pPr>
    </w:p>
    <w:p>
      <w:pPr>
        <w:jc w:val="right"/>
        <w:ind w:right="1480"/>
        <w:spacing w:after="0"/>
        <w:rPr>
          <w:sz w:val="20"/>
          <w:szCs w:val="20"/>
          <w:color w:val="auto"/>
        </w:rPr>
      </w:pPr>
      <w:r>
        <w:rPr>
          <w:rFonts w:ascii="Arial" w:cs="Arial" w:eastAsia="Arial" w:hAnsi="Arial"/>
          <w:sz w:val="41"/>
          <w:szCs w:val="41"/>
          <w:color w:val="FFFFFF"/>
        </w:rPr>
        <w:t>need serious antibiotics.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1480"/>
        <w:spacing w:after="0"/>
        <w:rPr>
          <w:sz w:val="20"/>
          <w:szCs w:val="20"/>
          <w:color w:val="auto"/>
        </w:rPr>
      </w:pPr>
      <w:r>
        <w:rPr>
          <w:rFonts w:ascii="Arial" w:cs="Arial" w:eastAsia="Arial" w:hAnsi="Arial"/>
          <w:sz w:val="27"/>
          <w:szCs w:val="27"/>
          <w:color w:val="FFFFFF"/>
        </w:rPr>
        <w:t>For more information, including full prescribing</w:t>
      </w:r>
    </w:p>
    <w:p>
      <w:pPr>
        <w:spacing w:after="0" w:line="16" w:lineRule="exact"/>
        <w:rPr>
          <w:sz w:val="20"/>
          <w:szCs w:val="20"/>
          <w:color w:val="auto"/>
        </w:rPr>
      </w:pPr>
    </w:p>
    <w:p>
      <w:pPr>
        <w:jc w:val="right"/>
        <w:ind w:right="1480"/>
        <w:spacing w:after="0"/>
        <w:rPr>
          <w:sz w:val="20"/>
          <w:szCs w:val="20"/>
          <w:color w:val="auto"/>
        </w:rPr>
      </w:pPr>
      <w:r>
        <w:rPr>
          <w:rFonts w:ascii="Arial" w:cs="Arial" w:eastAsia="Arial" w:hAnsi="Arial"/>
          <w:sz w:val="27"/>
          <w:szCs w:val="27"/>
          <w:color w:val="FFFFFF"/>
        </w:rPr>
        <w:t xml:space="preserve">and safety information, visit </w:t>
      </w:r>
      <w:r>
        <w:rPr>
          <w:rFonts w:ascii="Arial" w:cs="Arial" w:eastAsia="Arial" w:hAnsi="Arial"/>
          <w:sz w:val="27"/>
          <w:szCs w:val="27"/>
          <w:color w:val="B2C910"/>
        </w:rPr>
        <w:t>www.vibativ.com.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46"/>
          <w:szCs w:val="46"/>
          <w:color w:val="00065C"/>
        </w:rPr>
        <w:t>The Impact of Our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-730885</wp:posOffset>
            </wp:positionV>
            <wp:extent cx="1593850" cy="1938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1593850" cy="193802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6"/>
          <w:szCs w:val="26"/>
          <w:color w:val="377FA7"/>
        </w:rPr>
        <w:t>Patients Who Have Benefited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390525</wp:posOffset>
            </wp:positionV>
            <wp:extent cx="2463165" cy="2713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2463165" cy="271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300" w:right="640" w:hanging="95"/>
        <w:spacing w:after="0" w:line="266" w:lineRule="auto"/>
        <w:rPr>
          <w:sz w:val="20"/>
          <w:szCs w:val="20"/>
          <w:color w:val="auto"/>
        </w:rPr>
      </w:pPr>
      <w:r>
        <w:rPr>
          <w:rFonts w:ascii="Arial" w:cs="Arial" w:eastAsia="Arial" w:hAnsi="Arial"/>
          <w:sz w:val="22"/>
          <w:szCs w:val="22"/>
          <w:color w:val="auto"/>
        </w:rPr>
        <w:t>“A 51-year-old patient with diabetes, heart disease and other underlying health conditions was admitted to the hospital for COVID-19. He developed MSSA hospital-acquired bacterial pneumonia, and initial treatment with vancomycin resulted in no notable improvement in the patient’s condition. His antibiotic was then switched to Vibativ (telavancin), and within 48 hours he experienced clinical improvement with blood cultures clear of bacteria. He was cured of pneumonia, had no reported adverse events to Vibativ and was discharged to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-106680</wp:posOffset>
            </wp:positionV>
            <wp:extent cx="5906770" cy="6041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5906770" cy="6041390"/>
                    </a:xfrm>
                    <a:prstGeom prst="rect">
                      <a:avLst/>
                    </a:prstGeom>
                    <a:noFill/>
                  </pic:spPr>
                </pic:pic>
              </a:graphicData>
            </a:graphic>
          </wp:anchor>
        </w:drawing>
        <w:drawing>
          <wp:anchor simplePos="0" relativeHeight="251657728" behindDoc="1" locked="0" layoutInCell="0" allowOverlap="1">
            <wp:simplePos x="0" y="0"/>
            <wp:positionH relativeFrom="column">
              <wp:posOffset>1408430</wp:posOffset>
            </wp:positionH>
            <wp:positionV relativeFrom="paragraph">
              <wp:posOffset>-106680</wp:posOffset>
            </wp:positionV>
            <wp:extent cx="5906770" cy="6041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5906770" cy="6041390"/>
                    </a:xfrm>
                    <a:prstGeom prst="rect">
                      <a:avLst/>
                    </a:prstGeom>
                    <a:noFill/>
                  </pic:spPr>
                </pic:pic>
              </a:graphicData>
            </a:graphic>
          </wp:anchor>
        </w:drawing>
      </w:r>
    </w:p>
    <w:p>
      <w:pPr>
        <w:spacing w:after="0" w:line="173" w:lineRule="exact"/>
        <w:rPr>
          <w:sz w:val="20"/>
          <w:szCs w:val="20"/>
          <w:color w:val="auto"/>
        </w:rPr>
      </w:pPr>
    </w:p>
    <w:p>
      <w:pPr>
        <w:ind w:left="2220"/>
        <w:spacing w:after="0"/>
        <w:rPr>
          <w:sz w:val="20"/>
          <w:szCs w:val="20"/>
          <w:color w:val="auto"/>
        </w:rPr>
      </w:pPr>
      <w:r>
        <w:rPr>
          <w:rFonts w:ascii="Arial" w:cs="Arial" w:eastAsia="Arial" w:hAnsi="Arial"/>
          <w:sz w:val="28"/>
          <w:szCs w:val="28"/>
          <w:color w:val="00004D"/>
        </w:rPr>
        <w:t>Dr. Joseph Reilly, PharmD</w:t>
      </w:r>
    </w:p>
    <w:p>
      <w:pPr>
        <w:spacing w:after="0" w:line="55" w:lineRule="exact"/>
        <w:rPr>
          <w:sz w:val="20"/>
          <w:szCs w:val="20"/>
          <w:color w:val="auto"/>
        </w:rPr>
      </w:pPr>
    </w:p>
    <w:p>
      <w:pPr>
        <w:ind w:left="2220"/>
        <w:spacing w:after="0"/>
        <w:rPr>
          <w:sz w:val="20"/>
          <w:szCs w:val="20"/>
          <w:color w:val="auto"/>
        </w:rPr>
      </w:pPr>
      <w:r>
        <w:rPr>
          <w:rFonts w:ascii="Arial" w:cs="Arial" w:eastAsia="Arial" w:hAnsi="Arial"/>
          <w:sz w:val="20"/>
          <w:szCs w:val="20"/>
          <w:color w:val="377FA7"/>
        </w:rPr>
        <w:t>Clinical Pharmacist Specialist</w:t>
      </w:r>
    </w:p>
    <w:p>
      <w:pPr>
        <w:spacing w:after="0" w:line="145" w:lineRule="exact"/>
        <w:rPr>
          <w:sz w:val="20"/>
          <w:szCs w:val="20"/>
          <w:color w:val="auto"/>
        </w:rPr>
      </w:pPr>
    </w:p>
    <w:p>
      <w:pPr>
        <w:ind w:left="2220"/>
        <w:spacing w:after="0"/>
        <w:rPr>
          <w:sz w:val="20"/>
          <w:szCs w:val="20"/>
          <w:color w:val="auto"/>
        </w:rPr>
      </w:pPr>
      <w:r>
        <w:rPr>
          <w:rFonts w:ascii="Arial" w:cs="Arial" w:eastAsia="Arial" w:hAnsi="Arial"/>
          <w:sz w:val="16"/>
          <w:szCs w:val="16"/>
          <w:color w:val="00004D"/>
        </w:rPr>
        <w:t>Infectious Disease Residency Program Director</w:t>
      </w:r>
    </w:p>
    <w:p>
      <w:pPr>
        <w:ind w:left="2220"/>
        <w:spacing w:after="0"/>
        <w:rPr>
          <w:sz w:val="20"/>
          <w:szCs w:val="20"/>
          <w:color w:val="auto"/>
        </w:rPr>
      </w:pPr>
      <w:r>
        <w:rPr>
          <w:rFonts w:ascii="Arial" w:cs="Arial" w:eastAsia="Arial" w:hAnsi="Arial"/>
          <w:sz w:val="16"/>
          <w:szCs w:val="16"/>
          <w:color w:val="377FA7"/>
        </w:rPr>
        <w:t xml:space="preserve">Atlanticare Regional Medical Center </w:t>
      </w:r>
      <w:r>
        <w:rPr>
          <w:rFonts w:ascii="Arial" w:cs="Arial" w:eastAsia="Arial" w:hAnsi="Arial"/>
          <w:sz w:val="16"/>
          <w:szCs w:val="16"/>
          <w:color w:val="00004D"/>
        </w:rPr>
        <w:t>|</w:t>
      </w:r>
      <w:r>
        <w:rPr>
          <w:rFonts w:ascii="Arial" w:cs="Arial" w:eastAsia="Arial" w:hAnsi="Arial"/>
          <w:sz w:val="16"/>
          <w:szCs w:val="16"/>
          <w:color w:val="377FA7"/>
        </w:rPr>
        <w:t xml:space="preserve"> Pomona, NJ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0" w:right="540"/>
        <w:spacing w:after="0" w:line="255" w:lineRule="auto"/>
        <w:rPr>
          <w:sz w:val="20"/>
          <w:szCs w:val="20"/>
          <w:color w:val="auto"/>
        </w:rPr>
      </w:pPr>
      <w:r>
        <w:rPr>
          <w:rFonts w:ascii="Arial" w:cs="Arial" w:eastAsia="Arial" w:hAnsi="Arial"/>
          <w:sz w:val="23"/>
          <w:szCs w:val="23"/>
          <w:color w:val="377FA7"/>
        </w:rPr>
        <w:t>Cumberland’s Vibativ has been used across the country to help patients who develop secondary bacterial infections in their lungs. This case study illustrates that once-daily dosing of telavancin can effectively and safely treat pneumonia due to Gram-positive infection among COVID-19 and other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0" w:right="1000" w:hanging="153"/>
        <w:spacing w:after="0" w:line="280" w:lineRule="auto"/>
        <w:rPr>
          <w:sz w:val="20"/>
          <w:szCs w:val="20"/>
          <w:color w:val="auto"/>
        </w:rPr>
      </w:pPr>
      <w:r>
        <w:rPr>
          <w:rFonts w:ascii="Arial" w:cs="Arial" w:eastAsia="Arial" w:hAnsi="Arial"/>
          <w:sz w:val="32"/>
          <w:szCs w:val="32"/>
          <w:color w:val="00004D"/>
        </w:rPr>
        <w:t>“He was cured of pneumonia, had no reported adverse events to Vibativ and was discharged to home.”</w:t>
      </w:r>
    </w:p>
    <w:p>
      <w:pPr>
        <w:spacing w:after="0" w:line="1111" w:lineRule="exact"/>
        <w:rPr>
          <w:sz w:val="20"/>
          <w:szCs w:val="20"/>
          <w:color w:val="auto"/>
        </w:rPr>
      </w:pPr>
    </w:p>
    <w:p>
      <w:pPr>
        <w:sectPr>
          <w:pgSz w:w="24480" w:h="15840" w:orient="landscape"/>
          <w:cols w:equalWidth="0" w:num="2">
            <w:col w:w="10800" w:space="720"/>
            <w:col w:w="11000"/>
          </w:cols>
          <w:pgMar w:left="1440" w:top="1440"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380"/>
        <w:spacing w:after="0"/>
        <w:tabs>
          <w:tab w:leader="none" w:pos="22400" w:val="left"/>
        </w:tabs>
        <w:rPr>
          <w:sz w:val="20"/>
          <w:szCs w:val="20"/>
          <w:color w:val="auto"/>
        </w:rPr>
      </w:pPr>
      <w:r>
        <w:rPr>
          <w:rFonts w:ascii="Arial" w:cs="Arial" w:eastAsia="Arial" w:hAnsi="Arial"/>
          <w:sz w:val="16"/>
          <w:szCs w:val="16"/>
          <w:color w:val="00004D"/>
        </w:rPr>
        <w:t>2022 Annual Report</w:t>
      </w:r>
      <w:r>
        <w:rPr>
          <w:sz w:val="20"/>
          <w:szCs w:val="20"/>
          <w:color w:val="auto"/>
        </w:rPr>
        <w:tab/>
      </w:r>
      <w:r>
        <w:rPr>
          <w:rFonts w:ascii="Arial" w:cs="Arial" w:eastAsia="Arial" w:hAnsi="Arial"/>
          <w:sz w:val="17"/>
          <w:szCs w:val="17"/>
          <w:color w:val="00004D"/>
        </w:rPr>
        <w:t>7</w:t>
      </w:r>
    </w:p>
    <w:p>
      <w:pPr>
        <w:sectPr>
          <w:pgSz w:w="24480" w:h="15840" w:orient="landscape"/>
          <w:cols w:equalWidth="0" w:num="1">
            <w:col w:w="22520"/>
          </w:cols>
          <w:pgMar w:left="1440" w:top="1440" w:right="52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12490450</wp:posOffset>
            </wp:positionH>
            <wp:positionV relativeFrom="page">
              <wp:posOffset>712470</wp:posOffset>
            </wp:positionV>
            <wp:extent cx="1597025" cy="1962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97025" cy="196278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772400" cy="267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7772400" cy="2679065"/>
                    </a:xfrm>
                    <a:prstGeom prst="rect">
                      <a:avLst/>
                    </a:prstGeom>
                    <a:noFill/>
                  </pic:spPr>
                </pic:pic>
              </a:graphicData>
            </a:graphic>
          </wp:anchor>
        </w:drawing>
      </w:r>
    </w:p>
    <w:p>
      <w:pPr>
        <w:spacing w:after="0" w:line="334" w:lineRule="exact"/>
        <w:rPr>
          <w:sz w:val="20"/>
          <w:szCs w:val="20"/>
          <w:color w:val="auto"/>
        </w:rPr>
      </w:pPr>
    </w:p>
    <w:p>
      <w:pPr>
        <w:ind w:left="11520"/>
        <w:spacing w:after="0"/>
        <w:rPr>
          <w:sz w:val="20"/>
          <w:szCs w:val="20"/>
          <w:color w:val="auto"/>
        </w:rPr>
      </w:pPr>
      <w:r>
        <w:rPr>
          <w:rFonts w:ascii="Arial" w:cs="Arial" w:eastAsia="Arial" w:hAnsi="Arial"/>
          <w:sz w:val="46"/>
          <w:szCs w:val="46"/>
          <w:color w:val="00065C"/>
        </w:rPr>
        <w:t>The Impact of Our Science</w:t>
      </w:r>
    </w:p>
    <w:p>
      <w:pPr>
        <w:spacing w:after="0" w:line="44" w:lineRule="exact"/>
        <w:rPr>
          <w:sz w:val="20"/>
          <w:szCs w:val="20"/>
          <w:color w:val="auto"/>
        </w:rPr>
      </w:pPr>
    </w:p>
    <w:p>
      <w:pPr>
        <w:ind w:left="11520"/>
        <w:spacing w:after="0"/>
        <w:rPr>
          <w:sz w:val="20"/>
          <w:szCs w:val="20"/>
          <w:color w:val="auto"/>
        </w:rPr>
      </w:pPr>
      <w:r>
        <w:rPr>
          <w:rFonts w:ascii="Arial" w:cs="Arial" w:eastAsia="Arial" w:hAnsi="Arial"/>
          <w:sz w:val="26"/>
          <w:szCs w:val="26"/>
          <w:color w:val="377FA7"/>
        </w:rPr>
        <w:t>Patients Who Have Benefited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441960</wp:posOffset>
            </wp:positionV>
            <wp:extent cx="10698480" cy="7809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10698480" cy="780923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441960</wp:posOffset>
            </wp:positionV>
            <wp:extent cx="10698480" cy="7809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10698480" cy="780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820" w:right="800" w:hanging="95"/>
        <w:spacing w:after="0" w:line="266" w:lineRule="auto"/>
        <w:rPr>
          <w:sz w:val="20"/>
          <w:szCs w:val="20"/>
          <w:color w:val="auto"/>
        </w:rPr>
      </w:pPr>
      <w:r>
        <w:rPr>
          <w:rFonts w:ascii="Arial" w:cs="Arial" w:eastAsia="Arial" w:hAnsi="Arial"/>
          <w:sz w:val="22"/>
          <w:szCs w:val="22"/>
          <w:color w:val="auto"/>
        </w:rPr>
        <w:t>“I was admitted to the emergency room after a biking accident that caused a tibial plateau fracture on my left leg and a split laceration down to the muscle on my forearm. Rather than getting generic ketorolac or any opioids to manage the pain as my lacerations were sewn up, I received 800 milligrams of Caldolor (intravenous ibuprofen) through a rapid infusion. Caldolor has a 10-milligram morphine equivalency with none of the opioid side effects, so Caldolor is all I needed for pain control for those few hours I was at the hospital.”</w:t>
      </w:r>
    </w:p>
    <w:p>
      <w:pPr>
        <w:spacing w:after="0" w:line="176" w:lineRule="exact"/>
        <w:rPr>
          <w:sz w:val="20"/>
          <w:szCs w:val="20"/>
          <w:color w:val="auto"/>
        </w:rPr>
      </w:pPr>
    </w:p>
    <w:p>
      <w:pPr>
        <w:ind w:left="13740"/>
        <w:spacing w:after="0"/>
        <w:rPr>
          <w:sz w:val="20"/>
          <w:szCs w:val="20"/>
          <w:color w:val="auto"/>
        </w:rPr>
      </w:pPr>
      <w:r>
        <w:rPr>
          <w:rFonts w:ascii="Arial" w:cs="Arial" w:eastAsia="Arial" w:hAnsi="Arial"/>
          <w:sz w:val="28"/>
          <w:szCs w:val="28"/>
          <w:color w:val="00004D"/>
        </w:rPr>
        <w:t>Dr. Stephen Southworth, M.D.</w:t>
      </w:r>
    </w:p>
    <w:p>
      <w:pPr>
        <w:spacing w:after="0" w:line="55" w:lineRule="exact"/>
        <w:rPr>
          <w:sz w:val="20"/>
          <w:szCs w:val="20"/>
          <w:color w:val="auto"/>
        </w:rPr>
      </w:pPr>
    </w:p>
    <w:p>
      <w:pPr>
        <w:ind w:left="13740"/>
        <w:spacing w:after="0"/>
        <w:rPr>
          <w:sz w:val="20"/>
          <w:szCs w:val="20"/>
          <w:color w:val="auto"/>
        </w:rPr>
      </w:pPr>
      <w:r>
        <w:rPr>
          <w:rFonts w:ascii="Arial" w:cs="Arial" w:eastAsia="Arial" w:hAnsi="Arial"/>
          <w:sz w:val="20"/>
          <w:szCs w:val="20"/>
          <w:color w:val="377FA7"/>
        </w:rPr>
        <w:t>Orthopaedic Surgeon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8722995</wp:posOffset>
                </wp:positionH>
                <wp:positionV relativeFrom="paragraph">
                  <wp:posOffset>45720</wp:posOffset>
                </wp:positionV>
                <wp:extent cx="317944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9445" cy="4763"/>
                        </a:xfrm>
                        <a:prstGeom prst="line">
                          <a:avLst/>
                        </a:prstGeom>
                        <a:solidFill>
                          <a:srgbClr val="FFFFFF"/>
                        </a:solidFill>
                        <a:ln w="12700">
                          <a:solidFill>
                            <a:srgbClr val="00004D"/>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6.85pt,3.6pt" to="937.2pt,3.6pt" o:allowincell="f" strokecolor="#00004D" strokeweight="1pt"/>
            </w:pict>
          </mc:Fallback>
        </mc:AlternateContent>
      </w:r>
    </w:p>
    <w:p>
      <w:pPr>
        <w:spacing w:after="0" w:line="109" w:lineRule="exact"/>
        <w:rPr>
          <w:sz w:val="20"/>
          <w:szCs w:val="20"/>
          <w:color w:val="auto"/>
        </w:rPr>
      </w:pPr>
    </w:p>
    <w:p>
      <w:pPr>
        <w:ind w:left="13740"/>
        <w:spacing w:after="0"/>
        <w:rPr>
          <w:sz w:val="20"/>
          <w:szCs w:val="20"/>
          <w:color w:val="auto"/>
        </w:rPr>
      </w:pPr>
      <w:r>
        <w:rPr>
          <w:rFonts w:ascii="Arial" w:cs="Arial" w:eastAsia="Arial" w:hAnsi="Arial"/>
          <w:sz w:val="16"/>
          <w:szCs w:val="16"/>
          <w:color w:val="377FA7"/>
        </w:rPr>
        <w:t xml:space="preserve">Orthopaedic Institute of North Mississippi </w:t>
      </w:r>
      <w:r>
        <w:rPr>
          <w:rFonts w:ascii="Arial" w:cs="Arial" w:eastAsia="Arial" w:hAnsi="Arial"/>
          <w:sz w:val="16"/>
          <w:szCs w:val="16"/>
          <w:color w:val="00004D"/>
        </w:rPr>
        <w:t>|</w:t>
      </w:r>
      <w:r>
        <w:rPr>
          <w:rFonts w:ascii="Arial" w:cs="Arial" w:eastAsia="Arial" w:hAnsi="Arial"/>
          <w:sz w:val="16"/>
          <w:szCs w:val="16"/>
          <w:color w:val="377FA7"/>
        </w:rPr>
        <w:t xml:space="preserve"> </w:t>
      </w:r>
      <w:r>
        <w:rPr>
          <w:rFonts w:ascii="Arial" w:cs="Arial" w:eastAsia="Arial" w:hAnsi="Arial"/>
          <w:sz w:val="18"/>
          <w:szCs w:val="18"/>
          <w:color w:val="377FA7"/>
        </w:rPr>
        <w:t>Tupelo, MS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740" w:right="1000"/>
        <w:spacing w:after="0" w:line="254" w:lineRule="auto"/>
        <w:rPr>
          <w:sz w:val="20"/>
          <w:szCs w:val="20"/>
          <w:color w:val="auto"/>
        </w:rPr>
      </w:pPr>
      <w:r>
        <w:rPr>
          <w:rFonts w:ascii="Arial" w:cs="Arial" w:eastAsia="Arial" w:hAnsi="Arial"/>
          <w:sz w:val="23"/>
          <w:szCs w:val="23"/>
          <w:color w:val="377FA7"/>
        </w:rPr>
        <w:t>In addition to receiving Cumberland’s Caldolor as a patient himself, Dr. Southworth has conducted his own research on the drug and has used it in over 2,000 surgical procedures at one of the largest regional medical centers in the country. Patients who receive Caldolor have been shown to wake up from their procedure in significantly less pain, then remain in significantly less pain, while also needing significantly fewer opioids.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6858000</wp:posOffset>
            </wp:positionH>
            <wp:positionV relativeFrom="paragraph">
              <wp:posOffset>-865505</wp:posOffset>
            </wp:positionV>
            <wp:extent cx="7772400" cy="4525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7772400" cy="4525010"/>
                    </a:xfrm>
                    <a:prstGeom prst="rect">
                      <a:avLst/>
                    </a:prstGeom>
                    <a:noFill/>
                  </pic:spPr>
                </pic:pic>
              </a:graphicData>
            </a:graphic>
          </wp:anchor>
        </w:drawing>
        <w:drawing>
          <wp:anchor simplePos="0" relativeHeight="251657728" behindDoc="1" locked="0" layoutInCell="0" allowOverlap="1">
            <wp:simplePos x="0" y="0"/>
            <wp:positionH relativeFrom="column">
              <wp:posOffset>6858000</wp:posOffset>
            </wp:positionH>
            <wp:positionV relativeFrom="paragraph">
              <wp:posOffset>-865505</wp:posOffset>
            </wp:positionV>
            <wp:extent cx="7772400" cy="4525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7772400" cy="452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360" w:right="2220" w:hanging="153"/>
        <w:spacing w:after="0" w:line="280" w:lineRule="auto"/>
        <w:rPr>
          <w:sz w:val="20"/>
          <w:szCs w:val="20"/>
          <w:color w:val="auto"/>
        </w:rPr>
      </w:pPr>
      <w:r>
        <w:rPr>
          <w:rFonts w:ascii="Arial" w:cs="Arial" w:eastAsia="Arial" w:hAnsi="Arial"/>
          <w:sz w:val="32"/>
          <w:szCs w:val="32"/>
          <w:color w:val="00004D"/>
        </w:rPr>
        <w:t>“so Caldolor is all I needed for pain control those few hours I was at the hospital”</w:t>
      </w:r>
    </w:p>
    <w:p>
      <w:pPr>
        <w:sectPr>
          <w:pgSz w:w="24480" w:h="15840" w:orient="landscape"/>
          <w:cols w:equalWidth="0" w:num="1">
            <w:col w:w="22540"/>
          </w:cols>
          <w:pgMar w:left="1440" w:top="144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380"/>
        <w:spacing w:after="0"/>
        <w:tabs>
          <w:tab w:leader="none" w:pos="22400" w:val="left"/>
        </w:tabs>
        <w:rPr>
          <w:sz w:val="20"/>
          <w:szCs w:val="20"/>
          <w:color w:val="auto"/>
        </w:rPr>
      </w:pPr>
      <w:r>
        <w:rPr>
          <w:rFonts w:ascii="Arial" w:cs="Arial" w:eastAsia="Arial" w:hAnsi="Arial"/>
          <w:sz w:val="16"/>
          <w:szCs w:val="16"/>
          <w:color w:val="00004D"/>
        </w:rPr>
        <w:t>2022 Annual Report</w:t>
      </w:r>
      <w:r>
        <w:rPr>
          <w:sz w:val="20"/>
          <w:szCs w:val="20"/>
          <w:color w:val="auto"/>
        </w:rPr>
        <w:tab/>
      </w:r>
      <w:r>
        <w:rPr>
          <w:rFonts w:ascii="Arial" w:cs="Arial" w:eastAsia="Arial" w:hAnsi="Arial"/>
          <w:sz w:val="20"/>
          <w:szCs w:val="20"/>
          <w:color w:val="00004D"/>
        </w:rPr>
        <w:t>9</w:t>
      </w:r>
    </w:p>
    <w:p>
      <w:pPr>
        <w:sectPr>
          <w:pgSz w:w="24480" w:h="15840" w:orient="landscape"/>
          <w:cols w:equalWidth="0" w:num="1">
            <w:col w:w="22540"/>
          </w:cols>
          <w:pgMar w:left="1440" w:top="1440" w:right="500" w:bottom="0" w:gutter="0" w:footer="0" w:header="0"/>
          <w:type w:val="continuous"/>
        </w:sectPr>
      </w:pPr>
    </w:p>
    <w:bookmarkStart w:id="6" w:name="page7"/>
    <w:bookmarkEnd w:id="6"/>
    <w:p>
      <w:pPr>
        <w:ind w:left="340" w:right="4940"/>
        <w:spacing w:after="0" w:line="236" w:lineRule="auto"/>
        <w:rPr>
          <w:sz w:val="20"/>
          <w:szCs w:val="20"/>
          <w:color w:val="auto"/>
        </w:rPr>
      </w:pPr>
      <w:r>
        <w:rPr>
          <w:rFonts w:ascii="Arial" w:cs="Arial" w:eastAsia="Arial" w:hAnsi="Arial"/>
          <w:sz w:val="46"/>
          <w:szCs w:val="46"/>
          <w:color w:val="00065C"/>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Developing New Medicines for Better Quality of Life</w:t>
      </w:r>
    </w:p>
    <w:p>
      <w:pPr>
        <w:spacing w:after="0" w:line="386" w:lineRule="exact"/>
        <w:rPr>
          <w:sz w:val="20"/>
          <w:szCs w:val="20"/>
          <w:color w:val="auto"/>
        </w:rPr>
      </w:pPr>
    </w:p>
    <w:p>
      <w:pPr>
        <w:jc w:val="both"/>
        <w:ind w:left="340" w:right="3960"/>
        <w:spacing w:after="0" w:line="245" w:lineRule="auto"/>
        <w:rPr>
          <w:sz w:val="20"/>
          <w:szCs w:val="20"/>
          <w:color w:val="auto"/>
        </w:rPr>
      </w:pPr>
      <w:r>
        <w:rPr>
          <w:rFonts w:ascii="Arial" w:cs="Arial" w:eastAsia="Arial" w:hAnsi="Arial"/>
          <w:sz w:val="24"/>
          <w:szCs w:val="24"/>
          <w:color w:val="auto"/>
        </w:rPr>
        <w:t>We enjoy a robust pipeline of new medicines designed to address a variety of unmet medical needs and improve patients’ quality of life.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60"/>
        <w:spacing w:after="0"/>
        <w:rPr>
          <w:sz w:val="20"/>
          <w:szCs w:val="20"/>
          <w:color w:val="auto"/>
        </w:rPr>
      </w:pPr>
      <w:r>
        <w:rPr>
          <w:rFonts w:ascii="Arial" w:cs="Arial" w:eastAsia="Arial" w:hAnsi="Arial"/>
          <w:sz w:val="30"/>
          <w:szCs w:val="30"/>
          <w:color w:val="00004D"/>
        </w:rPr>
        <w:t>Our Pipeline of Product Candidates Includes:</w:t>
      </w:r>
    </w:p>
    <w:p>
      <w:pPr>
        <w:spacing w:after="0" w:line="200" w:lineRule="exact"/>
        <w:rPr>
          <w:sz w:val="20"/>
          <w:szCs w:val="20"/>
          <w:color w:val="auto"/>
        </w:rPr>
      </w:pPr>
    </w:p>
    <w:p>
      <w:pPr>
        <w:spacing w:after="0" w:line="287" w:lineRule="exact"/>
        <w:rPr>
          <w:sz w:val="20"/>
          <w:szCs w:val="20"/>
          <w:color w:val="auto"/>
        </w:rPr>
      </w:pPr>
    </w:p>
    <w:p>
      <w:pPr>
        <w:ind w:left="760"/>
        <w:spacing w:after="0"/>
        <w:tabs>
          <w:tab w:leader="none" w:pos="2640" w:val="left"/>
          <w:tab w:leader="none" w:pos="3860" w:val="left"/>
          <w:tab w:leader="none" w:pos="5480" w:val="left"/>
          <w:tab w:leader="none" w:pos="7160" w:val="left"/>
          <w:tab w:leader="none" w:pos="8760" w:val="left"/>
        </w:tabs>
        <w:rPr>
          <w:sz w:val="20"/>
          <w:szCs w:val="20"/>
          <w:color w:val="auto"/>
        </w:rPr>
      </w:pPr>
      <w:r>
        <w:rPr>
          <w:rFonts w:ascii="Arial" w:cs="Arial" w:eastAsia="Arial" w:hAnsi="Arial"/>
          <w:sz w:val="19"/>
          <w:szCs w:val="19"/>
          <w:color w:val="FFFFFF"/>
        </w:rPr>
        <w:t>Preclinical</w:t>
      </w:r>
      <w:r>
        <w:rPr>
          <w:sz w:val="20"/>
          <w:szCs w:val="20"/>
          <w:color w:val="auto"/>
        </w:rPr>
        <w:tab/>
      </w:r>
      <w:r>
        <w:rPr>
          <w:rFonts w:ascii="Arial" w:cs="Arial" w:eastAsia="Arial" w:hAnsi="Arial"/>
          <w:sz w:val="19"/>
          <w:szCs w:val="19"/>
          <w:color w:val="FFFFFF"/>
        </w:rPr>
        <w:t>IND</w:t>
      </w:r>
      <w:r>
        <w:rPr>
          <w:sz w:val="20"/>
          <w:szCs w:val="20"/>
          <w:color w:val="auto"/>
        </w:rPr>
        <w:tab/>
      </w:r>
      <w:r>
        <w:rPr>
          <w:rFonts w:ascii="Arial" w:cs="Arial" w:eastAsia="Arial" w:hAnsi="Arial"/>
          <w:sz w:val="19"/>
          <w:szCs w:val="19"/>
          <w:color w:val="FFFFFF"/>
        </w:rPr>
        <w:t>Phase I</w:t>
      </w:r>
      <w:r>
        <w:rPr>
          <w:sz w:val="20"/>
          <w:szCs w:val="20"/>
          <w:color w:val="auto"/>
        </w:rPr>
        <w:tab/>
      </w:r>
      <w:r>
        <w:rPr>
          <w:rFonts w:ascii="Arial" w:cs="Arial" w:eastAsia="Arial" w:hAnsi="Arial"/>
          <w:sz w:val="19"/>
          <w:szCs w:val="19"/>
          <w:color w:val="FFFFFF"/>
        </w:rPr>
        <w:t>Phase II</w:t>
      </w:r>
      <w:r>
        <w:rPr>
          <w:sz w:val="20"/>
          <w:szCs w:val="20"/>
          <w:color w:val="auto"/>
        </w:rPr>
        <w:tab/>
      </w:r>
      <w:r>
        <w:rPr>
          <w:rFonts w:ascii="Arial" w:cs="Arial" w:eastAsia="Arial" w:hAnsi="Arial"/>
          <w:sz w:val="19"/>
          <w:szCs w:val="19"/>
          <w:color w:val="FFFFFF"/>
        </w:rPr>
        <w:t>Phase III</w:t>
      </w:r>
      <w:r>
        <w:rPr>
          <w:sz w:val="20"/>
          <w:szCs w:val="20"/>
          <w:color w:val="auto"/>
        </w:rPr>
        <w:tab/>
      </w:r>
      <w:r>
        <w:rPr>
          <w:rFonts w:ascii="Arial" w:cs="Arial" w:eastAsia="Arial" w:hAnsi="Arial"/>
          <w:sz w:val="19"/>
          <w:szCs w:val="19"/>
          <w:color w:val="FFFFFF"/>
        </w:rPr>
        <w:t>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Arial" w:cs="Arial" w:eastAsia="Arial" w:hAnsi="Arial"/>
          <w:sz w:val="42"/>
          <w:szCs w:val="42"/>
          <w:color w:val="00004D"/>
        </w:rPr>
        <w:t>Boxaban</w:t>
      </w:r>
      <w:r>
        <w:rPr>
          <w:rFonts w:ascii="Arial" w:cs="Arial" w:eastAsia="Arial" w:hAnsi="Arial"/>
          <w:sz w:val="32"/>
          <w:szCs w:val="32"/>
          <w:color w:val="00004D"/>
          <w:vertAlign w:val="superscript"/>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6"/>
          <w:szCs w:val="46"/>
          <w:color w:val="00065C"/>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-28575</wp:posOffset>
            </wp:positionV>
            <wp:extent cx="1047750" cy="1046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extLst>
                    </a:blip>
                    <a:srcRect/>
                    <a:stretch>
                      <a:fillRect/>
                    </a:stretch>
                  </pic:blipFill>
                  <pic:spPr bwMode="auto">
                    <a:xfrm>
                      <a:off x="0" y="0"/>
                      <a:ext cx="1047750" cy="104648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26"/>
          <w:szCs w:val="26"/>
          <w:color w:val="377FA7"/>
        </w:rPr>
        <w:t>2022 at a Glance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1"/>
          <w:szCs w:val="31"/>
          <w:color w:val="377FA7"/>
        </w:rPr>
        <w:t>Environment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60325</wp:posOffset>
                </wp:positionV>
                <wp:extent cx="13690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9060"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4.75pt" to="108.05pt,4.75pt" o:allowincell="f" strokecolor="#377FA7" strokeweight="0.5pt"/>
            </w:pict>
          </mc:Fallback>
        </mc:AlternateConten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43"/>
        </w:trPr>
        <w:tc>
          <w:tcPr>
            <w:tcW w:w="1160" w:type="dxa"/>
            <w:vAlign w:val="bottom"/>
            <w:vMerge w:val="restart"/>
          </w:tcPr>
          <w:p>
            <w:pPr>
              <w:spacing w:after="0"/>
              <w:rPr>
                <w:sz w:val="20"/>
                <w:szCs w:val="20"/>
                <w:color w:val="auto"/>
              </w:rPr>
            </w:pPr>
            <w:r>
              <w:rPr>
                <w:rFonts w:ascii="Arial" w:cs="Arial" w:eastAsia="Arial" w:hAnsi="Arial"/>
                <w:sz w:val="21"/>
                <w:szCs w:val="21"/>
                <w:color w:val="00004D"/>
              </w:rPr>
              <w:t>Supplies</w:t>
            </w:r>
          </w:p>
        </w:tc>
        <w:tc>
          <w:tcPr>
            <w:tcW w:w="1160" w:type="dxa"/>
            <w:vAlign w:val="bottom"/>
          </w:tcPr>
          <w:p>
            <w:pPr>
              <w:spacing w:after="0"/>
              <w:rPr>
                <w:sz w:val="3"/>
                <w:szCs w:val="3"/>
                <w:color w:val="auto"/>
              </w:rPr>
            </w:pPr>
          </w:p>
        </w:tc>
        <w:tc>
          <w:tcPr>
            <w:tcW w:w="2060" w:type="dxa"/>
            <w:vAlign w:val="bottom"/>
            <w:gridSpan w:val="2"/>
            <w:vMerge w:val="restart"/>
          </w:tcPr>
          <w:p>
            <w:pPr>
              <w:ind w:left="120"/>
              <w:spacing w:after="0"/>
              <w:rPr>
                <w:sz w:val="20"/>
                <w:szCs w:val="20"/>
                <w:color w:val="auto"/>
              </w:rPr>
            </w:pPr>
            <w:r>
              <w:rPr>
                <w:rFonts w:ascii="Arial" w:cs="Arial" w:eastAsia="Arial" w:hAnsi="Arial"/>
                <w:sz w:val="21"/>
                <w:szCs w:val="21"/>
                <w:color w:val="00004D"/>
              </w:rPr>
              <w:t>Waste</w:t>
            </w:r>
          </w:p>
        </w:tc>
        <w:tc>
          <w:tcPr>
            <w:tcW w:w="0" w:type="dxa"/>
            <w:vAlign w:val="bottom"/>
          </w:tcPr>
          <w:p>
            <w:pPr>
              <w:spacing w:after="0"/>
              <w:rPr>
                <w:sz w:val="1"/>
                <w:szCs w:val="1"/>
                <w:color w:val="auto"/>
              </w:rPr>
            </w:pPr>
          </w:p>
        </w:tc>
      </w:tr>
      <w:tr>
        <w:trPr>
          <w:trHeight w:val="199"/>
        </w:trPr>
        <w:tc>
          <w:tcPr>
            <w:tcW w:w="1160" w:type="dxa"/>
            <w:vAlign w:val="bottom"/>
            <w:vMerge w:val="continue"/>
          </w:tcPr>
          <w:p>
            <w:pPr>
              <w:spacing w:after="0"/>
              <w:rPr>
                <w:sz w:val="17"/>
                <w:szCs w:val="17"/>
                <w:color w:val="auto"/>
              </w:rPr>
            </w:pPr>
          </w:p>
        </w:tc>
        <w:tc>
          <w:tcPr>
            <w:tcW w:w="1160" w:type="dxa"/>
            <w:vAlign w:val="bottom"/>
            <w:tcBorders>
              <w:right w:val="single" w:sz="8" w:color="377FA7"/>
            </w:tcBorders>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Contract with third party</w:t>
            </w:r>
          </w:p>
        </w:tc>
        <w:tc>
          <w:tcPr>
            <w:tcW w:w="2060" w:type="dxa"/>
            <w:vAlign w:val="bottom"/>
            <w:gridSpan w:val="2"/>
          </w:tcPr>
          <w:p>
            <w:pPr>
              <w:ind w:left="120"/>
              <w:spacing w:after="0"/>
              <w:rPr>
                <w:sz w:val="20"/>
                <w:szCs w:val="20"/>
                <w:color w:val="auto"/>
              </w:rPr>
            </w:pPr>
            <w:r>
              <w:rPr>
                <w:rFonts w:ascii="Arial" w:cs="Arial" w:eastAsia="Arial" w:hAnsi="Arial"/>
                <w:sz w:val="18"/>
                <w:szCs w:val="18"/>
                <w:color w:val="00004D"/>
              </w:rPr>
              <w:t>Ensure strict</w:t>
            </w:r>
          </w:p>
        </w:tc>
        <w:tc>
          <w:tcPr>
            <w:tcW w:w="0" w:type="dxa"/>
            <w:vAlign w:val="bottom"/>
          </w:tcPr>
          <w:p>
            <w:pPr>
              <w:spacing w:after="0"/>
              <w:rPr>
                <w:sz w:val="1"/>
                <w:szCs w:val="1"/>
                <w:color w:val="auto"/>
              </w:rPr>
            </w:pPr>
          </w:p>
        </w:tc>
      </w:tr>
      <w:tr>
        <w:trPr>
          <w:trHeight w:val="209"/>
        </w:trPr>
        <w:tc>
          <w:tcPr>
            <w:tcW w:w="232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companies for the</w:t>
            </w:r>
          </w:p>
        </w:tc>
        <w:tc>
          <w:tcPr>
            <w:tcW w:w="2060" w:type="dxa"/>
            <w:vAlign w:val="bottom"/>
            <w:gridSpan w:val="2"/>
          </w:tcPr>
          <w:p>
            <w:pPr>
              <w:ind w:left="120"/>
              <w:spacing w:after="0"/>
              <w:rPr>
                <w:sz w:val="20"/>
                <w:szCs w:val="20"/>
                <w:color w:val="auto"/>
              </w:rPr>
            </w:pPr>
            <w:r>
              <w:rPr>
                <w:rFonts w:ascii="Arial" w:cs="Arial" w:eastAsia="Arial" w:hAnsi="Arial"/>
                <w:sz w:val="18"/>
                <w:szCs w:val="18"/>
                <w:color w:val="00004D"/>
              </w:rPr>
              <w:t xml:space="preserve">guidelines </w:t>
            </w:r>
            <w:r>
              <w:rPr>
                <w:rFonts w:ascii="Arial" w:cs="Arial" w:eastAsia="Arial" w:hAnsi="Arial"/>
                <w:sz w:val="18"/>
                <w:szCs w:val="18"/>
                <w:color w:val="000000"/>
              </w:rPr>
              <w:t>and</w:t>
            </w:r>
          </w:p>
        </w:tc>
        <w:tc>
          <w:tcPr>
            <w:tcW w:w="0" w:type="dxa"/>
            <w:vAlign w:val="bottom"/>
          </w:tcPr>
          <w:p>
            <w:pPr>
              <w:spacing w:after="0"/>
              <w:rPr>
                <w:sz w:val="1"/>
                <w:szCs w:val="1"/>
                <w:color w:val="auto"/>
              </w:rPr>
            </w:pPr>
          </w:p>
        </w:tc>
      </w:tr>
      <w:tr>
        <w:trPr>
          <w:trHeight w:val="209"/>
        </w:trPr>
        <w:tc>
          <w:tcPr>
            <w:tcW w:w="232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manufacturing, packaging</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processes for the safe,</w:t>
            </w:r>
          </w:p>
        </w:tc>
        <w:tc>
          <w:tcPr>
            <w:tcW w:w="0" w:type="dxa"/>
            <w:vAlign w:val="bottom"/>
          </w:tcPr>
          <w:p>
            <w:pPr>
              <w:spacing w:after="0"/>
              <w:rPr>
                <w:sz w:val="1"/>
                <w:szCs w:val="1"/>
                <w:color w:val="auto"/>
              </w:rPr>
            </w:pPr>
          </w:p>
        </w:tc>
      </w:tr>
      <w:tr>
        <w:trPr>
          <w:trHeight w:val="209"/>
        </w:trPr>
        <w:tc>
          <w:tcPr>
            <w:tcW w:w="232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and warehousing of our</w:t>
            </w: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permanent disposal of</w:t>
            </w:r>
          </w:p>
        </w:tc>
        <w:tc>
          <w:tcPr>
            <w:tcW w:w="0" w:type="dxa"/>
            <w:vAlign w:val="bottom"/>
          </w:tcPr>
          <w:p>
            <w:pPr>
              <w:spacing w:after="0"/>
              <w:rPr>
                <w:sz w:val="1"/>
                <w:szCs w:val="1"/>
                <w:color w:val="auto"/>
              </w:rPr>
            </w:pPr>
          </w:p>
        </w:tc>
      </w:tr>
      <w:tr>
        <w:trPr>
          <w:trHeight w:val="221"/>
        </w:trPr>
        <w:tc>
          <w:tcPr>
            <w:tcW w:w="1160" w:type="dxa"/>
            <w:vAlign w:val="bottom"/>
          </w:tcPr>
          <w:p>
            <w:pPr>
              <w:spacing w:after="0"/>
              <w:rPr>
                <w:sz w:val="20"/>
                <w:szCs w:val="20"/>
                <w:color w:val="auto"/>
              </w:rPr>
            </w:pPr>
            <w:r>
              <w:rPr>
                <w:rFonts w:ascii="Arial" w:cs="Arial" w:eastAsia="Arial" w:hAnsi="Arial"/>
                <w:sz w:val="18"/>
                <w:szCs w:val="18"/>
                <w:color w:val="auto"/>
              </w:rPr>
              <w:t>products</w:t>
            </w:r>
          </w:p>
        </w:tc>
        <w:tc>
          <w:tcPr>
            <w:tcW w:w="1160" w:type="dxa"/>
            <w:vAlign w:val="bottom"/>
            <w:tcBorders>
              <w:right w:val="single" w:sz="8" w:color="377FA7"/>
            </w:tcBorders>
          </w:tcPr>
          <w:p>
            <w:pPr>
              <w:spacing w:after="0"/>
              <w:rPr>
                <w:sz w:val="19"/>
                <w:szCs w:val="19"/>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color w:val="auto"/>
              </w:rPr>
              <w:t>all unused product</w:t>
            </w:r>
          </w:p>
        </w:tc>
        <w:tc>
          <w:tcPr>
            <w:tcW w:w="0" w:type="dxa"/>
            <w:vAlign w:val="bottom"/>
          </w:tcPr>
          <w:p>
            <w:pPr>
              <w:spacing w:after="0"/>
              <w:rPr>
                <w:sz w:val="1"/>
                <w:szCs w:val="1"/>
                <w:color w:val="auto"/>
              </w:rPr>
            </w:pPr>
          </w:p>
        </w:tc>
      </w:tr>
      <w:tr>
        <w:trPr>
          <w:trHeight w:val="123"/>
        </w:trPr>
        <w:tc>
          <w:tcPr>
            <w:tcW w:w="1160" w:type="dxa"/>
            <w:vAlign w:val="bottom"/>
            <w:tcBorders>
              <w:bottom w:val="single" w:sz="8" w:color="377FA7"/>
            </w:tcBorders>
          </w:tcPr>
          <w:p>
            <w:pPr>
              <w:spacing w:after="0"/>
              <w:rPr>
                <w:sz w:val="10"/>
                <w:szCs w:val="10"/>
                <w:color w:val="auto"/>
              </w:rPr>
            </w:pPr>
          </w:p>
        </w:tc>
        <w:tc>
          <w:tcPr>
            <w:tcW w:w="1160" w:type="dxa"/>
            <w:vAlign w:val="bottom"/>
            <w:tcBorders>
              <w:bottom w:val="single" w:sz="8" w:color="377FA7"/>
            </w:tcBorders>
          </w:tcPr>
          <w:p>
            <w:pPr>
              <w:spacing w:after="0"/>
              <w:rPr>
                <w:sz w:val="10"/>
                <w:szCs w:val="10"/>
                <w:color w:val="auto"/>
              </w:rPr>
            </w:pPr>
          </w:p>
        </w:tc>
        <w:tc>
          <w:tcPr>
            <w:tcW w:w="1660" w:type="dxa"/>
            <w:vAlign w:val="bottom"/>
            <w:tcBorders>
              <w:bottom w:val="single" w:sz="8" w:color="377FA7"/>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160" w:type="dxa"/>
            <w:vAlign w:val="bottom"/>
          </w:tcPr>
          <w:p>
            <w:pPr>
              <w:spacing w:after="0"/>
              <w:rPr>
                <w:sz w:val="20"/>
                <w:szCs w:val="20"/>
                <w:color w:val="auto"/>
              </w:rPr>
            </w:pPr>
            <w:r>
              <w:rPr>
                <w:rFonts w:ascii="Arial" w:cs="Arial" w:eastAsia="Arial" w:hAnsi="Arial"/>
                <w:sz w:val="21"/>
                <w:szCs w:val="21"/>
                <w:color w:val="00004D"/>
              </w:rPr>
              <w:t>Returns</w:t>
            </w:r>
          </w:p>
        </w:tc>
        <w:tc>
          <w:tcPr>
            <w:tcW w:w="1160" w:type="dxa"/>
            <w:vAlign w:val="bottom"/>
          </w:tcPr>
          <w:p>
            <w:pPr>
              <w:spacing w:after="0"/>
              <w:rPr>
                <w:sz w:val="24"/>
                <w:szCs w:val="24"/>
                <w:color w:val="auto"/>
              </w:rPr>
            </w:pPr>
          </w:p>
        </w:tc>
        <w:tc>
          <w:tcPr>
            <w:tcW w:w="2060" w:type="dxa"/>
            <w:vAlign w:val="bottom"/>
            <w:gridSpan w:val="2"/>
          </w:tcPr>
          <w:p>
            <w:pPr>
              <w:ind w:left="600"/>
              <w:spacing w:after="0"/>
              <w:rPr>
                <w:sz w:val="20"/>
                <w:szCs w:val="20"/>
                <w:color w:val="auto"/>
              </w:rPr>
            </w:pPr>
            <w:r>
              <w:rPr>
                <w:rFonts w:ascii="Arial" w:cs="Arial" w:eastAsia="Arial" w:hAnsi="Arial"/>
                <w:sz w:val="18"/>
                <w:szCs w:val="18"/>
                <w:color w:val="auto"/>
              </w:rPr>
              <w:t>pounds of</w:t>
            </w:r>
          </w:p>
        </w:tc>
        <w:tc>
          <w:tcPr>
            <w:tcW w:w="0" w:type="dxa"/>
            <w:vAlign w:val="bottom"/>
          </w:tcPr>
          <w:p>
            <w:pPr>
              <w:spacing w:after="0"/>
              <w:rPr>
                <w:sz w:val="1"/>
                <w:szCs w:val="1"/>
                <w:color w:val="auto"/>
              </w:rPr>
            </w:pPr>
          </w:p>
        </w:tc>
      </w:tr>
      <w:tr>
        <w:trPr>
          <w:trHeight w:val="197"/>
        </w:trPr>
        <w:tc>
          <w:tcPr>
            <w:tcW w:w="1160" w:type="dxa"/>
            <w:vAlign w:val="bottom"/>
          </w:tcPr>
          <w:p>
            <w:pPr>
              <w:spacing w:after="0" w:line="197" w:lineRule="exact"/>
              <w:rPr>
                <w:sz w:val="20"/>
                <w:szCs w:val="20"/>
                <w:color w:val="auto"/>
              </w:rPr>
            </w:pPr>
            <w:r>
              <w:rPr>
                <w:rFonts w:ascii="Arial" w:cs="Arial" w:eastAsia="Arial" w:hAnsi="Arial"/>
                <w:sz w:val="18"/>
                <w:szCs w:val="18"/>
                <w:color w:val="auto"/>
              </w:rPr>
              <w:t>Received and</w:t>
            </w:r>
          </w:p>
        </w:tc>
        <w:tc>
          <w:tcPr>
            <w:tcW w:w="1160" w:type="dxa"/>
            <w:vAlign w:val="bottom"/>
          </w:tcPr>
          <w:p>
            <w:pPr>
              <w:spacing w:after="0"/>
              <w:rPr>
                <w:sz w:val="17"/>
                <w:szCs w:val="17"/>
                <w:color w:val="auto"/>
              </w:rPr>
            </w:pPr>
          </w:p>
        </w:tc>
        <w:tc>
          <w:tcPr>
            <w:tcW w:w="2060" w:type="dxa"/>
            <w:vAlign w:val="bottom"/>
            <w:gridSpan w:val="2"/>
          </w:tcPr>
          <w:p>
            <w:pPr>
              <w:ind w:left="600"/>
              <w:spacing w:after="0" w:line="197" w:lineRule="exact"/>
              <w:rPr>
                <w:sz w:val="20"/>
                <w:szCs w:val="20"/>
                <w:color w:val="auto"/>
              </w:rPr>
            </w:pPr>
            <w:r>
              <w:rPr>
                <w:rFonts w:ascii="Arial" w:cs="Arial" w:eastAsia="Arial" w:hAnsi="Arial"/>
                <w:sz w:val="18"/>
                <w:szCs w:val="18"/>
                <w:color w:val="auto"/>
              </w:rPr>
              <w:t>damaged and</w:t>
            </w:r>
          </w:p>
        </w:tc>
        <w:tc>
          <w:tcPr>
            <w:tcW w:w="0" w:type="dxa"/>
            <w:vAlign w:val="bottom"/>
          </w:tcPr>
          <w:p>
            <w:pPr>
              <w:spacing w:after="0"/>
              <w:rPr>
                <w:sz w:val="1"/>
                <w:szCs w:val="1"/>
                <w:color w:val="auto"/>
              </w:rPr>
            </w:pPr>
          </w:p>
        </w:tc>
      </w:tr>
      <w:tr>
        <w:trPr>
          <w:trHeight w:val="762"/>
        </w:trPr>
        <w:tc>
          <w:tcPr>
            <w:tcW w:w="1160" w:type="dxa"/>
            <w:vAlign w:val="bottom"/>
          </w:tcPr>
          <w:p>
            <w:pPr>
              <w:spacing w:after="0"/>
              <w:rPr>
                <w:sz w:val="20"/>
                <w:szCs w:val="20"/>
                <w:color w:val="auto"/>
              </w:rPr>
            </w:pPr>
            <w:r>
              <w:rPr>
                <w:rFonts w:ascii="Arial" w:cs="Arial" w:eastAsia="Arial" w:hAnsi="Arial"/>
                <w:sz w:val="18"/>
                <w:szCs w:val="18"/>
                <w:color w:val="auto"/>
              </w:rPr>
              <w:t>disposed of</w:t>
            </w:r>
          </w:p>
        </w:tc>
        <w:tc>
          <w:tcPr>
            <w:tcW w:w="3220" w:type="dxa"/>
            <w:vAlign w:val="bottom"/>
            <w:gridSpan w:val="3"/>
          </w:tcPr>
          <w:p>
            <w:pPr>
              <w:ind w:left="20"/>
              <w:spacing w:after="0" w:line="759" w:lineRule="exact"/>
              <w:rPr>
                <w:sz w:val="20"/>
                <w:szCs w:val="20"/>
                <w:color w:val="auto"/>
              </w:rPr>
            </w:pPr>
            <w:r>
              <w:rPr>
                <w:rFonts w:ascii="Arial" w:cs="Arial" w:eastAsia="Arial" w:hAnsi="Arial"/>
                <w:sz w:val="73"/>
                <w:szCs w:val="73"/>
                <w:color w:val="377FA7"/>
                <w:w w:val="99"/>
              </w:rPr>
              <w:t>2,756</w:t>
            </w:r>
            <w:r>
              <w:rPr>
                <w:rFonts w:ascii="Arial" w:cs="Arial" w:eastAsia="Arial" w:hAnsi="Arial"/>
                <w:sz w:val="18"/>
                <w:szCs w:val="18"/>
                <w:color w:val="000000"/>
                <w:w w:val="99"/>
              </w:rPr>
              <w:t>expired 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-144780</wp:posOffset>
            </wp:positionV>
            <wp:extent cx="2665730" cy="4077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2665730" cy="4077970"/>
                    </a:xfrm>
                    <a:prstGeom prst="rect">
                      <a:avLst/>
                    </a:prstGeom>
                    <a:noFill/>
                  </pic:spPr>
                </pic:pic>
              </a:graphicData>
            </a:graphic>
          </wp:anchor>
        </w:drawing>
      </w:r>
    </w:p>
    <w:p>
      <w:pPr>
        <w:ind w:left="300"/>
        <w:spacing w:after="0" w:line="216" w:lineRule="auto"/>
        <w:rPr>
          <w:sz w:val="20"/>
          <w:szCs w:val="20"/>
          <w:color w:val="auto"/>
        </w:rPr>
      </w:pPr>
      <w:r>
        <w:rPr>
          <w:rFonts w:ascii="Arial" w:cs="Arial" w:eastAsia="Arial" w:hAnsi="Arial"/>
          <w:sz w:val="31"/>
          <w:szCs w:val="31"/>
          <w:color w:val="377FA7"/>
        </w:rPr>
        <w:t>Social</w:t>
      </w:r>
    </w:p>
    <w:p>
      <w:pPr>
        <w:ind w:left="300"/>
        <w:spacing w:after="0" w:line="221" w:lineRule="auto"/>
        <w:rPr>
          <w:sz w:val="20"/>
          <w:szCs w:val="20"/>
          <w:color w:val="auto"/>
        </w:rPr>
      </w:pPr>
      <w:r>
        <w:rPr>
          <w:rFonts w:ascii="Arial" w:cs="Arial" w:eastAsia="Arial" w:hAnsi="Arial"/>
          <w:sz w:val="21"/>
          <w:szCs w:val="21"/>
          <w:color w:val="00004D"/>
        </w:rPr>
        <w:t>Community</w:t>
      </w:r>
    </w:p>
    <w:p>
      <w:pPr>
        <w:ind w:left="300"/>
        <w:spacing w:after="0"/>
        <w:rPr>
          <w:sz w:val="20"/>
          <w:szCs w:val="20"/>
          <w:color w:val="auto"/>
        </w:rPr>
      </w:pPr>
      <w:r>
        <w:rPr>
          <w:rFonts w:ascii="Arial" w:cs="Arial" w:eastAsia="Arial" w:hAnsi="Arial"/>
          <w:sz w:val="21"/>
          <w:szCs w:val="21"/>
          <w:color w:val="00004D"/>
        </w:rPr>
        <w:t>Involvement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31"/>
          <w:szCs w:val="31"/>
          <w:color w:val="377FA7"/>
        </w:rPr>
        <w:t>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-335280</wp:posOffset>
            </wp:positionV>
            <wp:extent cx="3695065" cy="2817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3695065" cy="281749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00004D"/>
        </w:rPr>
        <w:t>Employees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0"/>
        </w:trPr>
        <w:tc>
          <w:tcPr>
            <w:tcW w:w="2000" w:type="dxa"/>
            <w:vAlign w:val="bottom"/>
            <w:gridSpan w:val="2"/>
            <w:vMerge w:val="restart"/>
          </w:tcPr>
          <w:p>
            <w:pPr>
              <w:spacing w:after="0"/>
              <w:rPr>
                <w:sz w:val="20"/>
                <w:szCs w:val="20"/>
                <w:color w:val="auto"/>
              </w:rPr>
            </w:pPr>
            <w:r>
              <w:rPr>
                <w:rFonts w:ascii="Arial" w:cs="Arial" w:eastAsia="Arial" w:hAnsi="Arial"/>
                <w:sz w:val="18"/>
                <w:szCs w:val="18"/>
                <w:color w:val="00004D"/>
              </w:rPr>
              <w:t>Male – 55.3%</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4D"/>
              </w:rPr>
              <w:t>Turnover – 17%</w:t>
            </w: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gridSpan w:val="2"/>
            <w:vMerge w:val="continue"/>
          </w:tcPr>
          <w:p>
            <w:pPr>
              <w:spacing w:after="0"/>
              <w:rPr>
                <w:sz w:val="17"/>
                <w:szCs w:val="17"/>
                <w:color w:val="auto"/>
              </w:rPr>
            </w:pPr>
          </w:p>
        </w:tc>
        <w:tc>
          <w:tcPr>
            <w:tcW w:w="80" w:type="dxa"/>
            <w:vAlign w:val="bottom"/>
            <w:tcBorders>
              <w:left w:val="single" w:sz="8" w:color="377FA7"/>
            </w:tcBorders>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00" w:type="dxa"/>
            <w:vAlign w:val="bottom"/>
            <w:gridSpan w:val="2"/>
            <w:vMerge w:val="restart"/>
          </w:tcPr>
          <w:p>
            <w:pPr>
              <w:spacing w:after="0"/>
              <w:rPr>
                <w:sz w:val="20"/>
                <w:szCs w:val="20"/>
                <w:color w:val="auto"/>
              </w:rPr>
            </w:pPr>
            <w:r>
              <w:rPr>
                <w:rFonts w:ascii="Arial" w:cs="Arial" w:eastAsia="Arial" w:hAnsi="Arial"/>
                <w:sz w:val="18"/>
                <w:szCs w:val="18"/>
                <w:color w:val="00004D"/>
              </w:rPr>
              <w:t>Female – 44.7%</w:t>
            </w:r>
          </w:p>
        </w:tc>
        <w:tc>
          <w:tcPr>
            <w:tcW w:w="80" w:type="dxa"/>
            <w:vAlign w:val="bottom"/>
            <w:tcBorders>
              <w:left w:val="single" w:sz="8" w:color="377FA7"/>
            </w:tcBorders>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0" w:type="dxa"/>
            <w:vAlign w:val="bottom"/>
            <w:gridSpan w:val="2"/>
            <w:vMerge w:val="continue"/>
          </w:tcPr>
          <w:p>
            <w:pPr>
              <w:spacing w:after="0"/>
              <w:rPr>
                <w:sz w:val="8"/>
                <w:szCs w:val="8"/>
                <w:color w:val="auto"/>
              </w:rPr>
            </w:pPr>
          </w:p>
        </w:tc>
        <w:tc>
          <w:tcPr>
            <w:tcW w:w="80" w:type="dxa"/>
            <w:vAlign w:val="bottom"/>
            <w:tcBorders>
              <w:left w:val="single" w:sz="8" w:color="377FA7"/>
            </w:tcBorders>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gridSpan w:val="3"/>
            <w:vMerge w:val="restart"/>
          </w:tcPr>
          <w:p>
            <w:pPr>
              <w:spacing w:after="0" w:line="195" w:lineRule="exact"/>
              <w:rPr>
                <w:sz w:val="20"/>
                <w:szCs w:val="20"/>
                <w:color w:val="auto"/>
              </w:rPr>
            </w:pPr>
            <w:r>
              <w:rPr>
                <w:rFonts w:ascii="Arial" w:cs="Arial" w:eastAsia="Arial" w:hAnsi="Arial"/>
                <w:sz w:val="18"/>
                <w:szCs w:val="18"/>
                <w:color w:val="00004D"/>
              </w:rPr>
              <w:t>Additions – 11%</w:t>
            </w: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40" w:type="dxa"/>
            <w:vAlign w:val="bottom"/>
            <w:tcBorders>
              <w:bottom w:val="single" w:sz="8" w:color="377FA7"/>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left w:val="single" w:sz="8" w:color="377FA7"/>
            </w:tcBorders>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00" w:type="dxa"/>
            <w:vAlign w:val="bottom"/>
            <w:gridSpan w:val="2"/>
            <w:vMerge w:val="restart"/>
          </w:tcPr>
          <w:p>
            <w:pPr>
              <w:spacing w:after="0"/>
              <w:rPr>
                <w:sz w:val="20"/>
                <w:szCs w:val="20"/>
                <w:color w:val="auto"/>
              </w:rPr>
            </w:pPr>
            <w:r>
              <w:rPr>
                <w:rFonts w:ascii="Arial" w:cs="Arial" w:eastAsia="Arial" w:hAnsi="Arial"/>
                <w:sz w:val="18"/>
                <w:szCs w:val="18"/>
                <w:color w:val="00004D"/>
              </w:rPr>
              <w:t>Minorities – 15.3%</w:t>
            </w:r>
          </w:p>
        </w:tc>
        <w:tc>
          <w:tcPr>
            <w:tcW w:w="80" w:type="dxa"/>
            <w:vAlign w:val="bottom"/>
            <w:tcBorders>
              <w:left w:val="single" w:sz="8" w:color="377FA7"/>
            </w:tcBorders>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bottom w:val="single" w:sz="8" w:color="377FA7"/>
            </w:tcBorders>
          </w:tcPr>
          <w:p>
            <w:pPr>
              <w:spacing w:after="0"/>
              <w:rPr>
                <w:sz w:val="8"/>
                <w:szCs w:val="8"/>
                <w:color w:val="auto"/>
              </w:rPr>
            </w:pPr>
          </w:p>
        </w:tc>
        <w:tc>
          <w:tcPr>
            <w:tcW w:w="20" w:type="dxa"/>
            <w:vAlign w:val="bottom"/>
            <w:tcBorders>
              <w:bottom w:val="single" w:sz="8" w:color="377FA7"/>
            </w:tcBorders>
          </w:tcPr>
          <w:p>
            <w:pPr>
              <w:spacing w:after="0"/>
              <w:rPr>
                <w:sz w:val="8"/>
                <w:szCs w:val="8"/>
                <w:color w:val="auto"/>
              </w:rPr>
            </w:pPr>
          </w:p>
        </w:tc>
        <w:tc>
          <w:tcPr>
            <w:tcW w:w="20" w:type="dxa"/>
            <w:vAlign w:val="bottom"/>
            <w:tcBorders>
              <w:bottom w:val="single" w:sz="8" w:color="377FA7"/>
            </w:tcBorders>
          </w:tcPr>
          <w:p>
            <w:pPr>
              <w:spacing w:after="0"/>
              <w:rPr>
                <w:sz w:val="8"/>
                <w:szCs w:val="8"/>
                <w:color w:val="auto"/>
              </w:rPr>
            </w:pPr>
          </w:p>
        </w:tc>
        <w:tc>
          <w:tcPr>
            <w:tcW w:w="1040" w:type="dxa"/>
            <w:vAlign w:val="bottom"/>
            <w:tcBorders>
              <w:bottom w:val="single" w:sz="8" w:color="377FA7"/>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0" w:type="dxa"/>
            <w:vAlign w:val="bottom"/>
            <w:gridSpan w:val="2"/>
            <w:vMerge w:val="continue"/>
          </w:tcPr>
          <w:p>
            <w:pPr>
              <w:spacing w:after="0"/>
              <w:rPr>
                <w:sz w:val="16"/>
                <w:szCs w:val="16"/>
                <w:color w:val="auto"/>
              </w:rPr>
            </w:pPr>
          </w:p>
        </w:tc>
        <w:tc>
          <w:tcPr>
            <w:tcW w:w="80" w:type="dxa"/>
            <w:vAlign w:val="bottom"/>
            <w:tcBorders>
              <w:left w:val="single" w:sz="8" w:color="377FA7"/>
            </w:tcBorders>
          </w:tcPr>
          <w:p>
            <w:pPr>
              <w:spacing w:after="0"/>
              <w:rPr>
                <w:sz w:val="16"/>
                <w:szCs w:val="16"/>
                <w:color w:val="auto"/>
              </w:rPr>
            </w:pPr>
          </w:p>
        </w:tc>
        <w:tc>
          <w:tcPr>
            <w:tcW w:w="60" w:type="dxa"/>
            <w:vAlign w:val="bottom"/>
          </w:tcPr>
          <w:p>
            <w:pPr>
              <w:spacing w:after="0"/>
              <w:rPr>
                <w:sz w:val="16"/>
                <w:szCs w:val="16"/>
                <w:color w:val="auto"/>
              </w:rPr>
            </w:pPr>
          </w:p>
        </w:tc>
        <w:tc>
          <w:tcPr>
            <w:tcW w:w="3100" w:type="dxa"/>
            <w:vAlign w:val="bottom"/>
            <w:gridSpan w:val="5"/>
            <w:vMerge w:val="restart"/>
          </w:tcPr>
          <w:p>
            <w:pPr>
              <w:spacing w:after="0"/>
              <w:rPr>
                <w:sz w:val="20"/>
                <w:szCs w:val="20"/>
                <w:color w:val="auto"/>
              </w:rPr>
            </w:pPr>
            <w:r>
              <w:rPr>
                <w:rFonts w:ascii="Arial" w:cs="Arial" w:eastAsia="Arial" w:hAnsi="Arial"/>
                <w:sz w:val="18"/>
                <w:szCs w:val="18"/>
                <w:color w:val="00004D"/>
              </w:rPr>
              <w:t>Career Development Program</w:t>
            </w:r>
          </w:p>
        </w:tc>
        <w:tc>
          <w:tcPr>
            <w:tcW w:w="0" w:type="dxa"/>
            <w:vAlign w:val="bottom"/>
          </w:tcPr>
          <w:p>
            <w:pPr>
              <w:spacing w:after="0"/>
              <w:rPr>
                <w:sz w:val="1"/>
                <w:szCs w:val="1"/>
                <w:color w:val="auto"/>
              </w:rPr>
            </w:pPr>
          </w:p>
        </w:tc>
      </w:tr>
      <w:tr>
        <w:trPr>
          <w:trHeight w:val="58"/>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left w:val="single" w:sz="8" w:color="377FA7"/>
            </w:tcBorders>
          </w:tcPr>
          <w:p>
            <w:pPr>
              <w:spacing w:after="0"/>
              <w:rPr>
                <w:sz w:val="5"/>
                <w:szCs w:val="5"/>
                <w:color w:val="auto"/>
              </w:rPr>
            </w:pPr>
          </w:p>
        </w:tc>
        <w:tc>
          <w:tcPr>
            <w:tcW w:w="60" w:type="dxa"/>
            <w:vAlign w:val="bottom"/>
          </w:tcPr>
          <w:p>
            <w:pPr>
              <w:spacing w:after="0"/>
              <w:rPr>
                <w:sz w:val="5"/>
                <w:szCs w:val="5"/>
                <w:color w:val="auto"/>
              </w:rPr>
            </w:pPr>
          </w:p>
        </w:tc>
        <w:tc>
          <w:tcPr>
            <w:tcW w:w="3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377FA7"/>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left w:val="single" w:sz="8" w:color="377FA7"/>
            </w:tcBorders>
            <w:vMerge w:val="restart"/>
          </w:tcPr>
          <w:p>
            <w:pPr>
              <w:spacing w:after="0" w:line="20" w:lineRule="exact"/>
              <w:rPr>
                <w:sz w:val="1"/>
                <w:szCs w:val="1"/>
                <w:color w:val="auto"/>
              </w:rPr>
            </w:pPr>
          </w:p>
        </w:tc>
        <w:tc>
          <w:tcPr>
            <w:tcW w:w="3160" w:type="dxa"/>
            <w:vAlign w:val="bottom"/>
            <w:gridSpan w:val="6"/>
            <w:vMerge w:val="restart"/>
          </w:tcPr>
          <w:p>
            <w:pPr>
              <w:ind w:left="60"/>
              <w:spacing w:after="0"/>
              <w:rPr>
                <w:sz w:val="20"/>
                <w:szCs w:val="20"/>
                <w:color w:val="auto"/>
              </w:rPr>
            </w:pPr>
            <w:r>
              <w:rPr>
                <w:rFonts w:ascii="Arial" w:cs="Arial" w:eastAsia="Arial" w:hAnsi="Arial"/>
                <w:sz w:val="18"/>
                <w:szCs w:val="18"/>
                <w:color w:val="auto"/>
              </w:rPr>
              <w:t>Available to all corporate employees</w:t>
            </w:r>
          </w:p>
        </w:tc>
        <w:tc>
          <w:tcPr>
            <w:tcW w:w="0" w:type="dxa"/>
            <w:vAlign w:val="bottom"/>
          </w:tcPr>
          <w:p>
            <w:pPr>
              <w:spacing w:after="0"/>
              <w:rPr>
                <w:sz w:val="1"/>
                <w:szCs w:val="1"/>
                <w:color w:val="auto"/>
              </w:rPr>
            </w:pPr>
          </w:p>
        </w:tc>
      </w:tr>
      <w:tr>
        <w:trPr>
          <w:trHeight w:val="170"/>
        </w:trPr>
        <w:tc>
          <w:tcPr>
            <w:tcW w:w="2000" w:type="dxa"/>
            <w:vAlign w:val="bottom"/>
            <w:gridSpan w:val="2"/>
            <w:vMerge w:val="restart"/>
          </w:tcPr>
          <w:p>
            <w:pPr>
              <w:spacing w:after="0"/>
              <w:rPr>
                <w:sz w:val="20"/>
                <w:szCs w:val="20"/>
                <w:color w:val="auto"/>
              </w:rPr>
            </w:pPr>
            <w:r>
              <w:rPr>
                <w:rFonts w:ascii="Arial" w:cs="Arial" w:eastAsia="Arial" w:hAnsi="Arial"/>
                <w:sz w:val="18"/>
                <w:szCs w:val="18"/>
                <w:color w:val="00004D"/>
              </w:rPr>
              <w:t>Ages</w:t>
            </w:r>
          </w:p>
        </w:tc>
        <w:tc>
          <w:tcPr>
            <w:tcW w:w="80" w:type="dxa"/>
            <w:vAlign w:val="bottom"/>
            <w:tcBorders>
              <w:left w:val="single" w:sz="8" w:color="377FA7"/>
            </w:tcBorders>
            <w:vMerge w:val="continue"/>
          </w:tcPr>
          <w:p>
            <w:pPr>
              <w:spacing w:after="0"/>
              <w:rPr>
                <w:sz w:val="14"/>
                <w:szCs w:val="14"/>
                <w:color w:val="auto"/>
              </w:rPr>
            </w:pPr>
          </w:p>
        </w:tc>
        <w:tc>
          <w:tcPr>
            <w:tcW w:w="3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00" w:type="dxa"/>
            <w:vAlign w:val="bottom"/>
            <w:gridSpan w:val="2"/>
            <w:vMerge w:val="continue"/>
          </w:tcPr>
          <w:p>
            <w:pPr>
              <w:spacing w:after="0"/>
              <w:rPr>
                <w:sz w:val="7"/>
                <w:szCs w:val="7"/>
                <w:color w:val="auto"/>
              </w:rPr>
            </w:pPr>
          </w:p>
        </w:tc>
        <w:tc>
          <w:tcPr>
            <w:tcW w:w="80" w:type="dxa"/>
            <w:vAlign w:val="bottom"/>
            <w:tcBorders>
              <w:left w:val="single" w:sz="8" w:color="377FA7"/>
            </w:tcBorders>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040" w:type="dxa"/>
            <w:vAlign w:val="bottom"/>
            <w:tcBorders>
              <w:bottom w:val="single" w:sz="8" w:color="377FA7"/>
            </w:tcBorders>
          </w:tcPr>
          <w:p>
            <w:pPr>
              <w:spacing w:after="0"/>
              <w:rPr>
                <w:sz w:val="7"/>
                <w:szCs w:val="7"/>
                <w:color w:val="auto"/>
              </w:rPr>
            </w:pPr>
          </w:p>
        </w:tc>
        <w:tc>
          <w:tcPr>
            <w:tcW w:w="560" w:type="dxa"/>
            <w:vAlign w:val="bottom"/>
            <w:tcBorders>
              <w:bottom w:val="single" w:sz="8" w:color="377FA7"/>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00" w:type="dxa"/>
            <w:vAlign w:val="bottom"/>
            <w:gridSpan w:val="2"/>
          </w:tcPr>
          <w:p>
            <w:pPr>
              <w:spacing w:after="0"/>
              <w:rPr>
                <w:sz w:val="20"/>
                <w:szCs w:val="20"/>
                <w:color w:val="auto"/>
              </w:rPr>
            </w:pPr>
            <w:r>
              <w:rPr>
                <w:rFonts w:ascii="Arial" w:cs="Arial" w:eastAsia="Arial" w:hAnsi="Arial"/>
                <w:sz w:val="18"/>
                <w:szCs w:val="18"/>
                <w:color w:val="00004D"/>
              </w:rPr>
              <w:t xml:space="preserve">7% </w:t>
            </w:r>
            <w:r>
              <w:rPr>
                <w:rFonts w:ascii="Arial" w:cs="Arial" w:eastAsia="Arial" w:hAnsi="Arial"/>
                <w:sz w:val="18"/>
                <w:szCs w:val="18"/>
                <w:color w:val="000000"/>
              </w:rPr>
              <w:t>below 30</w:t>
            </w:r>
          </w:p>
        </w:tc>
        <w:tc>
          <w:tcPr>
            <w:tcW w:w="80" w:type="dxa"/>
            <w:vAlign w:val="bottom"/>
            <w:tcBorders>
              <w:left w:val="single" w:sz="8" w:color="377FA7"/>
            </w:tcBorders>
          </w:tcPr>
          <w:p>
            <w:pPr>
              <w:spacing w:after="0"/>
              <w:rPr>
                <w:sz w:val="22"/>
                <w:szCs w:val="22"/>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color w:val="00004D"/>
              </w:rPr>
              <w:t>Cumberland Academy</w:t>
            </w: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00004D"/>
              </w:rPr>
              <w:t xml:space="preserve">26% </w:t>
            </w:r>
            <w:r>
              <w:rPr>
                <w:rFonts w:ascii="Arial" w:cs="Arial" w:eastAsia="Arial" w:hAnsi="Arial"/>
                <w:sz w:val="18"/>
                <w:szCs w:val="18"/>
                <w:color w:val="000000"/>
              </w:rPr>
              <w:t>between 30 &amp; 50,</w:t>
            </w:r>
          </w:p>
        </w:tc>
        <w:tc>
          <w:tcPr>
            <w:tcW w:w="80" w:type="dxa"/>
            <w:vAlign w:val="bottom"/>
            <w:tcBorders>
              <w:left w:val="single" w:sz="8" w:color="377FA7"/>
            </w:tcBorders>
          </w:tcPr>
          <w:p>
            <w:pPr>
              <w:spacing w:after="0"/>
              <w:rPr>
                <w:sz w:val="19"/>
                <w:szCs w:val="19"/>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color w:val="auto"/>
              </w:rPr>
              <w:t>Provides industry training for</w:t>
            </w:r>
          </w:p>
        </w:tc>
        <w:tc>
          <w:tcPr>
            <w:tcW w:w="0" w:type="dxa"/>
            <w:vAlign w:val="bottom"/>
          </w:tcPr>
          <w:p>
            <w:pPr>
              <w:spacing w:after="0"/>
              <w:rPr>
                <w:sz w:val="1"/>
                <w:szCs w:val="1"/>
                <w:color w:val="auto"/>
              </w:rPr>
            </w:pPr>
          </w:p>
        </w:tc>
      </w:tr>
      <w:tr>
        <w:trPr>
          <w:trHeight w:val="265"/>
        </w:trPr>
        <w:tc>
          <w:tcPr>
            <w:tcW w:w="2000" w:type="dxa"/>
            <w:vAlign w:val="bottom"/>
            <w:gridSpan w:val="2"/>
          </w:tcPr>
          <w:p>
            <w:pPr>
              <w:spacing w:after="0"/>
              <w:rPr>
                <w:sz w:val="20"/>
                <w:szCs w:val="20"/>
                <w:color w:val="auto"/>
              </w:rPr>
            </w:pPr>
            <w:r>
              <w:rPr>
                <w:rFonts w:ascii="Arial" w:cs="Arial" w:eastAsia="Arial" w:hAnsi="Arial"/>
                <w:sz w:val="18"/>
                <w:szCs w:val="18"/>
                <w:color w:val="00004D"/>
              </w:rPr>
              <w:t xml:space="preserve">67% </w:t>
            </w:r>
            <w:r>
              <w:rPr>
                <w:rFonts w:ascii="Arial" w:cs="Arial" w:eastAsia="Arial" w:hAnsi="Arial"/>
                <w:sz w:val="18"/>
                <w:szCs w:val="18"/>
                <w:color w:val="000000"/>
              </w:rPr>
              <w:t>over 50</w:t>
            </w:r>
          </w:p>
        </w:tc>
        <w:tc>
          <w:tcPr>
            <w:tcW w:w="80" w:type="dxa"/>
            <w:vAlign w:val="bottom"/>
            <w:tcBorders>
              <w:left w:val="single" w:sz="8" w:color="377FA7"/>
            </w:tcBorders>
          </w:tcPr>
          <w:p>
            <w:pPr>
              <w:spacing w:after="0"/>
              <w:rPr>
                <w:sz w:val="23"/>
                <w:szCs w:val="23"/>
                <w:color w:val="auto"/>
              </w:rPr>
            </w:pPr>
          </w:p>
        </w:tc>
        <w:tc>
          <w:tcPr>
            <w:tcW w:w="3160" w:type="dxa"/>
            <w:vAlign w:val="bottom"/>
            <w:gridSpan w:val="6"/>
          </w:tcPr>
          <w:p>
            <w:pPr>
              <w:ind w:left="60"/>
              <w:spacing w:after="0"/>
              <w:rPr>
                <w:sz w:val="20"/>
                <w:szCs w:val="20"/>
                <w:color w:val="auto"/>
              </w:rPr>
            </w:pPr>
            <w:r>
              <w:rPr>
                <w:rFonts w:ascii="Arial" w:cs="Arial" w:eastAsia="Arial" w:hAnsi="Arial"/>
                <w:sz w:val="18"/>
                <w:szCs w:val="18"/>
                <w:color w:val="auto"/>
              </w:rPr>
              <w:t>corporate employees</w:t>
            </w:r>
          </w:p>
        </w:tc>
        <w:tc>
          <w:tcPr>
            <w:tcW w:w="0" w:type="dxa"/>
            <w:vAlign w:val="bottom"/>
          </w:tcPr>
          <w:p>
            <w:pPr>
              <w:spacing w:after="0"/>
              <w:rPr>
                <w:sz w:val="1"/>
                <w:szCs w:val="1"/>
                <w:color w:val="auto"/>
              </w:rPr>
            </w:pPr>
          </w:p>
        </w:tc>
      </w:tr>
      <w:tr>
        <w:trPr>
          <w:trHeight w:val="87"/>
        </w:trPr>
        <w:tc>
          <w:tcPr>
            <w:tcW w:w="1840" w:type="dxa"/>
            <w:vAlign w:val="bottom"/>
            <w:tcBorders>
              <w:bottom w:val="single" w:sz="8" w:color="377FA7"/>
            </w:tcBorders>
          </w:tcPr>
          <w:p>
            <w:pPr>
              <w:spacing w:after="0"/>
              <w:rPr>
                <w:sz w:val="7"/>
                <w:szCs w:val="7"/>
                <w:color w:val="auto"/>
              </w:rPr>
            </w:pPr>
          </w:p>
        </w:tc>
        <w:tc>
          <w:tcPr>
            <w:tcW w:w="160" w:type="dxa"/>
            <w:vAlign w:val="bottom"/>
            <w:tcBorders>
              <w:bottom w:val="single" w:sz="8" w:color="377FA7"/>
            </w:tcBorders>
          </w:tcPr>
          <w:p>
            <w:pPr>
              <w:spacing w:after="0"/>
              <w:rPr>
                <w:sz w:val="7"/>
                <w:szCs w:val="7"/>
                <w:color w:val="auto"/>
              </w:rPr>
            </w:pPr>
          </w:p>
        </w:tc>
        <w:tc>
          <w:tcPr>
            <w:tcW w:w="80" w:type="dxa"/>
            <w:vAlign w:val="bottom"/>
            <w:tcBorders>
              <w:bottom w:val="single" w:sz="8" w:color="377FA7"/>
            </w:tcBorders>
          </w:tcPr>
          <w:p>
            <w:pPr>
              <w:spacing w:after="0"/>
              <w:rPr>
                <w:sz w:val="7"/>
                <w:szCs w:val="7"/>
                <w:color w:val="auto"/>
              </w:rPr>
            </w:pPr>
          </w:p>
        </w:tc>
        <w:tc>
          <w:tcPr>
            <w:tcW w:w="60" w:type="dxa"/>
            <w:vAlign w:val="bottom"/>
            <w:tcBorders>
              <w:bottom w:val="single" w:sz="8" w:color="377FA7"/>
            </w:tcBorders>
          </w:tcPr>
          <w:p>
            <w:pPr>
              <w:spacing w:after="0"/>
              <w:rPr>
                <w:sz w:val="7"/>
                <w:szCs w:val="7"/>
                <w:color w:val="auto"/>
              </w:rPr>
            </w:pPr>
          </w:p>
        </w:tc>
        <w:tc>
          <w:tcPr>
            <w:tcW w:w="14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040" w:type="dxa"/>
            <w:vAlign w:val="bottom"/>
            <w:tcBorders>
              <w:bottom w:val="single" w:sz="8" w:color="377FA7"/>
            </w:tcBorders>
          </w:tcPr>
          <w:p>
            <w:pPr>
              <w:spacing w:after="0"/>
              <w:rPr>
                <w:sz w:val="7"/>
                <w:szCs w:val="7"/>
                <w:color w:val="auto"/>
              </w:rPr>
            </w:pPr>
          </w:p>
        </w:tc>
        <w:tc>
          <w:tcPr>
            <w:tcW w:w="560" w:type="dxa"/>
            <w:vAlign w:val="bottom"/>
            <w:tcBorders>
              <w:bottom w:val="single" w:sz="8" w:color="377FA7"/>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restart"/>
          </w:tcPr>
          <w:p>
            <w:pPr>
              <w:spacing w:after="0"/>
              <w:rPr>
                <w:sz w:val="20"/>
                <w:szCs w:val="20"/>
                <w:color w:val="auto"/>
              </w:rPr>
            </w:pPr>
            <w:r>
              <w:rPr>
                <w:rFonts w:ascii="Arial" w:cs="Arial" w:eastAsia="Arial" w:hAnsi="Arial"/>
                <w:sz w:val="18"/>
                <w:szCs w:val="18"/>
                <w:color w:val="00004D"/>
              </w:rPr>
              <w:t>Tenures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color w:val="00004D"/>
              </w:rPr>
              <w:t>Training</w:t>
            </w: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8"/>
                <w:szCs w:val="18"/>
                <w:color w:val="00004D"/>
              </w:rPr>
              <w:t>Work-related</w:t>
            </w:r>
          </w:p>
        </w:tc>
        <w:tc>
          <w:tcPr>
            <w:tcW w:w="0" w:type="dxa"/>
            <w:vAlign w:val="bottom"/>
          </w:tcPr>
          <w:p>
            <w:pPr>
              <w:spacing w:after="0"/>
              <w:rPr>
                <w:sz w:val="1"/>
                <w:szCs w:val="1"/>
                <w:color w:val="auto"/>
              </w:rPr>
            </w:pPr>
          </w:p>
        </w:tc>
      </w:tr>
      <w:tr>
        <w:trPr>
          <w:trHeight w:val="203"/>
        </w:trPr>
        <w:tc>
          <w:tcPr>
            <w:tcW w:w="2000" w:type="dxa"/>
            <w:vAlign w:val="bottom"/>
            <w:gridSpan w:val="2"/>
            <w:vMerge w:val="continue"/>
          </w:tcPr>
          <w:p>
            <w:pPr>
              <w:spacing w:after="0"/>
              <w:rPr>
                <w:sz w:val="17"/>
                <w:szCs w:val="17"/>
                <w:color w:val="auto"/>
              </w:rPr>
            </w:pPr>
          </w:p>
        </w:tc>
        <w:tc>
          <w:tcPr>
            <w:tcW w:w="80" w:type="dxa"/>
            <w:vAlign w:val="bottom"/>
            <w:tcBorders>
              <w:right w:val="single" w:sz="8" w:color="377FA7"/>
            </w:tcBorders>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0" w:type="dxa"/>
            <w:vAlign w:val="bottom"/>
            <w:shd w:val="clear" w:color="auto" w:fill="377FA7"/>
          </w:tcPr>
          <w:p>
            <w:pPr>
              <w:spacing w:after="0"/>
              <w:rPr>
                <w:sz w:val="17"/>
                <w:szCs w:val="17"/>
                <w:color w:val="auto"/>
              </w:rPr>
            </w:pPr>
          </w:p>
        </w:tc>
        <w:tc>
          <w:tcPr>
            <w:tcW w:w="2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8"/>
                <w:szCs w:val="18"/>
                <w:color w:val="00004D"/>
              </w:rPr>
              <w:t xml:space="preserve">36% </w:t>
            </w:r>
            <w:r>
              <w:rPr>
                <w:rFonts w:ascii="Arial" w:cs="Arial" w:eastAsia="Arial" w:hAnsi="Arial"/>
                <w:sz w:val="18"/>
                <w:szCs w:val="18"/>
                <w:color w:val="000000"/>
              </w:rPr>
              <w:t>@ 5 or more years,</w:t>
            </w:r>
          </w:p>
        </w:tc>
        <w:tc>
          <w:tcPr>
            <w:tcW w:w="80" w:type="dxa"/>
            <w:vAlign w:val="bottom"/>
            <w:tcBorders>
              <w:right w:val="single" w:sz="8" w:color="377FA7"/>
            </w:tcBorders>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color w:val="00004D"/>
              </w:rPr>
              <w:t>$4,000</w:t>
            </w:r>
          </w:p>
        </w:tc>
        <w:tc>
          <w:tcPr>
            <w:tcW w:w="20" w:type="dxa"/>
            <w:vAlign w:val="bottom"/>
            <w:shd w:val="clear" w:color="auto" w:fill="377FA7"/>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00004D"/>
              </w:rPr>
              <w:t>injuries</w:t>
            </w: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00004D"/>
                <w:w w:val="95"/>
              </w:rPr>
              <w:t xml:space="preserve">27% </w:t>
            </w:r>
            <w:r>
              <w:rPr>
                <w:rFonts w:ascii="Arial" w:cs="Arial" w:eastAsia="Arial" w:hAnsi="Arial"/>
                <w:sz w:val="18"/>
                <w:szCs w:val="18"/>
                <w:color w:val="000000"/>
                <w:w w:val="95"/>
              </w:rPr>
              <w:t>@ 10 or more years,</w:t>
            </w:r>
          </w:p>
        </w:tc>
        <w:tc>
          <w:tcPr>
            <w:tcW w:w="80" w:type="dxa"/>
            <w:vAlign w:val="bottom"/>
            <w:tcBorders>
              <w:right w:val="single" w:sz="8" w:color="377FA7"/>
            </w:tcBorders>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per full-time</w:t>
            </w:r>
          </w:p>
        </w:tc>
        <w:tc>
          <w:tcPr>
            <w:tcW w:w="20" w:type="dxa"/>
            <w:vAlign w:val="bottom"/>
            <w:shd w:val="clear" w:color="auto" w:fill="377FA7"/>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68"/>
        </w:trPr>
        <w:tc>
          <w:tcPr>
            <w:tcW w:w="2000" w:type="dxa"/>
            <w:vAlign w:val="bottom"/>
            <w:gridSpan w:val="2"/>
          </w:tcPr>
          <w:p>
            <w:pPr>
              <w:spacing w:after="0"/>
              <w:rPr>
                <w:sz w:val="20"/>
                <w:szCs w:val="20"/>
                <w:color w:val="auto"/>
              </w:rPr>
            </w:pPr>
            <w:r>
              <w:rPr>
                <w:rFonts w:ascii="Arial" w:cs="Arial" w:eastAsia="Arial" w:hAnsi="Arial"/>
                <w:sz w:val="18"/>
                <w:szCs w:val="18"/>
                <w:color w:val="00004D"/>
              </w:rPr>
              <w:t xml:space="preserve">8% </w:t>
            </w:r>
            <w:r>
              <w:rPr>
                <w:rFonts w:ascii="Arial" w:cs="Arial" w:eastAsia="Arial" w:hAnsi="Arial"/>
                <w:sz w:val="18"/>
                <w:szCs w:val="18"/>
                <w:color w:val="000000"/>
              </w:rPr>
              <w:t>@ 15 or more years</w:t>
            </w:r>
          </w:p>
        </w:tc>
        <w:tc>
          <w:tcPr>
            <w:tcW w:w="80" w:type="dxa"/>
            <w:vAlign w:val="bottom"/>
            <w:tcBorders>
              <w:right w:val="single" w:sz="8" w:color="377FA7"/>
            </w:tcBorders>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employee</w:t>
            </w:r>
          </w:p>
        </w:tc>
        <w:tc>
          <w:tcPr>
            <w:tcW w:w="20" w:type="dxa"/>
            <w:vAlign w:val="bottom"/>
            <w:shd w:val="clear" w:color="auto" w:fill="377FA7"/>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431165</wp:posOffset>
            </wp:positionV>
            <wp:extent cx="3694430" cy="3133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3694430" cy="3133090"/>
                    </a:xfrm>
                    <a:prstGeom prst="rect">
                      <a:avLst/>
                    </a:prstGeom>
                    <a:noFill/>
                  </pic:spPr>
                </pic:pic>
              </a:graphicData>
            </a:graphic>
          </wp:anchor>
        </w:drawing>
      </w:r>
    </w:p>
    <w:p>
      <w:pPr>
        <w:spacing w:after="0" w:line="598" w:lineRule="exact"/>
        <w:rPr>
          <w:sz w:val="20"/>
          <w:szCs w:val="20"/>
          <w:color w:val="auto"/>
        </w:rPr>
      </w:pPr>
    </w:p>
    <w:p>
      <w:pPr>
        <w:sectPr>
          <w:pgSz w:w="24480" w:h="15840" w:orient="landscape"/>
          <w:cols w:equalWidth="0" w:num="3">
            <w:col w:w="11860" w:space="720"/>
            <w:col w:w="4380" w:space="660"/>
            <w:col w:w="6040"/>
          </w:cols>
          <w:pgMar w:left="380" w:top="995" w:right="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Arial" w:cs="Arial" w:eastAsia="Arial" w:hAnsi="Arial"/>
          <w:sz w:val="42"/>
          <w:szCs w:val="42"/>
          <w:color w:val="00004D"/>
        </w:rPr>
        <w:t>Dyscorban</w:t>
      </w:r>
      <w:r>
        <w:rPr>
          <w:rFonts w:ascii="Arial" w:cs="Arial" w:eastAsia="Arial" w:hAnsi="Arial"/>
          <w:sz w:val="32"/>
          <w:szCs w:val="32"/>
          <w:color w:val="00004D"/>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6056"/>
        <w:spacing w:after="0"/>
        <w:rPr>
          <w:sz w:val="20"/>
          <w:szCs w:val="20"/>
          <w:color w:val="auto"/>
        </w:rPr>
      </w:pPr>
      <w:r>
        <w:rPr>
          <w:rFonts w:ascii="Arial" w:cs="Arial" w:eastAsia="Arial" w:hAnsi="Arial"/>
          <w:sz w:val="42"/>
          <w:szCs w:val="42"/>
          <w:color w:val="00004D"/>
        </w:rPr>
        <w:t>Vasculan</w:t>
      </w:r>
      <w:r>
        <w:rPr>
          <w:rFonts w:ascii="Arial" w:cs="Arial" w:eastAsia="Arial" w:hAnsi="Arial"/>
          <w:sz w:val="32"/>
          <w:szCs w:val="32"/>
          <w:color w:val="00004D"/>
          <w:vertAlign w:val="superscript"/>
        </w:rPr>
        <w: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4"/>
        <w:spacing w:after="0"/>
        <w:rPr>
          <w:sz w:val="20"/>
          <w:szCs w:val="20"/>
          <w:color w:val="auto"/>
        </w:rPr>
      </w:pPr>
      <w:r>
        <w:rPr>
          <w:rFonts w:ascii="Arial" w:cs="Arial" w:eastAsia="Arial" w:hAnsi="Arial"/>
          <w:sz w:val="18"/>
          <w:szCs w:val="18"/>
          <w:color w:val="00004D"/>
        </w:rPr>
        <w:t>Cumberland Pharma Foundation</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Contributed to Denver Health,</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MSU Foundation, TN State Museum,</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American Heart Association,</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TN Historical Society &amp;</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University of Mississippi</w:t>
      </w:r>
    </w:p>
    <w:p>
      <w:pPr>
        <w:spacing w:after="0" w:line="271" w:lineRule="exact"/>
        <w:rPr>
          <w:sz w:val="20"/>
          <w:szCs w:val="20"/>
          <w:color w:val="auto"/>
        </w:rPr>
      </w:pPr>
    </w:p>
    <w:p>
      <w:pPr>
        <w:ind w:left="4"/>
        <w:spacing w:after="0"/>
        <w:rPr>
          <w:sz w:val="20"/>
          <w:szCs w:val="20"/>
          <w:color w:val="auto"/>
        </w:rPr>
      </w:pPr>
      <w:r>
        <w:rPr>
          <w:rFonts w:ascii="Arial" w:cs="Arial" w:eastAsia="Arial" w:hAnsi="Arial"/>
          <w:sz w:val="18"/>
          <w:szCs w:val="18"/>
          <w:color w:val="00004D"/>
        </w:rPr>
        <w:t>Sponsorships</w:t>
      </w:r>
    </w:p>
    <w:p>
      <w:pPr>
        <w:spacing w:after="0" w:line="2" w:lineRule="exact"/>
        <w:rPr>
          <w:sz w:val="20"/>
          <w:szCs w:val="20"/>
          <w:color w:val="auto"/>
        </w:rPr>
      </w:pPr>
    </w:p>
    <w:p>
      <w:pPr>
        <w:ind w:left="204" w:hanging="204"/>
        <w:spacing w:after="0"/>
        <w:tabs>
          <w:tab w:leader="none" w:pos="204" w:val="left"/>
        </w:tabs>
        <w:numPr>
          <w:ilvl w:val="0"/>
          <w:numId w:val="8"/>
        </w:numPr>
        <w:rPr>
          <w:rFonts w:ascii="Arial" w:cs="Arial" w:eastAsia="Arial" w:hAnsi="Arial"/>
          <w:sz w:val="18"/>
          <w:szCs w:val="18"/>
          <w:color w:val="377FA7"/>
        </w:rPr>
      </w:pPr>
      <w:r>
        <w:rPr>
          <w:rFonts w:ascii="Arial" w:cs="Arial" w:eastAsia="Arial" w:hAnsi="Arial"/>
          <w:sz w:val="18"/>
          <w:szCs w:val="18"/>
          <w:color w:val="auto"/>
        </w:rPr>
        <w:t>Nashville Healthcare Awards</w:t>
      </w:r>
    </w:p>
    <w:p>
      <w:pPr>
        <w:spacing w:after="0" w:line="1" w:lineRule="exact"/>
        <w:rPr>
          <w:rFonts w:ascii="Arial" w:cs="Arial" w:eastAsia="Arial" w:hAnsi="Arial"/>
          <w:sz w:val="18"/>
          <w:szCs w:val="18"/>
          <w:color w:val="377FA7"/>
        </w:rPr>
      </w:pPr>
    </w:p>
    <w:p>
      <w:pPr>
        <w:ind w:left="204" w:hanging="204"/>
        <w:spacing w:after="0"/>
        <w:tabs>
          <w:tab w:leader="none" w:pos="204" w:val="left"/>
        </w:tabs>
        <w:numPr>
          <w:ilvl w:val="0"/>
          <w:numId w:val="8"/>
        </w:numPr>
        <w:rPr>
          <w:rFonts w:ascii="Arial" w:cs="Arial" w:eastAsia="Arial" w:hAnsi="Arial"/>
          <w:sz w:val="18"/>
          <w:szCs w:val="18"/>
          <w:color w:val="377FA7"/>
        </w:rPr>
      </w:pPr>
      <w:r>
        <w:rPr>
          <w:rFonts w:ascii="Arial" w:cs="Arial" w:eastAsia="Arial" w:hAnsi="Arial"/>
          <w:sz w:val="18"/>
          <w:szCs w:val="18"/>
          <w:color w:val="auto"/>
        </w:rPr>
        <w:t>Wall Street’s View of Healthcare</w:t>
      </w:r>
    </w:p>
    <w:p>
      <w:pPr>
        <w:spacing w:after="0" w:line="1" w:lineRule="exact"/>
        <w:rPr>
          <w:rFonts w:ascii="Arial" w:cs="Arial" w:eastAsia="Arial" w:hAnsi="Arial"/>
          <w:sz w:val="18"/>
          <w:szCs w:val="18"/>
          <w:color w:val="377FA7"/>
        </w:rPr>
      </w:pPr>
    </w:p>
    <w:p>
      <w:pPr>
        <w:ind w:left="204" w:hanging="204"/>
        <w:spacing w:after="0"/>
        <w:tabs>
          <w:tab w:leader="none" w:pos="204" w:val="left"/>
        </w:tabs>
        <w:numPr>
          <w:ilvl w:val="0"/>
          <w:numId w:val="8"/>
        </w:numPr>
        <w:rPr>
          <w:rFonts w:ascii="Arial" w:cs="Arial" w:eastAsia="Arial" w:hAnsi="Arial"/>
          <w:sz w:val="18"/>
          <w:szCs w:val="18"/>
          <w:color w:val="377FA7"/>
        </w:rPr>
      </w:pPr>
      <w:r>
        <w:rPr>
          <w:rFonts w:ascii="Arial" w:cs="Arial" w:eastAsia="Arial" w:hAnsi="Arial"/>
          <w:sz w:val="18"/>
          <w:szCs w:val="18"/>
          <w:color w:val="auto"/>
        </w:rPr>
        <w:t>Women to Watch in Healthcare Event</w:t>
      </w:r>
    </w:p>
    <w:p>
      <w:pPr>
        <w:spacing w:after="0" w:line="311" w:lineRule="exact"/>
        <w:rPr>
          <w:sz w:val="20"/>
          <w:szCs w:val="20"/>
          <w:color w:val="auto"/>
        </w:rPr>
      </w:pPr>
    </w:p>
    <w:p>
      <w:pPr>
        <w:ind w:left="4"/>
        <w:spacing w:after="0"/>
        <w:rPr>
          <w:sz w:val="20"/>
          <w:szCs w:val="20"/>
          <w:color w:val="auto"/>
        </w:rPr>
      </w:pPr>
      <w:r>
        <w:rPr>
          <w:rFonts w:ascii="Arial" w:cs="Arial" w:eastAsia="Arial" w:hAnsi="Arial"/>
          <w:sz w:val="18"/>
          <w:szCs w:val="18"/>
          <w:color w:val="00004D"/>
        </w:rPr>
        <w:t>Associations</w:t>
      </w:r>
    </w:p>
    <w:p>
      <w:pPr>
        <w:spacing w:after="0" w:line="2" w:lineRule="exact"/>
        <w:rPr>
          <w:sz w:val="20"/>
          <w:szCs w:val="20"/>
          <w:color w:val="auto"/>
        </w:rPr>
      </w:pPr>
    </w:p>
    <w:p>
      <w:pPr>
        <w:ind w:left="204" w:hanging="204"/>
        <w:spacing w:after="0"/>
        <w:tabs>
          <w:tab w:leader="none" w:pos="204" w:val="left"/>
        </w:tabs>
        <w:numPr>
          <w:ilvl w:val="0"/>
          <w:numId w:val="9"/>
        </w:numPr>
        <w:rPr>
          <w:rFonts w:ascii="Arial" w:cs="Arial" w:eastAsia="Arial" w:hAnsi="Arial"/>
          <w:sz w:val="18"/>
          <w:szCs w:val="18"/>
          <w:color w:val="377FA7"/>
        </w:rPr>
      </w:pPr>
      <w:r>
        <w:rPr>
          <w:rFonts w:ascii="Arial" w:cs="Arial" w:eastAsia="Arial" w:hAnsi="Arial"/>
          <w:sz w:val="18"/>
          <w:szCs w:val="18"/>
          <w:color w:val="auto"/>
        </w:rPr>
        <w:t>Nashville Health Care Council</w:t>
      </w:r>
    </w:p>
    <w:p>
      <w:pPr>
        <w:spacing w:after="0" w:line="1" w:lineRule="exact"/>
        <w:rPr>
          <w:rFonts w:ascii="Arial" w:cs="Arial" w:eastAsia="Arial" w:hAnsi="Arial"/>
          <w:sz w:val="18"/>
          <w:szCs w:val="18"/>
          <w:color w:val="377FA7"/>
        </w:rPr>
      </w:pPr>
    </w:p>
    <w:p>
      <w:pPr>
        <w:ind w:left="204" w:hanging="204"/>
        <w:spacing w:after="0"/>
        <w:tabs>
          <w:tab w:leader="none" w:pos="204" w:val="left"/>
        </w:tabs>
        <w:numPr>
          <w:ilvl w:val="0"/>
          <w:numId w:val="9"/>
        </w:numPr>
        <w:rPr>
          <w:rFonts w:ascii="Arial" w:cs="Arial" w:eastAsia="Arial" w:hAnsi="Arial"/>
          <w:sz w:val="18"/>
          <w:szCs w:val="18"/>
          <w:color w:val="377FA7"/>
        </w:rPr>
      </w:pPr>
      <w:r>
        <w:rPr>
          <w:rFonts w:ascii="Arial" w:cs="Arial" w:eastAsia="Arial" w:hAnsi="Arial"/>
          <w:sz w:val="18"/>
          <w:szCs w:val="18"/>
          <w:color w:val="auto"/>
        </w:rPr>
        <w:t>Life Science Tennessee</w:t>
      </w:r>
    </w:p>
    <w:p>
      <w:pPr>
        <w:spacing w:after="0" w:line="1" w:lineRule="exact"/>
        <w:rPr>
          <w:rFonts w:ascii="Arial" w:cs="Arial" w:eastAsia="Arial" w:hAnsi="Arial"/>
          <w:sz w:val="18"/>
          <w:szCs w:val="18"/>
          <w:color w:val="377FA7"/>
        </w:rPr>
      </w:pPr>
    </w:p>
    <w:p>
      <w:pPr>
        <w:ind w:left="204" w:hanging="204"/>
        <w:spacing w:after="0"/>
        <w:tabs>
          <w:tab w:leader="none" w:pos="204" w:val="left"/>
        </w:tabs>
        <w:numPr>
          <w:ilvl w:val="0"/>
          <w:numId w:val="9"/>
        </w:numPr>
        <w:rPr>
          <w:rFonts w:ascii="Arial" w:cs="Arial" w:eastAsia="Arial" w:hAnsi="Arial"/>
          <w:sz w:val="18"/>
          <w:szCs w:val="18"/>
          <w:color w:val="377FA7"/>
        </w:rPr>
      </w:pPr>
      <w:r>
        <w:rPr>
          <w:rFonts w:ascii="Arial" w:cs="Arial" w:eastAsia="Arial" w:hAnsi="Arial"/>
          <w:sz w:val="18"/>
          <w:szCs w:val="18"/>
          <w:color w:val="auto"/>
        </w:rPr>
        <w:t>Nashville Chamber of Commerce</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8"/>
          <w:szCs w:val="18"/>
          <w:color w:val="00004D"/>
        </w:rPr>
        <w:t>Life Sciences Center</w:t>
      </w:r>
    </w:p>
    <w:p>
      <w:pPr>
        <w:spacing w:after="0" w:line="2" w:lineRule="exact"/>
        <w:rPr>
          <w:sz w:val="20"/>
          <w:szCs w:val="20"/>
          <w:color w:val="auto"/>
        </w:rPr>
      </w:pPr>
    </w:p>
    <w:p>
      <w:pPr>
        <w:ind w:left="4" w:right="720"/>
        <w:spacing w:after="0" w:line="247" w:lineRule="auto"/>
        <w:rPr>
          <w:sz w:val="20"/>
          <w:szCs w:val="20"/>
          <w:color w:val="auto"/>
        </w:rPr>
      </w:pPr>
      <w:r>
        <w:rPr>
          <w:rFonts w:ascii="Arial" w:cs="Arial" w:eastAsia="Arial" w:hAnsi="Arial"/>
          <w:sz w:val="18"/>
          <w:szCs w:val="18"/>
          <w:color w:val="auto"/>
        </w:rPr>
        <w:t>Helping to build the biomedical industry in middle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285115</wp:posOffset>
            </wp:positionV>
            <wp:extent cx="798830" cy="1950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798830" cy="1950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31"/>
          <w:szCs w:val="31"/>
          <w:color w:val="377FA7"/>
        </w:rPr>
        <w:t>Social</w:t>
      </w:r>
    </w:p>
    <w:p>
      <w:pPr>
        <w:spacing w:after="0"/>
        <w:rPr>
          <w:sz w:val="20"/>
          <w:szCs w:val="20"/>
          <w:color w:val="auto"/>
        </w:rPr>
      </w:pPr>
      <w:r>
        <w:rPr>
          <w:rFonts w:ascii="Arial" w:cs="Arial" w:eastAsia="Arial" w:hAnsi="Arial"/>
          <w:sz w:val="21"/>
          <w:szCs w:val="21"/>
          <w:color w:val="00004D"/>
        </w:rPr>
        <w:t>Patients</w:t>
      </w:r>
    </w:p>
    <w:p>
      <w:pPr>
        <w:ind w:left="20"/>
        <w:spacing w:after="0" w:line="182" w:lineRule="auto"/>
        <w:tabs>
          <w:tab w:leader="none" w:pos="800" w:val="left"/>
        </w:tabs>
        <w:rPr>
          <w:sz w:val="20"/>
          <w:szCs w:val="20"/>
          <w:color w:val="auto"/>
        </w:rPr>
      </w:pPr>
      <w:r>
        <w:rPr>
          <w:rFonts w:ascii="Arial" w:cs="Arial" w:eastAsia="Arial" w:hAnsi="Arial"/>
          <w:sz w:val="18"/>
          <w:szCs w:val="18"/>
          <w:color w:val="00004D"/>
        </w:rPr>
        <w:t>Product</w:t>
      </w:r>
      <w:r>
        <w:rPr>
          <w:sz w:val="20"/>
          <w:szCs w:val="20"/>
          <w:color w:val="auto"/>
        </w:rPr>
        <w:tab/>
      </w:r>
      <w:r>
        <w:rPr>
          <w:rFonts w:ascii="Arial" w:cs="Arial" w:eastAsia="Arial" w:hAnsi="Arial"/>
          <w:sz w:val="71"/>
          <w:szCs w:val="71"/>
          <w:color w:val="377FA7"/>
        </w:rPr>
        <w:t>2.2</w:t>
      </w:r>
    </w:p>
    <w:p>
      <w:pPr>
        <w:spacing w:after="0" w:line="2" w:lineRule="exact"/>
        <w:rPr>
          <w:sz w:val="20"/>
          <w:szCs w:val="20"/>
          <w:color w:val="auto"/>
        </w:rPr>
      </w:pPr>
    </w:p>
    <w:p>
      <w:pPr>
        <w:ind w:left="1120" w:right="480" w:hanging="1106"/>
        <w:spacing w:after="0" w:line="185" w:lineRule="auto"/>
        <w:tabs>
          <w:tab w:leader="none" w:pos="1100" w:val="left"/>
        </w:tabs>
        <w:rPr>
          <w:sz w:val="20"/>
          <w:szCs w:val="20"/>
          <w:color w:val="auto"/>
        </w:rPr>
      </w:pPr>
      <w:r>
        <w:rPr>
          <w:rFonts w:ascii="Arial" w:cs="Arial" w:eastAsia="Arial" w:hAnsi="Arial"/>
          <w:sz w:val="18"/>
          <w:szCs w:val="18"/>
          <w:color w:val="00004D"/>
        </w:rPr>
        <w:t>Provided</w:t>
      </w:r>
      <w:r>
        <w:rPr>
          <w:sz w:val="20"/>
          <w:szCs w:val="20"/>
          <w:color w:val="auto"/>
        </w:rPr>
        <w:tab/>
      </w:r>
      <w:r>
        <w:rPr>
          <w:rFonts w:ascii="Arial" w:cs="Arial" w:eastAsia="Arial" w:hAnsi="Arial"/>
          <w:sz w:val="39"/>
          <w:szCs w:val="39"/>
          <w:color w:val="377FA7"/>
          <w:vertAlign w:val="subscript"/>
        </w:rPr>
        <w:t xml:space="preserve">million </w:t>
      </w:r>
      <w:r>
        <w:rPr>
          <w:rFonts w:ascii="Arial" w:cs="Arial" w:eastAsia="Arial" w:hAnsi="Arial"/>
          <w:sz w:val="17"/>
          <w:szCs w:val="17"/>
          <w:color w:val="000000"/>
          <w:vertAlign w:val="subscript"/>
        </w:rPr>
        <w:t>patient doses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00004D"/>
        </w:rPr>
        <w:t>Drug Safety Results</w:t>
      </w:r>
    </w:p>
    <w:p>
      <w:pPr>
        <w:spacing w:after="0" w:line="2" w:lineRule="exact"/>
        <w:rPr>
          <w:sz w:val="20"/>
          <w:szCs w:val="20"/>
          <w:color w:val="auto"/>
        </w:rPr>
      </w:pPr>
    </w:p>
    <w:p>
      <w:pPr>
        <w:ind w:left="200" w:right="200" w:hanging="189"/>
        <w:spacing w:after="0" w:line="241" w:lineRule="auto"/>
        <w:tabs>
          <w:tab w:leader="none" w:pos="200" w:val="left"/>
        </w:tabs>
        <w:numPr>
          <w:ilvl w:val="0"/>
          <w:numId w:val="10"/>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listed in the FDA’ s MedWatch Safety Alerts</w:t>
      </w:r>
    </w:p>
    <w:p>
      <w:pPr>
        <w:spacing w:after="0" w:line="1" w:lineRule="exact"/>
        <w:rPr>
          <w:rFonts w:ascii="Arial" w:cs="Arial" w:eastAsia="Arial" w:hAnsi="Arial"/>
          <w:sz w:val="18"/>
          <w:szCs w:val="18"/>
          <w:color w:val="377FA7"/>
        </w:rPr>
      </w:pPr>
    </w:p>
    <w:p>
      <w:pPr>
        <w:ind w:left="200" w:right="360" w:hanging="189"/>
        <w:spacing w:after="0" w:line="241" w:lineRule="auto"/>
        <w:tabs>
          <w:tab w:leader="none" w:pos="200" w:val="left"/>
        </w:tabs>
        <w:numPr>
          <w:ilvl w:val="0"/>
          <w:numId w:val="10"/>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identified in the FDA Adverse Event Reporting System</w:t>
      </w:r>
    </w:p>
    <w:p>
      <w:pPr>
        <w:spacing w:after="0" w:line="2" w:lineRule="exact"/>
        <w:rPr>
          <w:rFonts w:ascii="Arial" w:cs="Arial" w:eastAsia="Arial" w:hAnsi="Arial"/>
          <w:sz w:val="18"/>
          <w:szCs w:val="18"/>
          <w:color w:val="377FA7"/>
        </w:rPr>
      </w:pPr>
    </w:p>
    <w:p>
      <w:pPr>
        <w:ind w:left="200" w:hanging="189"/>
        <w:spacing w:after="0"/>
        <w:tabs>
          <w:tab w:leader="none" w:pos="200" w:val="left"/>
        </w:tabs>
        <w:numPr>
          <w:ilvl w:val="0"/>
          <w:numId w:val="10"/>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recalled</w:t>
      </w:r>
    </w:p>
    <w:p>
      <w:pPr>
        <w:spacing w:after="0" w:line="350" w:lineRule="exact"/>
        <w:rPr>
          <w:sz w:val="20"/>
          <w:szCs w:val="20"/>
          <w:color w:val="auto"/>
        </w:rPr>
      </w:pPr>
    </w:p>
    <w:p>
      <w:pPr>
        <w:jc w:val="both"/>
        <w:ind w:left="20"/>
        <w:spacing w:after="0" w:line="245" w:lineRule="auto"/>
        <w:rPr>
          <w:sz w:val="20"/>
          <w:szCs w:val="20"/>
          <w:color w:val="auto"/>
        </w:rPr>
      </w:pPr>
      <w:r>
        <w:rPr>
          <w:rFonts w:ascii="Arial" w:cs="Arial" w:eastAsia="Arial" w:hAnsi="Arial"/>
          <w:sz w:val="18"/>
          <w:szCs w:val="18"/>
          <w:color w:val="00004D"/>
        </w:rPr>
        <w:t xml:space="preserve">Patient AffordAbility </w:t>
      </w:r>
      <w:r>
        <w:rPr>
          <w:rFonts w:ascii="Arial" w:cs="Arial" w:eastAsia="Arial" w:hAnsi="Arial"/>
          <w:sz w:val="20"/>
          <w:szCs w:val="20"/>
          <w:color w:val="00004D"/>
        </w:rPr>
        <w:t>—</w:t>
      </w:r>
      <w:r>
        <w:rPr>
          <w:rFonts w:ascii="Arial" w:cs="Arial" w:eastAsia="Arial" w:hAnsi="Arial"/>
          <w:sz w:val="18"/>
          <w:szCs w:val="18"/>
          <w:color w:val="00004D"/>
        </w:rPr>
        <w:t xml:space="preserve"> </w:t>
      </w:r>
      <w:r>
        <w:rPr>
          <w:rFonts w:ascii="Arial" w:cs="Arial" w:eastAsia="Arial" w:hAnsi="Arial"/>
          <w:sz w:val="18"/>
          <w:szCs w:val="18"/>
          <w:color w:val="000000"/>
        </w:rPr>
        <w:t>We cover up</w:t>
      </w:r>
      <w:r>
        <w:rPr>
          <w:rFonts w:ascii="Arial" w:cs="Arial" w:eastAsia="Arial" w:hAnsi="Arial"/>
          <w:sz w:val="18"/>
          <w:szCs w:val="18"/>
          <w:color w:val="00004D"/>
        </w:rPr>
        <w:t xml:space="preserve"> </w:t>
      </w:r>
      <w:r>
        <w:rPr>
          <w:rFonts w:ascii="Arial" w:cs="Arial" w:eastAsia="Arial" w:hAnsi="Arial"/>
          <w:sz w:val="18"/>
          <w:szCs w:val="18"/>
          <w:color w:val="000000"/>
        </w:rPr>
        <w:t xml:space="preserve">to </w:t>
      </w:r>
      <w:r>
        <w:rPr>
          <w:rFonts w:ascii="Arial" w:cs="Arial" w:eastAsia="Arial" w:hAnsi="Arial"/>
          <w:sz w:val="18"/>
          <w:szCs w:val="18"/>
          <w:color w:val="00004D"/>
        </w:rPr>
        <w:t>80% of patient Rx costs</w:t>
      </w:r>
      <w:r>
        <w:rPr>
          <w:rFonts w:ascii="Arial" w:cs="Arial" w:eastAsia="Arial" w:hAnsi="Arial"/>
          <w:sz w:val="18"/>
          <w:szCs w:val="18"/>
          <w:color w:val="000000"/>
        </w:rPr>
        <w:t xml:space="preserve"> through coupons for our GI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274955</wp:posOffset>
            </wp:positionV>
            <wp:extent cx="828675" cy="828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828675" cy="828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 w:right="1100"/>
        <w:spacing w:after="0" w:line="243" w:lineRule="auto"/>
        <w:rPr>
          <w:sz w:val="20"/>
          <w:szCs w:val="20"/>
          <w:color w:val="auto"/>
        </w:rPr>
      </w:pPr>
      <w:r>
        <w:rPr>
          <w:rFonts w:ascii="Arial" w:cs="Arial" w:eastAsia="Arial" w:hAnsi="Arial"/>
          <w:sz w:val="18"/>
          <w:szCs w:val="18"/>
          <w:color w:val="00004D"/>
        </w:rPr>
        <w:t xml:space="preserve">Clinical Trials Safety </w:t>
      </w:r>
      <w:r>
        <w:rPr>
          <w:rFonts w:ascii="Arial" w:cs="Arial" w:eastAsia="Arial" w:hAnsi="Arial"/>
          <w:sz w:val="18"/>
          <w:szCs w:val="18"/>
          <w:u w:val="single" w:color="auto"/>
          <w:color w:val="000000"/>
        </w:rPr>
        <w:t>No</w:t>
      </w:r>
      <w:r>
        <w:rPr>
          <w:rFonts w:ascii="Arial" w:cs="Arial" w:eastAsia="Arial" w:hAnsi="Arial"/>
          <w:sz w:val="18"/>
          <w:szCs w:val="18"/>
          <w:color w:val="000000"/>
        </w:rPr>
        <w:t xml:space="preserve"> trials terminated due to failure to practice good clinical standards</w:t>
      </w:r>
    </w:p>
    <w:p>
      <w:pPr>
        <w:spacing w:after="0" w:line="286" w:lineRule="exact"/>
        <w:rPr>
          <w:sz w:val="20"/>
          <w:szCs w:val="20"/>
          <w:color w:val="auto"/>
        </w:rPr>
      </w:pPr>
    </w:p>
    <w:p>
      <w:pPr>
        <w:ind w:left="1"/>
        <w:spacing w:after="0"/>
        <w:rPr>
          <w:sz w:val="20"/>
          <w:szCs w:val="20"/>
          <w:color w:val="auto"/>
        </w:rPr>
      </w:pPr>
      <w:r>
        <w:rPr>
          <w:rFonts w:ascii="Arial" w:cs="Arial" w:eastAsia="Arial" w:hAnsi="Arial"/>
          <w:sz w:val="18"/>
          <w:szCs w:val="18"/>
          <w:color w:val="00004D"/>
        </w:rPr>
        <w:t>Advocacy Groups</w:t>
      </w:r>
    </w:p>
    <w:p>
      <w:pPr>
        <w:spacing w:after="0" w:line="2" w:lineRule="exact"/>
        <w:rPr>
          <w:sz w:val="20"/>
          <w:szCs w:val="20"/>
          <w:color w:val="auto"/>
        </w:rPr>
      </w:pPr>
    </w:p>
    <w:p>
      <w:pPr>
        <w:ind w:left="1"/>
        <w:spacing w:after="0"/>
        <w:rPr>
          <w:sz w:val="20"/>
          <w:szCs w:val="20"/>
          <w:color w:val="auto"/>
        </w:rPr>
      </w:pPr>
      <w:r>
        <w:rPr>
          <w:rFonts w:ascii="Arial" w:cs="Arial" w:eastAsia="Arial" w:hAnsi="Arial"/>
          <w:sz w:val="18"/>
          <w:szCs w:val="18"/>
          <w:color w:val="00004D"/>
        </w:rPr>
        <w:t>Supported</w:t>
      </w:r>
    </w:p>
    <w:p>
      <w:pPr>
        <w:spacing w:after="0" w:line="2" w:lineRule="exact"/>
        <w:rPr>
          <w:sz w:val="20"/>
          <w:szCs w:val="20"/>
          <w:color w:val="auto"/>
        </w:rPr>
      </w:pPr>
    </w:p>
    <w:p>
      <w:pPr>
        <w:ind w:left="201" w:right="900" w:hanging="201"/>
        <w:spacing w:after="0" w:line="241" w:lineRule="auto"/>
        <w:tabs>
          <w:tab w:leader="none" w:pos="201" w:val="left"/>
        </w:tabs>
        <w:numPr>
          <w:ilvl w:val="0"/>
          <w:numId w:val="11"/>
        </w:numPr>
        <w:rPr>
          <w:rFonts w:ascii="Arial" w:cs="Arial" w:eastAsia="Arial" w:hAnsi="Arial"/>
          <w:sz w:val="18"/>
          <w:szCs w:val="18"/>
          <w:color w:val="377FA7"/>
        </w:rPr>
      </w:pPr>
      <w:r>
        <w:rPr>
          <w:rFonts w:ascii="Arial" w:cs="Arial" w:eastAsia="Arial" w:hAnsi="Arial"/>
          <w:sz w:val="18"/>
          <w:szCs w:val="18"/>
          <w:color w:val="auto"/>
        </w:rPr>
        <w:t>Muscular Dystrophy Association and</w:t>
      </w:r>
    </w:p>
    <w:p>
      <w:pPr>
        <w:spacing w:after="0" w:line="1" w:lineRule="exact"/>
        <w:rPr>
          <w:rFonts w:ascii="Arial" w:cs="Arial" w:eastAsia="Arial" w:hAnsi="Arial"/>
          <w:sz w:val="18"/>
          <w:szCs w:val="18"/>
          <w:color w:val="377FA7"/>
        </w:rPr>
      </w:pPr>
    </w:p>
    <w:p>
      <w:pPr>
        <w:ind w:left="201" w:right="900" w:hanging="201"/>
        <w:spacing w:after="0" w:line="247" w:lineRule="auto"/>
        <w:tabs>
          <w:tab w:leader="none" w:pos="201" w:val="left"/>
        </w:tabs>
        <w:numPr>
          <w:ilvl w:val="0"/>
          <w:numId w:val="11"/>
        </w:numPr>
        <w:rPr>
          <w:rFonts w:ascii="Arial" w:cs="Arial" w:eastAsia="Arial" w:hAnsi="Arial"/>
          <w:sz w:val="18"/>
          <w:szCs w:val="18"/>
          <w:color w:val="377FA7"/>
        </w:rPr>
      </w:pPr>
      <w:r>
        <w:rPr>
          <w:rFonts w:ascii="Arial" w:cs="Arial" w:eastAsia="Arial" w:hAnsi="Arial"/>
          <w:sz w:val="18"/>
          <w:szCs w:val="18"/>
          <w:color w:val="auto"/>
        </w:rPr>
        <w:t>Parent Project Muscular Dystrophy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440690</wp:posOffset>
            </wp:positionV>
            <wp:extent cx="987425" cy="987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987425" cy="987425"/>
                    </a:xfrm>
                    <a:prstGeom prst="rect">
                      <a:avLst/>
                    </a:prstGeom>
                    <a:noFill/>
                  </pic:spPr>
                </pic:pic>
              </a:graphicData>
            </a:graphic>
          </wp:anchor>
        </w:drawing>
      </w:r>
    </w:p>
    <w:p>
      <w:pPr>
        <w:spacing w:after="0" w:line="537" w:lineRule="exact"/>
        <w:rPr>
          <w:sz w:val="20"/>
          <w:szCs w:val="20"/>
          <w:color w:val="auto"/>
        </w:rPr>
      </w:pPr>
    </w:p>
    <w:p>
      <w:pPr>
        <w:sectPr>
          <w:pgSz w:w="24480" w:h="15840" w:orient="landscape"/>
          <w:cols w:equalWidth="0" w:num="4">
            <w:col w:w="12136" w:space="720"/>
            <w:col w:w="4024" w:space="720"/>
            <w:col w:w="3040" w:space="259"/>
            <w:col w:w="2761"/>
          </w:cols>
          <w:pgMar w:left="380" w:top="995" w:right="440" w:bottom="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12560"/>
        <w:spacing w:after="0"/>
        <w:rPr>
          <w:sz w:val="20"/>
          <w:szCs w:val="20"/>
          <w:color w:val="auto"/>
        </w:rPr>
      </w:pPr>
      <w:r>
        <w:rPr>
          <w:rFonts w:ascii="Arial" w:cs="Arial" w:eastAsia="Arial" w:hAnsi="Arial"/>
          <w:sz w:val="31"/>
          <w:szCs w:val="31"/>
          <w:color w:val="377FA7"/>
        </w:rPr>
        <w:t>Governance</w:t>
      </w:r>
    </w:p>
    <w:p>
      <w:pPr>
        <w:ind w:left="12560"/>
        <w:spacing w:after="0"/>
        <w:rPr>
          <w:sz w:val="20"/>
          <w:szCs w:val="20"/>
          <w:color w:val="auto"/>
        </w:rPr>
      </w:pPr>
      <w:r>
        <w:rPr>
          <w:rFonts w:ascii="Arial" w:cs="Arial" w:eastAsia="Arial" w:hAnsi="Arial"/>
          <w:sz w:val="20"/>
          <w:szCs w:val="20"/>
          <w:color w:val="00004D"/>
        </w:rPr>
        <w:t>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7976235</wp:posOffset>
                </wp:positionH>
                <wp:positionV relativeFrom="paragraph">
                  <wp:posOffset>59690</wp:posOffset>
                </wp:positionV>
                <wp:extent cx="132651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6515"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05pt,4.7pt" to="732.5pt,4.7pt" o:allowincell="f" strokecolor="#377FA7" strokeweight="0.5pt"/>
            </w:pict>
          </mc:Fallback>
        </mc:AlternateContent>
      </w:r>
    </w:p>
    <w:p>
      <w:pPr>
        <w:spacing w:after="0" w:line="383" w:lineRule="exact"/>
        <w:rPr>
          <w:sz w:val="20"/>
          <w:szCs w:val="20"/>
          <w:color w:val="auto"/>
        </w:rPr>
      </w:pPr>
    </w:p>
    <w:p>
      <w:pPr>
        <w:ind w:left="12560"/>
        <w:spacing w:after="0" w:line="499" w:lineRule="auto"/>
        <w:rPr>
          <w:sz w:val="20"/>
          <w:szCs w:val="20"/>
          <w:color w:val="auto"/>
        </w:rPr>
      </w:pPr>
      <w:r>
        <w:rPr>
          <w:rFonts w:ascii="Arial" w:cs="Arial" w:eastAsia="Arial" w:hAnsi="Arial"/>
          <w:sz w:val="18"/>
          <w:szCs w:val="18"/>
          <w:color w:val="auto"/>
        </w:rPr>
        <w:t xml:space="preserve">Independent – </w:t>
      </w:r>
      <w:r>
        <w:rPr>
          <w:rFonts w:ascii="Arial" w:cs="Arial" w:eastAsia="Arial" w:hAnsi="Arial"/>
          <w:sz w:val="18"/>
          <w:szCs w:val="18"/>
          <w:color w:val="00004D"/>
        </w:rPr>
        <w:t>7 of 8</w:t>
      </w:r>
      <w:r>
        <w:rPr>
          <w:rFonts w:ascii="Arial" w:cs="Arial" w:eastAsia="Arial" w:hAnsi="Arial"/>
          <w:sz w:val="18"/>
          <w:szCs w:val="18"/>
          <w:color w:val="auto"/>
        </w:rPr>
        <w:t xml:space="preserve"> Tenure – </w:t>
      </w:r>
      <w:r>
        <w:rPr>
          <w:rFonts w:ascii="Arial" w:cs="Arial" w:eastAsia="Arial" w:hAnsi="Arial"/>
          <w:sz w:val="18"/>
          <w:szCs w:val="18"/>
          <w:color w:val="00004D"/>
        </w:rPr>
        <w:t>Average 9.1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7976235</wp:posOffset>
                </wp:positionH>
                <wp:positionV relativeFrom="paragraph">
                  <wp:posOffset>-333375</wp:posOffset>
                </wp:positionV>
                <wp:extent cx="143954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9545"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05pt,-26.2499pt" to="741.4pt,-26.2499pt" o:allowincell="f" strokecolor="#377FA7" strokeweight="0.5pt"/>
            </w:pict>
          </mc:Fallback>
        </mc:AlternateContent>
        <mc:AlternateContent>
          <mc:Choice Requires="wps">
            <w:drawing>
              <wp:anchor simplePos="0" relativeHeight="251657728" behindDoc="1" locked="0" layoutInCell="0" allowOverlap="1">
                <wp:simplePos x="0" y="0"/>
                <wp:positionH relativeFrom="column">
                  <wp:posOffset>7976235</wp:posOffset>
                </wp:positionH>
                <wp:positionV relativeFrom="paragraph">
                  <wp:posOffset>-59690</wp:posOffset>
                </wp:positionV>
                <wp:extent cx="14395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9545"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05pt,-4.6999pt" to="741.4pt,-4.6999pt" o:allowincell="f" strokecolor="#377FA7" strokeweight="0.5pt"/>
            </w:pict>
          </mc:Fallback>
        </mc:AlternateContent>
      </w:r>
    </w:p>
    <w:p>
      <w:pPr>
        <w:ind w:left="12560" w:right="260"/>
        <w:spacing w:after="0" w:line="443" w:lineRule="auto"/>
        <w:rPr>
          <w:sz w:val="20"/>
          <w:szCs w:val="20"/>
          <w:color w:val="auto"/>
        </w:rPr>
      </w:pPr>
      <w:r>
        <w:rPr>
          <w:rFonts w:ascii="Arial" w:cs="Arial" w:eastAsia="Arial" w:hAnsi="Arial"/>
          <w:sz w:val="18"/>
          <w:szCs w:val="18"/>
          <w:color w:val="auto"/>
        </w:rPr>
        <w:t xml:space="preserve">Age – </w:t>
      </w:r>
      <w:r>
        <w:rPr>
          <w:rFonts w:ascii="Arial" w:cs="Arial" w:eastAsia="Arial" w:hAnsi="Arial"/>
          <w:sz w:val="18"/>
          <w:szCs w:val="18"/>
          <w:color w:val="00004D"/>
        </w:rPr>
        <w:t>Average 65 years</w:t>
      </w:r>
      <w:r>
        <w:rPr>
          <w:rFonts w:ascii="Arial" w:cs="Arial" w:eastAsia="Arial" w:hAnsi="Arial"/>
          <w:sz w:val="18"/>
          <w:szCs w:val="18"/>
          <w:color w:val="auto"/>
        </w:rPr>
        <w:t xml:space="preserve"> Male/ Female </w:t>
      </w:r>
      <w:r>
        <w:rPr>
          <w:rFonts w:ascii="Arial" w:cs="Arial" w:eastAsia="Arial" w:hAnsi="Arial"/>
          <w:sz w:val="18"/>
          <w:szCs w:val="18"/>
          <w:color w:val="00004D"/>
        </w:rPr>
        <w:t>– 5/1</w:t>
      </w:r>
      <w:r>
        <w:rPr>
          <w:rFonts w:ascii="Arial" w:cs="Arial" w:eastAsia="Arial" w:hAnsi="Arial"/>
          <w:sz w:val="18"/>
          <w:szCs w:val="18"/>
          <w:color w:val="auto"/>
        </w:rPr>
        <w:t xml:space="preserve"> Turnover </w:t>
      </w:r>
      <w:r>
        <w:rPr>
          <w:rFonts w:ascii="Arial" w:cs="Arial" w:eastAsia="Arial" w:hAnsi="Arial"/>
          <w:sz w:val="18"/>
          <w:szCs w:val="18"/>
          <w:color w:val="00004D"/>
        </w:rPr>
        <w: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7976235</wp:posOffset>
                </wp:positionH>
                <wp:positionV relativeFrom="paragraph">
                  <wp:posOffset>-514350</wp:posOffset>
                </wp:positionV>
                <wp:extent cx="125222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2220"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05pt,-40.4999pt" to="726.65pt,-40.4999pt" o:allowincell="f" strokecolor="#377FA7" strokeweight="0.5pt"/>
            </w:pict>
          </mc:Fallback>
        </mc:AlternateContent>
        <mc:AlternateContent>
          <mc:Choice Requires="wps">
            <w:drawing>
              <wp:anchor simplePos="0" relativeHeight="251657728" behindDoc="1" locked="0" layoutInCell="0" allowOverlap="1">
                <wp:simplePos x="0" y="0"/>
                <wp:positionH relativeFrom="column">
                  <wp:posOffset>7976235</wp:posOffset>
                </wp:positionH>
                <wp:positionV relativeFrom="paragraph">
                  <wp:posOffset>-241300</wp:posOffset>
                </wp:positionV>
                <wp:extent cx="103505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5050" cy="4763"/>
                        </a:xfrm>
                        <a:prstGeom prst="line">
                          <a:avLst/>
                        </a:prstGeom>
                        <a:solidFill>
                          <a:srgbClr val="FFFFFF"/>
                        </a:solidFill>
                        <a:ln w="6350">
                          <a:solidFill>
                            <a:srgbClr val="377FA7"/>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05pt,-19pt" to="709.55pt,-19pt" o:allowincell="f" strokecolor="#377FA7" strokeweight="0.5pt"/>
            </w:pict>
          </mc:Fallback>
        </mc:AlternateConten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6"/>
        </w:trPr>
        <w:tc>
          <w:tcPr>
            <w:tcW w:w="1400" w:type="dxa"/>
            <w:vAlign w:val="bottom"/>
            <w:tcBorders>
              <w:right w:val="single" w:sz="8" w:color="377FA7"/>
            </w:tcBorders>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40" w:type="dxa"/>
            <w:vAlign w:val="bottom"/>
            <w:tcBorders>
              <w:left w:val="single" w:sz="8" w:color="377FA7"/>
            </w:tcBorders>
            <w:gridSpan w:val="5"/>
          </w:tcPr>
          <w:p>
            <w:pPr>
              <w:ind w:left="260"/>
              <w:spacing w:after="0"/>
              <w:rPr>
                <w:sz w:val="20"/>
                <w:szCs w:val="20"/>
                <w:color w:val="auto"/>
              </w:rPr>
            </w:pPr>
            <w:r>
              <w:rPr>
                <w:rFonts w:ascii="Arial" w:cs="Arial" w:eastAsia="Arial" w:hAnsi="Arial"/>
                <w:sz w:val="31"/>
                <w:szCs w:val="31"/>
                <w:color w:val="377FA7"/>
              </w:rPr>
              <w:t>Governance</w:t>
            </w:r>
          </w:p>
        </w:tc>
        <w:tc>
          <w:tcPr>
            <w:tcW w:w="0" w:type="dxa"/>
            <w:vAlign w:val="bottom"/>
          </w:tcPr>
          <w:p>
            <w:pPr>
              <w:spacing w:after="0"/>
              <w:rPr>
                <w:sz w:val="1"/>
                <w:szCs w:val="1"/>
                <w:color w:val="auto"/>
              </w:rPr>
            </w:pPr>
          </w:p>
        </w:tc>
      </w:tr>
      <w:tr>
        <w:trPr>
          <w:trHeight w:val="245"/>
        </w:trPr>
        <w:tc>
          <w:tcPr>
            <w:tcW w:w="1400" w:type="dxa"/>
            <w:vAlign w:val="bottom"/>
            <w:tcBorders>
              <w:right w:val="single" w:sz="8" w:color="377FA7"/>
            </w:tcBorders>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120" w:type="dxa"/>
            <w:vAlign w:val="bottom"/>
            <w:tcBorders>
              <w:left w:val="single" w:sz="8" w:color="377FA7"/>
            </w:tcBorders>
            <w:gridSpan w:val="3"/>
          </w:tcPr>
          <w:p>
            <w:pPr>
              <w:ind w:left="260"/>
              <w:spacing w:after="0"/>
              <w:rPr>
                <w:sz w:val="20"/>
                <w:szCs w:val="20"/>
                <w:color w:val="auto"/>
              </w:rPr>
            </w:pPr>
            <w:r>
              <w:rPr>
                <w:rFonts w:ascii="Arial" w:cs="Arial" w:eastAsia="Arial" w:hAnsi="Arial"/>
                <w:sz w:val="21"/>
                <w:szCs w:val="21"/>
                <w:color w:val="00004D"/>
              </w:rPr>
              <w:t>Compliance</w:t>
            </w:r>
          </w:p>
        </w:tc>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400" w:type="dxa"/>
            <w:vAlign w:val="bottom"/>
            <w:tcBorders>
              <w:right w:val="single" w:sz="8" w:color="377FA7"/>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Borders>
              <w:left w:val="single" w:sz="8" w:color="377FA7"/>
            </w:tcBorders>
          </w:tcPr>
          <w:p>
            <w:pPr>
              <w:spacing w:after="0"/>
              <w:rPr>
                <w:sz w:val="8"/>
                <w:szCs w:val="8"/>
                <w:color w:val="auto"/>
              </w:rPr>
            </w:pPr>
          </w:p>
        </w:tc>
        <w:tc>
          <w:tcPr>
            <w:tcW w:w="1420" w:type="dxa"/>
            <w:vAlign w:val="bottom"/>
            <w:tcBorders>
              <w:bottom w:val="single" w:sz="8" w:color="377FA7"/>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1400" w:type="dxa"/>
            <w:vAlign w:val="bottom"/>
            <w:tcBorders>
              <w:right w:val="single" w:sz="8" w:color="377FA7"/>
            </w:tcBorders>
          </w:tcPr>
          <w:p>
            <w:pPr>
              <w:spacing w:after="0"/>
              <w:rPr>
                <w:sz w:val="24"/>
                <w:szCs w:val="24"/>
                <w:color w:val="auto"/>
              </w:rPr>
            </w:pPr>
          </w:p>
        </w:tc>
        <w:tc>
          <w:tcPr>
            <w:tcW w:w="2580" w:type="dxa"/>
            <w:vAlign w:val="bottom"/>
            <w:gridSpan w:val="3"/>
            <w:vMerge w:val="restart"/>
          </w:tcPr>
          <w:p>
            <w:pPr>
              <w:ind w:left="240"/>
              <w:spacing w:after="0"/>
              <w:rPr>
                <w:sz w:val="20"/>
                <w:szCs w:val="20"/>
                <w:color w:val="auto"/>
              </w:rPr>
            </w:pPr>
            <w:r>
              <w:rPr>
                <w:rFonts w:ascii="Arial" w:cs="Arial" w:eastAsia="Arial" w:hAnsi="Arial"/>
                <w:sz w:val="31"/>
                <w:szCs w:val="31"/>
                <w:color w:val="377FA7"/>
              </w:rPr>
              <w:t>Governance</w:t>
            </w:r>
          </w:p>
        </w:tc>
        <w:tc>
          <w:tcPr>
            <w:tcW w:w="260" w:type="dxa"/>
            <w:vAlign w:val="bottom"/>
            <w:tcBorders>
              <w:left w:val="single" w:sz="8" w:color="377FA7"/>
            </w:tcBorders>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21"/>
                <w:szCs w:val="21"/>
                <w:color w:val="00004D"/>
              </w:rPr>
              <w:t>Code of Conduct</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00" w:type="dxa"/>
            <w:vAlign w:val="bottom"/>
            <w:tcBorders>
              <w:right w:val="single" w:sz="8" w:color="377FA7"/>
            </w:tcBorders>
          </w:tcPr>
          <w:p>
            <w:pPr>
              <w:spacing w:after="0"/>
              <w:rPr>
                <w:sz w:val="15"/>
                <w:szCs w:val="15"/>
                <w:color w:val="auto"/>
              </w:rPr>
            </w:pPr>
          </w:p>
        </w:tc>
        <w:tc>
          <w:tcPr>
            <w:tcW w:w="2580" w:type="dxa"/>
            <w:vAlign w:val="bottom"/>
            <w:gridSpan w:val="3"/>
            <w:vMerge w:val="continue"/>
          </w:tcPr>
          <w:p>
            <w:pPr>
              <w:spacing w:after="0"/>
              <w:rPr>
                <w:sz w:val="15"/>
                <w:szCs w:val="15"/>
                <w:color w:val="auto"/>
              </w:rPr>
            </w:pPr>
          </w:p>
        </w:tc>
        <w:tc>
          <w:tcPr>
            <w:tcW w:w="260" w:type="dxa"/>
            <w:vAlign w:val="bottom"/>
            <w:tcBorders>
              <w:left w:val="single" w:sz="8" w:color="377FA7"/>
            </w:tcBorders>
          </w:tcPr>
          <w:p>
            <w:pPr>
              <w:spacing w:after="0"/>
              <w:rPr>
                <w:sz w:val="15"/>
                <w:szCs w:val="15"/>
                <w:color w:val="auto"/>
              </w:rPr>
            </w:pPr>
          </w:p>
        </w:tc>
        <w:tc>
          <w:tcPr>
            <w:tcW w:w="3880" w:type="dxa"/>
            <w:vAlign w:val="bottom"/>
            <w:gridSpan w:val="4"/>
          </w:tcPr>
          <w:p>
            <w:pPr>
              <w:spacing w:after="0" w:line="173" w:lineRule="exact"/>
              <w:rPr>
                <w:sz w:val="20"/>
                <w:szCs w:val="20"/>
                <w:color w:val="auto"/>
              </w:rPr>
            </w:pPr>
            <w:r>
              <w:rPr>
                <w:rFonts w:ascii="Arial" w:cs="Arial" w:eastAsia="Arial" w:hAnsi="Arial"/>
                <w:sz w:val="18"/>
                <w:szCs w:val="18"/>
                <w:color w:val="auto"/>
              </w:rPr>
              <w:t>Establishes guidelines for all</w:t>
            </w:r>
          </w:p>
        </w:tc>
        <w:tc>
          <w:tcPr>
            <w:tcW w:w="0" w:type="dxa"/>
            <w:vAlign w:val="bottom"/>
          </w:tcPr>
          <w:p>
            <w:pPr>
              <w:spacing w:after="0"/>
              <w:rPr>
                <w:sz w:val="1"/>
                <w:szCs w:val="1"/>
                <w:color w:val="auto"/>
              </w:rPr>
            </w:pPr>
          </w:p>
        </w:tc>
      </w:tr>
      <w:tr>
        <w:trPr>
          <w:trHeight w:val="181"/>
        </w:trPr>
        <w:tc>
          <w:tcPr>
            <w:tcW w:w="1400" w:type="dxa"/>
            <w:vAlign w:val="bottom"/>
            <w:tcBorders>
              <w:right w:val="single" w:sz="8" w:color="377FA7"/>
            </w:tcBorders>
          </w:tcPr>
          <w:p>
            <w:pPr>
              <w:spacing w:after="0"/>
              <w:rPr>
                <w:sz w:val="15"/>
                <w:szCs w:val="15"/>
                <w:color w:val="auto"/>
              </w:rPr>
            </w:pPr>
          </w:p>
        </w:tc>
        <w:tc>
          <w:tcPr>
            <w:tcW w:w="2580" w:type="dxa"/>
            <w:vAlign w:val="bottom"/>
            <w:gridSpan w:val="3"/>
          </w:tcPr>
          <w:p>
            <w:pPr>
              <w:ind w:left="240"/>
              <w:spacing w:after="0" w:line="182" w:lineRule="exact"/>
              <w:rPr>
                <w:sz w:val="20"/>
                <w:szCs w:val="20"/>
                <w:color w:val="auto"/>
              </w:rPr>
            </w:pPr>
            <w:r>
              <w:rPr>
                <w:rFonts w:ascii="Arial" w:cs="Arial" w:eastAsia="Arial" w:hAnsi="Arial"/>
                <w:sz w:val="20"/>
                <w:szCs w:val="20"/>
                <w:color w:val="00004D"/>
              </w:rPr>
              <w:t>Government</w:t>
            </w:r>
          </w:p>
        </w:tc>
        <w:tc>
          <w:tcPr>
            <w:tcW w:w="260" w:type="dxa"/>
            <w:vAlign w:val="bottom"/>
            <w:tcBorders>
              <w:left w:val="single" w:sz="8" w:color="377FA7"/>
            </w:tcBorders>
          </w:tcPr>
          <w:p>
            <w:pPr>
              <w:spacing w:after="0"/>
              <w:rPr>
                <w:sz w:val="15"/>
                <w:szCs w:val="15"/>
                <w:color w:val="auto"/>
              </w:rPr>
            </w:pPr>
          </w:p>
        </w:tc>
        <w:tc>
          <w:tcPr>
            <w:tcW w:w="3880" w:type="dxa"/>
            <w:vAlign w:val="bottom"/>
            <w:gridSpan w:val="4"/>
          </w:tcPr>
          <w:p>
            <w:pPr>
              <w:spacing w:after="0" w:line="182" w:lineRule="exact"/>
              <w:rPr>
                <w:sz w:val="20"/>
                <w:szCs w:val="20"/>
                <w:color w:val="auto"/>
              </w:rPr>
            </w:pPr>
            <w:r>
              <w:rPr>
                <w:rFonts w:ascii="Arial" w:cs="Arial" w:eastAsia="Arial" w:hAnsi="Arial"/>
                <w:sz w:val="18"/>
                <w:szCs w:val="18"/>
                <w:color w:val="auto"/>
              </w:rPr>
              <w:t>Board members and employees</w:t>
            </w:r>
          </w:p>
        </w:tc>
        <w:tc>
          <w:tcPr>
            <w:tcW w:w="0" w:type="dxa"/>
            <w:vAlign w:val="bottom"/>
          </w:tcPr>
          <w:p>
            <w:pPr>
              <w:spacing w:after="0"/>
              <w:rPr>
                <w:sz w:val="1"/>
                <w:szCs w:val="1"/>
                <w:color w:val="auto"/>
              </w:rPr>
            </w:pPr>
          </w:p>
        </w:tc>
      </w:tr>
      <w:tr>
        <w:trPr>
          <w:trHeight w:val="186"/>
        </w:trPr>
        <w:tc>
          <w:tcPr>
            <w:tcW w:w="1400" w:type="dxa"/>
            <w:vAlign w:val="bottom"/>
            <w:tcBorders>
              <w:right w:val="single" w:sz="8" w:color="377FA7"/>
            </w:tcBorders>
          </w:tcPr>
          <w:p>
            <w:pPr>
              <w:ind w:left="20"/>
              <w:spacing w:after="0" w:line="186" w:lineRule="exact"/>
              <w:rPr>
                <w:sz w:val="20"/>
                <w:szCs w:val="20"/>
                <w:color w:val="auto"/>
              </w:rPr>
            </w:pPr>
            <w:r>
              <w:rPr>
                <w:rFonts w:ascii="Arial" w:cs="Arial" w:eastAsia="Arial" w:hAnsi="Arial"/>
                <w:sz w:val="18"/>
                <w:szCs w:val="18"/>
                <w:color w:val="00004D"/>
              </w:rPr>
              <w:t>Board</w:t>
            </w:r>
          </w:p>
        </w:tc>
        <w:tc>
          <w:tcPr>
            <w:tcW w:w="2580" w:type="dxa"/>
            <w:vAlign w:val="bottom"/>
            <w:gridSpan w:val="3"/>
          </w:tcPr>
          <w:p>
            <w:pPr>
              <w:ind w:left="240"/>
              <w:spacing w:after="0" w:line="185" w:lineRule="exact"/>
              <w:rPr>
                <w:sz w:val="20"/>
                <w:szCs w:val="20"/>
                <w:color w:val="auto"/>
              </w:rPr>
            </w:pPr>
            <w:r>
              <w:rPr>
                <w:rFonts w:ascii="Arial" w:cs="Arial" w:eastAsia="Arial" w:hAnsi="Arial"/>
                <w:sz w:val="20"/>
                <w:szCs w:val="20"/>
                <w:color w:val="00004D"/>
              </w:rPr>
              <w:t>Relations</w:t>
            </w:r>
          </w:p>
        </w:tc>
        <w:tc>
          <w:tcPr>
            <w:tcW w:w="260" w:type="dxa"/>
            <w:vAlign w:val="bottom"/>
            <w:tcBorders>
              <w:left w:val="single" w:sz="8" w:color="377FA7"/>
            </w:tcBorders>
          </w:tcPr>
          <w:p>
            <w:pPr>
              <w:spacing w:after="0"/>
              <w:rPr>
                <w:sz w:val="16"/>
                <w:szCs w:val="16"/>
                <w:color w:val="auto"/>
              </w:rPr>
            </w:pPr>
          </w:p>
        </w:tc>
        <w:tc>
          <w:tcPr>
            <w:tcW w:w="1420" w:type="dxa"/>
            <w:vAlign w:val="bottom"/>
            <w:tcBorders>
              <w:bottom w:val="single" w:sz="8" w:color="377FA7"/>
            </w:tcBorders>
          </w:tcPr>
          <w:p>
            <w:pPr>
              <w:spacing w:after="0"/>
              <w:rPr>
                <w:sz w:val="16"/>
                <w:szCs w:val="16"/>
                <w:color w:val="auto"/>
              </w:rPr>
            </w:pPr>
          </w:p>
        </w:tc>
        <w:tc>
          <w:tcPr>
            <w:tcW w:w="440" w:type="dxa"/>
            <w:vAlign w:val="bottom"/>
            <w:tcBorders>
              <w:bottom w:val="single" w:sz="8" w:color="377FA7"/>
            </w:tcBorders>
          </w:tcPr>
          <w:p>
            <w:pPr>
              <w:spacing w:after="0"/>
              <w:rPr>
                <w:sz w:val="16"/>
                <w:szCs w:val="16"/>
                <w:color w:val="auto"/>
              </w:rPr>
            </w:pPr>
          </w:p>
        </w:tc>
        <w:tc>
          <w:tcPr>
            <w:tcW w:w="20" w:type="dxa"/>
            <w:vAlign w:val="bottom"/>
            <w:tcBorders>
              <w:bottom w:val="single" w:sz="8" w:color="377FA7"/>
            </w:tcBorders>
          </w:tcPr>
          <w:p>
            <w:pPr>
              <w:spacing w:after="0"/>
              <w:rPr>
                <w:sz w:val="16"/>
                <w:szCs w:val="16"/>
                <w:color w:val="auto"/>
              </w:rPr>
            </w:pPr>
          </w:p>
        </w:tc>
        <w:tc>
          <w:tcPr>
            <w:tcW w:w="2000" w:type="dxa"/>
            <w:vAlign w:val="bottom"/>
            <w:tcBorders>
              <w:bottom w:val="single" w:sz="8" w:color="377FA7"/>
            </w:tcBorders>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1400" w:type="dxa"/>
            <w:vAlign w:val="bottom"/>
            <w:tcBorders>
              <w:right w:val="single" w:sz="8" w:color="377FA7"/>
            </w:tcBorders>
            <w:vMerge w:val="restart"/>
          </w:tcPr>
          <w:p>
            <w:pPr>
              <w:ind w:left="20"/>
              <w:spacing w:after="0" w:line="153" w:lineRule="exact"/>
              <w:rPr>
                <w:sz w:val="20"/>
                <w:szCs w:val="20"/>
                <w:color w:val="auto"/>
              </w:rPr>
            </w:pPr>
            <w:r>
              <w:rPr>
                <w:rFonts w:ascii="Arial" w:cs="Arial" w:eastAsia="Arial" w:hAnsi="Arial"/>
                <w:sz w:val="17"/>
                <w:szCs w:val="17"/>
                <w:color w:val="00004D"/>
              </w:rPr>
              <w:t>Meeting</w:t>
            </w:r>
          </w:p>
        </w:tc>
        <w:tc>
          <w:tcPr>
            <w:tcW w:w="240" w:type="dxa"/>
            <w:vAlign w:val="bottom"/>
          </w:tcPr>
          <w:p>
            <w:pPr>
              <w:spacing w:after="0"/>
              <w:rPr>
                <w:sz w:val="9"/>
                <w:szCs w:val="9"/>
                <w:color w:val="auto"/>
              </w:rPr>
            </w:pPr>
          </w:p>
        </w:tc>
        <w:tc>
          <w:tcPr>
            <w:tcW w:w="1420" w:type="dxa"/>
            <w:vAlign w:val="bottom"/>
            <w:tcBorders>
              <w:bottom w:val="single" w:sz="8" w:color="377FA7"/>
            </w:tcBorders>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Borders>
              <w:left w:val="single" w:sz="8" w:color="377FA7"/>
            </w:tcBorders>
          </w:tcPr>
          <w:p>
            <w:pPr>
              <w:spacing w:after="0"/>
              <w:rPr>
                <w:sz w:val="9"/>
                <w:szCs w:val="9"/>
                <w:color w:val="auto"/>
              </w:rPr>
            </w:pPr>
          </w:p>
        </w:tc>
        <w:tc>
          <w:tcPr>
            <w:tcW w:w="1860" w:type="dxa"/>
            <w:vAlign w:val="bottom"/>
            <w:gridSpan w:val="2"/>
            <w:vMerge w:val="restart"/>
          </w:tcPr>
          <w:p>
            <w:pPr>
              <w:spacing w:after="0"/>
              <w:rPr>
                <w:sz w:val="20"/>
                <w:szCs w:val="20"/>
                <w:color w:val="auto"/>
              </w:rPr>
            </w:pPr>
            <w:r>
              <w:rPr>
                <w:rFonts w:ascii="Arial" w:cs="Arial" w:eastAsia="Arial" w:hAnsi="Arial"/>
                <w:sz w:val="21"/>
                <w:szCs w:val="21"/>
                <w:color w:val="00004D"/>
              </w:rPr>
              <w:t>Ethical Marketing</w:t>
            </w:r>
          </w:p>
        </w:tc>
        <w:tc>
          <w:tcPr>
            <w:tcW w:w="20" w:type="dxa"/>
            <w:vAlign w:val="bottom"/>
          </w:tcPr>
          <w:p>
            <w:pPr>
              <w:spacing w:after="0"/>
              <w:rPr>
                <w:sz w:val="9"/>
                <w:szCs w:val="9"/>
                <w:color w:val="auto"/>
              </w:rPr>
            </w:pPr>
          </w:p>
        </w:tc>
        <w:tc>
          <w:tcPr>
            <w:tcW w:w="2000" w:type="dxa"/>
            <w:vAlign w:val="bottom"/>
            <w:vMerge w:val="restart"/>
          </w:tcPr>
          <w:p>
            <w:pPr>
              <w:ind w:left="180"/>
              <w:spacing w:after="0"/>
              <w:rPr>
                <w:sz w:val="20"/>
                <w:szCs w:val="20"/>
                <w:color w:val="auto"/>
              </w:rPr>
            </w:pPr>
            <w:r>
              <w:rPr>
                <w:rFonts w:ascii="Arial" w:cs="Arial" w:eastAsia="Arial" w:hAnsi="Arial"/>
                <w:sz w:val="18"/>
                <w:szCs w:val="18"/>
                <w:color w:val="00004D"/>
              </w:rPr>
              <w:t>Health Care</w:t>
            </w:r>
          </w:p>
        </w:tc>
        <w:tc>
          <w:tcPr>
            <w:tcW w:w="0" w:type="dxa"/>
            <w:vAlign w:val="bottom"/>
          </w:tcPr>
          <w:p>
            <w:pPr>
              <w:spacing w:after="0"/>
              <w:rPr>
                <w:sz w:val="1"/>
                <w:szCs w:val="1"/>
                <w:color w:val="auto"/>
              </w:rPr>
            </w:pPr>
          </w:p>
        </w:tc>
      </w:tr>
      <w:tr>
        <w:trPr>
          <w:trHeight w:val="20"/>
        </w:trPr>
        <w:tc>
          <w:tcPr>
            <w:tcW w:w="1400" w:type="dxa"/>
            <w:vAlign w:val="bottom"/>
            <w:tcBorders>
              <w:right w:val="single" w:sz="8" w:color="377FA7"/>
            </w:tcBorders>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left w:val="single" w:sz="8" w:color="377FA7"/>
            </w:tcBorders>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0" w:type="dxa"/>
            <w:vAlign w:val="bottom"/>
            <w:tcBorders>
              <w:right w:val="single" w:sz="8" w:color="377FA7"/>
            </w:tcBorders>
          </w:tcPr>
          <w:p>
            <w:pPr>
              <w:ind w:left="20"/>
              <w:spacing w:after="0" w:line="188" w:lineRule="exact"/>
              <w:rPr>
                <w:sz w:val="20"/>
                <w:szCs w:val="20"/>
                <w:color w:val="auto"/>
              </w:rPr>
            </w:pPr>
            <w:r>
              <w:rPr>
                <w:rFonts w:ascii="Arial" w:cs="Arial" w:eastAsia="Arial" w:hAnsi="Arial"/>
                <w:sz w:val="18"/>
                <w:szCs w:val="18"/>
                <w:color w:val="00004D"/>
              </w:rPr>
              <w:t>Attendance</w:t>
            </w:r>
          </w:p>
        </w:tc>
        <w:tc>
          <w:tcPr>
            <w:tcW w:w="2580" w:type="dxa"/>
            <w:vAlign w:val="bottom"/>
            <w:gridSpan w:val="3"/>
            <w:vMerge w:val="restart"/>
          </w:tcPr>
          <w:p>
            <w:pPr>
              <w:ind w:left="240"/>
              <w:spacing w:after="0"/>
              <w:rPr>
                <w:sz w:val="20"/>
                <w:szCs w:val="20"/>
                <w:color w:val="auto"/>
              </w:rPr>
            </w:pPr>
            <w:r>
              <w:rPr>
                <w:rFonts w:ascii="Arial" w:cs="Arial" w:eastAsia="Arial" w:hAnsi="Arial"/>
                <w:sz w:val="21"/>
                <w:szCs w:val="21"/>
                <w:color w:val="00004D"/>
              </w:rPr>
              <w:t>Cumberland Health &amp;</w:t>
            </w:r>
          </w:p>
        </w:tc>
        <w:tc>
          <w:tcPr>
            <w:tcW w:w="260" w:type="dxa"/>
            <w:vAlign w:val="bottom"/>
            <w:tcBorders>
              <w:left w:val="single" w:sz="8" w:color="377FA7"/>
            </w:tcBorders>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 w:type="dxa"/>
            <w:vAlign w:val="bottom"/>
            <w:shd w:val="clear" w:color="auto" w:fill="377FA7"/>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0" w:type="dxa"/>
            <w:vAlign w:val="bottom"/>
            <w:tcBorders>
              <w:right w:val="single" w:sz="8" w:color="377FA7"/>
            </w:tcBorders>
            <w:vMerge w:val="restart"/>
          </w:tcPr>
          <w:p>
            <w:pPr>
              <w:spacing w:after="0" w:line="593" w:lineRule="exact"/>
              <w:rPr>
                <w:sz w:val="20"/>
                <w:szCs w:val="20"/>
                <w:color w:val="auto"/>
              </w:rPr>
            </w:pPr>
            <w:r>
              <w:rPr>
                <w:rFonts w:ascii="Arial" w:cs="Arial" w:eastAsia="Arial" w:hAnsi="Arial"/>
                <w:sz w:val="55"/>
                <w:szCs w:val="55"/>
                <w:color w:val="377FA7"/>
              </w:rPr>
              <w:t>100</w:t>
            </w:r>
            <w:r>
              <w:rPr>
                <w:rFonts w:ascii="Arial" w:cs="Arial" w:eastAsia="Arial" w:hAnsi="Arial"/>
                <w:sz w:val="34"/>
                <w:szCs w:val="34"/>
                <w:color w:val="00004D"/>
              </w:rPr>
              <w:t>%</w:t>
            </w:r>
          </w:p>
        </w:tc>
        <w:tc>
          <w:tcPr>
            <w:tcW w:w="2580" w:type="dxa"/>
            <w:vAlign w:val="bottom"/>
            <w:gridSpan w:val="3"/>
            <w:vMerge w:val="continue"/>
          </w:tcPr>
          <w:p>
            <w:pPr>
              <w:spacing w:after="0"/>
              <w:rPr>
                <w:sz w:val="15"/>
                <w:szCs w:val="15"/>
                <w:color w:val="auto"/>
              </w:rPr>
            </w:pPr>
          </w:p>
        </w:tc>
        <w:tc>
          <w:tcPr>
            <w:tcW w:w="260" w:type="dxa"/>
            <w:vAlign w:val="bottom"/>
            <w:tcBorders>
              <w:left w:val="single" w:sz="8" w:color="377FA7"/>
            </w:tcBorders>
          </w:tcPr>
          <w:p>
            <w:pPr>
              <w:spacing w:after="0"/>
              <w:rPr>
                <w:sz w:val="15"/>
                <w:szCs w:val="15"/>
                <w:color w:val="auto"/>
              </w:rPr>
            </w:pPr>
          </w:p>
        </w:tc>
        <w:tc>
          <w:tcPr>
            <w:tcW w:w="1860" w:type="dxa"/>
            <w:vAlign w:val="bottom"/>
            <w:gridSpan w:val="2"/>
          </w:tcPr>
          <w:p>
            <w:pPr>
              <w:spacing w:after="0" w:line="182" w:lineRule="exact"/>
              <w:rPr>
                <w:sz w:val="20"/>
                <w:szCs w:val="20"/>
                <w:color w:val="auto"/>
              </w:rPr>
            </w:pPr>
            <w:r>
              <w:rPr>
                <w:rFonts w:ascii="Arial" w:cs="Arial" w:eastAsia="Arial" w:hAnsi="Arial"/>
                <w:sz w:val="18"/>
                <w:szCs w:val="18"/>
                <w:color w:val="auto"/>
              </w:rPr>
              <w:t>No government</w:t>
            </w:r>
          </w:p>
        </w:tc>
        <w:tc>
          <w:tcPr>
            <w:tcW w:w="20" w:type="dxa"/>
            <w:vAlign w:val="bottom"/>
            <w:shd w:val="clear" w:color="auto" w:fill="377FA7"/>
          </w:tcPr>
          <w:p>
            <w:pPr>
              <w:spacing w:after="0"/>
              <w:rPr>
                <w:sz w:val="15"/>
                <w:szCs w:val="15"/>
                <w:color w:val="auto"/>
              </w:rPr>
            </w:pPr>
          </w:p>
        </w:tc>
        <w:tc>
          <w:tcPr>
            <w:tcW w:w="2000" w:type="dxa"/>
            <w:vAlign w:val="bottom"/>
          </w:tcPr>
          <w:p>
            <w:pPr>
              <w:ind w:left="180"/>
              <w:spacing w:after="0" w:line="182" w:lineRule="exact"/>
              <w:rPr>
                <w:sz w:val="20"/>
                <w:szCs w:val="20"/>
                <w:color w:val="auto"/>
              </w:rPr>
            </w:pPr>
            <w:r>
              <w:rPr>
                <w:rFonts w:ascii="Arial" w:cs="Arial" w:eastAsia="Arial" w:hAnsi="Arial"/>
                <w:sz w:val="18"/>
                <w:szCs w:val="18"/>
                <w:color w:val="00004D"/>
              </w:rPr>
              <w:t>Professionals</w:t>
            </w:r>
          </w:p>
        </w:tc>
        <w:tc>
          <w:tcPr>
            <w:tcW w:w="0" w:type="dxa"/>
            <w:vAlign w:val="bottom"/>
          </w:tcPr>
          <w:p>
            <w:pPr>
              <w:spacing w:after="0"/>
              <w:rPr>
                <w:sz w:val="1"/>
                <w:szCs w:val="1"/>
                <w:color w:val="auto"/>
              </w:rPr>
            </w:pPr>
          </w:p>
        </w:tc>
      </w:tr>
      <w:tr>
        <w:trPr>
          <w:trHeight w:val="181"/>
        </w:trPr>
        <w:tc>
          <w:tcPr>
            <w:tcW w:w="1400" w:type="dxa"/>
            <w:vAlign w:val="bottom"/>
            <w:tcBorders>
              <w:right w:val="single" w:sz="8" w:color="377FA7"/>
            </w:tcBorders>
            <w:vMerge w:val="continue"/>
          </w:tcPr>
          <w:p>
            <w:pPr>
              <w:spacing w:after="0"/>
              <w:rPr>
                <w:sz w:val="15"/>
                <w:szCs w:val="15"/>
                <w:color w:val="auto"/>
              </w:rPr>
            </w:pPr>
          </w:p>
        </w:tc>
        <w:tc>
          <w:tcPr>
            <w:tcW w:w="2580" w:type="dxa"/>
            <w:vAlign w:val="bottom"/>
            <w:gridSpan w:val="3"/>
          </w:tcPr>
          <w:p>
            <w:pPr>
              <w:ind w:left="240"/>
              <w:spacing w:after="0" w:line="182" w:lineRule="exact"/>
              <w:rPr>
                <w:sz w:val="20"/>
                <w:szCs w:val="20"/>
                <w:color w:val="auto"/>
              </w:rPr>
            </w:pPr>
            <w:r>
              <w:rPr>
                <w:rFonts w:ascii="Arial" w:cs="Arial" w:eastAsia="Arial" w:hAnsi="Arial"/>
                <w:sz w:val="21"/>
                <w:szCs w:val="21"/>
                <w:color w:val="00004D"/>
              </w:rPr>
              <w:t>Wellness PAC</w:t>
            </w:r>
          </w:p>
        </w:tc>
        <w:tc>
          <w:tcPr>
            <w:tcW w:w="260" w:type="dxa"/>
            <w:vAlign w:val="bottom"/>
            <w:tcBorders>
              <w:left w:val="single" w:sz="8" w:color="377FA7"/>
            </w:tcBorders>
          </w:tcPr>
          <w:p>
            <w:pPr>
              <w:spacing w:after="0"/>
              <w:rPr>
                <w:sz w:val="15"/>
                <w:szCs w:val="15"/>
                <w:color w:val="auto"/>
              </w:rPr>
            </w:pPr>
          </w:p>
        </w:tc>
        <w:tc>
          <w:tcPr>
            <w:tcW w:w="1860" w:type="dxa"/>
            <w:vAlign w:val="bottom"/>
            <w:gridSpan w:val="2"/>
          </w:tcPr>
          <w:p>
            <w:pPr>
              <w:spacing w:after="0" w:line="182" w:lineRule="exact"/>
              <w:rPr>
                <w:sz w:val="20"/>
                <w:szCs w:val="20"/>
                <w:color w:val="auto"/>
              </w:rPr>
            </w:pPr>
            <w:r>
              <w:rPr>
                <w:rFonts w:ascii="Arial" w:cs="Arial" w:eastAsia="Arial" w:hAnsi="Arial"/>
                <w:sz w:val="18"/>
                <w:szCs w:val="18"/>
                <w:color w:val="auto"/>
              </w:rPr>
              <w:t>judgments, decrees</w:t>
            </w:r>
          </w:p>
        </w:tc>
        <w:tc>
          <w:tcPr>
            <w:tcW w:w="20" w:type="dxa"/>
            <w:vAlign w:val="bottom"/>
            <w:shd w:val="clear" w:color="auto" w:fill="377FA7"/>
          </w:tcPr>
          <w:p>
            <w:pPr>
              <w:spacing w:after="0"/>
              <w:rPr>
                <w:sz w:val="15"/>
                <w:szCs w:val="15"/>
                <w:color w:val="auto"/>
              </w:rPr>
            </w:pPr>
          </w:p>
        </w:tc>
        <w:tc>
          <w:tcPr>
            <w:tcW w:w="2000" w:type="dxa"/>
            <w:vAlign w:val="bottom"/>
          </w:tcPr>
          <w:p>
            <w:pPr>
              <w:ind w:left="180"/>
              <w:spacing w:after="0" w:line="182" w:lineRule="exact"/>
              <w:rPr>
                <w:sz w:val="20"/>
                <w:szCs w:val="20"/>
                <w:color w:val="auto"/>
              </w:rPr>
            </w:pPr>
            <w:r>
              <w:rPr>
                <w:rFonts w:ascii="Arial" w:cs="Arial" w:eastAsia="Arial" w:hAnsi="Arial"/>
                <w:sz w:val="18"/>
                <w:szCs w:val="18"/>
                <w:color w:val="auto"/>
              </w:rPr>
              <w:t>All reports regarding</w:t>
            </w:r>
          </w:p>
        </w:tc>
        <w:tc>
          <w:tcPr>
            <w:tcW w:w="0" w:type="dxa"/>
            <w:vAlign w:val="bottom"/>
          </w:tcPr>
          <w:p>
            <w:pPr>
              <w:spacing w:after="0"/>
              <w:rPr>
                <w:sz w:val="1"/>
                <w:szCs w:val="1"/>
                <w:color w:val="auto"/>
              </w:rPr>
            </w:pPr>
          </w:p>
        </w:tc>
      </w:tr>
      <w:tr>
        <w:trPr>
          <w:trHeight w:val="183"/>
        </w:trPr>
        <w:tc>
          <w:tcPr>
            <w:tcW w:w="1400" w:type="dxa"/>
            <w:vAlign w:val="bottom"/>
            <w:tcBorders>
              <w:right w:val="single" w:sz="8" w:color="377FA7"/>
            </w:tcBorders>
            <w:vMerge w:val="continue"/>
          </w:tcPr>
          <w:p>
            <w:pPr>
              <w:spacing w:after="0"/>
              <w:rPr>
                <w:sz w:val="15"/>
                <w:szCs w:val="15"/>
                <w:color w:val="auto"/>
              </w:rPr>
            </w:pPr>
          </w:p>
        </w:tc>
        <w:tc>
          <w:tcPr>
            <w:tcW w:w="2580" w:type="dxa"/>
            <w:vAlign w:val="bottom"/>
            <w:gridSpan w:val="3"/>
            <w:vMerge w:val="restart"/>
          </w:tcPr>
          <w:p>
            <w:pPr>
              <w:ind w:left="240"/>
              <w:spacing w:after="0"/>
              <w:rPr>
                <w:sz w:val="20"/>
                <w:szCs w:val="20"/>
                <w:color w:val="auto"/>
              </w:rPr>
            </w:pPr>
            <w:r>
              <w:rPr>
                <w:rFonts w:ascii="Arial" w:cs="Arial" w:eastAsia="Arial" w:hAnsi="Arial"/>
                <w:sz w:val="18"/>
                <w:szCs w:val="18"/>
                <w:color w:val="auto"/>
              </w:rPr>
              <w:t>Supports candidates,</w:t>
            </w:r>
          </w:p>
        </w:tc>
        <w:tc>
          <w:tcPr>
            <w:tcW w:w="260" w:type="dxa"/>
            <w:vAlign w:val="bottom"/>
            <w:tcBorders>
              <w:left w:val="single" w:sz="8" w:color="377FA7"/>
            </w:tcBorders>
          </w:tcPr>
          <w:p>
            <w:pPr>
              <w:spacing w:after="0"/>
              <w:rPr>
                <w:sz w:val="15"/>
                <w:szCs w:val="15"/>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rPr>
              <w:t>or fines</w:t>
            </w:r>
          </w:p>
        </w:tc>
        <w:tc>
          <w:tcPr>
            <w:tcW w:w="20" w:type="dxa"/>
            <w:vAlign w:val="bottom"/>
            <w:shd w:val="clear" w:color="auto" w:fill="377FA7"/>
          </w:tcPr>
          <w:p>
            <w:pPr>
              <w:spacing w:after="0"/>
              <w:rPr>
                <w:sz w:val="15"/>
                <w:szCs w:val="15"/>
                <w:color w:val="auto"/>
              </w:rPr>
            </w:pPr>
          </w:p>
        </w:tc>
        <w:tc>
          <w:tcPr>
            <w:tcW w:w="2000" w:type="dxa"/>
            <w:vAlign w:val="bottom"/>
            <w:vMerge w:val="restart"/>
          </w:tcPr>
          <w:p>
            <w:pPr>
              <w:ind w:left="180"/>
              <w:spacing w:after="0"/>
              <w:rPr>
                <w:sz w:val="20"/>
                <w:szCs w:val="20"/>
                <w:color w:val="auto"/>
              </w:rPr>
            </w:pPr>
            <w:r>
              <w:rPr>
                <w:rFonts w:ascii="Arial" w:cs="Arial" w:eastAsia="Arial" w:hAnsi="Arial"/>
                <w:sz w:val="18"/>
                <w:szCs w:val="18"/>
                <w:color w:val="auto"/>
              </w:rPr>
              <w:t>relations filed on time</w:t>
            </w:r>
          </w:p>
        </w:tc>
        <w:tc>
          <w:tcPr>
            <w:tcW w:w="0" w:type="dxa"/>
            <w:vAlign w:val="bottom"/>
          </w:tcPr>
          <w:p>
            <w:pPr>
              <w:spacing w:after="0"/>
              <w:rPr>
                <w:sz w:val="1"/>
                <w:szCs w:val="1"/>
                <w:color w:val="auto"/>
              </w:rPr>
            </w:pPr>
          </w:p>
        </w:tc>
      </w:tr>
      <w:tr>
        <w:trPr>
          <w:trHeight w:val="49"/>
        </w:trPr>
        <w:tc>
          <w:tcPr>
            <w:tcW w:w="1400" w:type="dxa"/>
            <w:vAlign w:val="bottom"/>
            <w:tcBorders>
              <w:right w:val="single" w:sz="8" w:color="377FA7"/>
            </w:tcBorders>
            <w:vMerge w:val="continue"/>
          </w:tcPr>
          <w:p>
            <w:pPr>
              <w:spacing w:after="0"/>
              <w:rPr>
                <w:sz w:val="4"/>
                <w:szCs w:val="4"/>
                <w:color w:val="auto"/>
              </w:rPr>
            </w:pPr>
          </w:p>
        </w:tc>
        <w:tc>
          <w:tcPr>
            <w:tcW w:w="2580" w:type="dxa"/>
            <w:vAlign w:val="bottom"/>
            <w:gridSpan w:val="3"/>
            <w:vMerge w:val="continue"/>
          </w:tcPr>
          <w:p>
            <w:pPr>
              <w:spacing w:after="0"/>
              <w:rPr>
                <w:sz w:val="4"/>
                <w:szCs w:val="4"/>
                <w:color w:val="auto"/>
              </w:rPr>
            </w:pPr>
          </w:p>
        </w:tc>
        <w:tc>
          <w:tcPr>
            <w:tcW w:w="260" w:type="dxa"/>
            <w:vAlign w:val="bottom"/>
            <w:tcBorders>
              <w:left w:val="single" w:sz="8" w:color="377FA7"/>
            </w:tcBorders>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400" w:type="dxa"/>
            <w:vAlign w:val="bottom"/>
            <w:tcBorders>
              <w:right w:val="single" w:sz="8" w:color="377FA7"/>
            </w:tcBorders>
          </w:tcPr>
          <w:p>
            <w:pPr>
              <w:spacing w:after="0"/>
              <w:rPr>
                <w:sz w:val="17"/>
                <w:szCs w:val="17"/>
                <w:color w:val="auto"/>
              </w:rPr>
            </w:pPr>
          </w:p>
        </w:tc>
        <w:tc>
          <w:tcPr>
            <w:tcW w:w="2580" w:type="dxa"/>
            <w:vAlign w:val="bottom"/>
            <w:gridSpan w:val="3"/>
          </w:tcPr>
          <w:p>
            <w:pPr>
              <w:ind w:left="240"/>
              <w:spacing w:after="0" w:line="204" w:lineRule="exact"/>
              <w:rPr>
                <w:sz w:val="20"/>
                <w:szCs w:val="20"/>
                <w:color w:val="auto"/>
              </w:rPr>
            </w:pPr>
            <w:r>
              <w:rPr>
                <w:rFonts w:ascii="Arial" w:cs="Arial" w:eastAsia="Arial" w:hAnsi="Arial"/>
                <w:sz w:val="18"/>
                <w:szCs w:val="18"/>
                <w:color w:val="auto"/>
              </w:rPr>
              <w:t>elected officials, and</w:t>
            </w:r>
          </w:p>
        </w:tc>
        <w:tc>
          <w:tcPr>
            <w:tcW w:w="260" w:type="dxa"/>
            <w:vAlign w:val="bottom"/>
            <w:tcBorders>
              <w:left w:val="single" w:sz="8" w:color="377FA7"/>
            </w:tcBorders>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400" w:type="dxa"/>
            <w:vAlign w:val="bottom"/>
            <w:tcBorders>
              <w:right w:val="single" w:sz="8" w:color="377FA7"/>
            </w:tcBorders>
          </w:tcPr>
          <w:p>
            <w:pPr>
              <w:spacing w:after="0"/>
              <w:rPr>
                <w:sz w:val="12"/>
                <w:szCs w:val="12"/>
                <w:color w:val="auto"/>
              </w:rPr>
            </w:pPr>
          </w:p>
        </w:tc>
        <w:tc>
          <w:tcPr>
            <w:tcW w:w="2580" w:type="dxa"/>
            <w:vAlign w:val="bottom"/>
            <w:gridSpan w:val="3"/>
            <w:vMerge w:val="restart"/>
          </w:tcPr>
          <w:p>
            <w:pPr>
              <w:ind w:left="240"/>
              <w:spacing w:after="0" w:line="183" w:lineRule="exact"/>
              <w:rPr>
                <w:sz w:val="20"/>
                <w:szCs w:val="20"/>
                <w:color w:val="auto"/>
              </w:rPr>
            </w:pPr>
            <w:r>
              <w:rPr>
                <w:rFonts w:ascii="Arial" w:cs="Arial" w:eastAsia="Arial" w:hAnsi="Arial"/>
                <w:sz w:val="18"/>
                <w:szCs w:val="18"/>
                <w:color w:val="auto"/>
              </w:rPr>
              <w:t>relevant legislation</w:t>
            </w:r>
          </w:p>
        </w:tc>
        <w:tc>
          <w:tcPr>
            <w:tcW w:w="260" w:type="dxa"/>
            <w:vAlign w:val="bottom"/>
            <w:tcBorders>
              <w:left w:val="single" w:sz="8" w:color="377FA7"/>
            </w:tcBorders>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25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5219700</wp:posOffset>
                </wp:positionH>
                <wp:positionV relativeFrom="paragraph">
                  <wp:posOffset>-39370</wp:posOffset>
                </wp:positionV>
                <wp:extent cx="457200" cy="23749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237490"/>
                        </a:xfrm>
                        <a:prstGeom prst="rect">
                          <a:avLst/>
                        </a:prstGeom>
                        <a:solidFill>
                          <a:srgbClr val="377FA7"/>
                        </a:solidFill>
                      </wps:spPr>
                      <wps:bodyPr/>
                    </wps:wsp>
                  </a:graphicData>
                </a:graphic>
              </wp:anchor>
            </w:drawing>
          </mc:Choice>
          <mc:Fallback>
            <w:pict>
              <v:rect id="Shape 51" o:spid="_x0000_s1076" style="position:absolute;margin-left:411pt;margin-top:-3.0999pt;width:36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77FA7" stroked="f"/>
            </w:pict>
          </mc:Fallback>
        </mc:AlternateContent>
      </w:r>
    </w:p>
    <w:p>
      <w:pPr>
        <w:spacing w:after="0" w:line="1" w:lineRule="exact"/>
        <w:rPr>
          <w:sz w:val="20"/>
          <w:szCs w:val="20"/>
          <w:color w:val="auto"/>
        </w:rPr>
      </w:pPr>
    </w:p>
    <w:p>
      <w:pPr>
        <w:sectPr>
          <w:pgSz w:w="24480" w:h="15840" w:orient="landscape"/>
          <w:cols w:equalWidth="0" w:num="2">
            <w:col w:w="14820" w:space="340"/>
            <w:col w:w="8500"/>
          </w:cols>
          <w:pgMar w:left="380" w:top="995" w:right="440" w:bottom="0" w:gutter="0" w:footer="0" w:header="0"/>
          <w:type w:val="continuous"/>
        </w:sectPr>
      </w:pPr>
    </w:p>
    <w:p>
      <w:pPr>
        <w:spacing w:after="0"/>
        <w:tabs>
          <w:tab w:leader="none" w:pos="440" w:val="left"/>
          <w:tab w:leader="none" w:pos="21420" w:val="left"/>
          <w:tab w:leader="none" w:pos="23460" w:val="left"/>
        </w:tabs>
        <w:rPr>
          <w:sz w:val="20"/>
          <w:szCs w:val="20"/>
          <w:color w:val="auto"/>
        </w:rPr>
      </w:pPr>
      <w:r>
        <w:rPr>
          <w:rFonts w:ascii="Arial" w:cs="Arial" w:eastAsia="Arial" w:hAnsi="Arial"/>
          <w:sz w:val="20"/>
          <w:szCs w:val="20"/>
          <w:color w:val="00004D"/>
        </w:rPr>
        <w:t>10</w:t>
      </w:r>
      <w:r>
        <w:rPr>
          <w:sz w:val="20"/>
          <w:szCs w:val="20"/>
          <w:color w:val="auto"/>
        </w:rPr>
        <w:tab/>
      </w:r>
      <w:r>
        <w:rPr>
          <w:rFonts w:ascii="Arial" w:cs="Arial" w:eastAsia="Arial" w:hAnsi="Arial"/>
          <w:sz w:val="16"/>
          <w:szCs w:val="16"/>
          <w:color w:val="00004D"/>
        </w:rPr>
        <w:t xml:space="preserve">Cumberland Pharmaceuticals — </w:t>
      </w:r>
      <w:r>
        <w:rPr>
          <w:rFonts w:ascii="Arial" w:cs="Arial" w:eastAsia="Arial" w:hAnsi="Arial"/>
          <w:sz w:val="16"/>
          <w:szCs w:val="16"/>
          <w:color w:val="FFFFFF"/>
        </w:rPr>
        <w:t>Quality Medicines to Enhance Patients’ Quality of Life</w:t>
      </w:r>
      <w:r>
        <w:rPr>
          <w:sz w:val="20"/>
          <w:szCs w:val="20"/>
          <w:color w:val="auto"/>
        </w:rPr>
        <w:tab/>
      </w:r>
      <w:r>
        <w:rPr>
          <w:rFonts w:ascii="Arial" w:cs="Arial" w:eastAsia="Arial" w:hAnsi="Arial"/>
          <w:sz w:val="16"/>
          <w:szCs w:val="16"/>
          <w:color w:val="00004D"/>
        </w:rPr>
        <w:t>2022 Annual Report</w:t>
      </w:r>
      <w:r>
        <w:rPr>
          <w:sz w:val="20"/>
          <w:szCs w:val="20"/>
          <w:color w:val="auto"/>
        </w:rPr>
        <w:tab/>
      </w:r>
      <w:r>
        <w:rPr>
          <w:rFonts w:ascii="Arial" w:cs="Arial" w:eastAsia="Arial" w:hAnsi="Arial"/>
          <w:sz w:val="16"/>
          <w:szCs w:val="16"/>
          <w:color w:val="00004D"/>
        </w:rPr>
        <w:t>11</w:t>
      </w:r>
    </w:p>
    <w:p>
      <w:pPr>
        <w:sectPr>
          <w:pgSz w:w="24480" w:h="15840" w:orient="landscape"/>
          <w:cols w:equalWidth="0" w:num="1">
            <w:col w:w="23660"/>
          </w:cols>
          <w:pgMar w:left="380" w:top="995" w:right="440" w:bottom="0" w:gutter="0" w:footer="0" w:header="0"/>
          <w:type w:val="continuous"/>
        </w:sectPr>
      </w:pPr>
    </w:p>
    <w:bookmarkStart w:id="7" w:name="page8"/>
    <w:bookmarkEnd w:id="7"/>
    <w:p>
      <w:pPr>
        <w:spacing w:after="0" w:line="6" w:lineRule="exact"/>
        <w:rPr>
          <w:sz w:val="20"/>
          <w:szCs w:val="20"/>
          <w:color w:val="auto"/>
        </w:rPr>
      </w:pPr>
    </w:p>
    <w:p>
      <w:pPr>
        <w:ind w:left="340"/>
        <w:spacing w:after="0"/>
        <w:rPr>
          <w:sz w:val="20"/>
          <w:szCs w:val="20"/>
          <w:color w:val="auto"/>
        </w:rPr>
      </w:pPr>
      <w:r>
        <w:rPr>
          <w:rFonts w:ascii="Arial" w:cs="Arial" w:eastAsia="Arial" w:hAnsi="Arial"/>
          <w:sz w:val="46"/>
          <w:szCs w:val="46"/>
          <w:color w:val="00065C"/>
        </w:rPr>
        <w:t>Selected Financial Data</w:t>
      </w:r>
    </w:p>
    <w:p>
      <w:pPr>
        <w:spacing w:after="0" w:line="382" w:lineRule="exact"/>
        <w:rPr>
          <w:sz w:val="20"/>
          <w:szCs w:val="20"/>
          <w:color w:val="auto"/>
        </w:rPr>
      </w:pPr>
    </w:p>
    <w:p>
      <w:pPr>
        <w:ind w:left="340" w:right="2200"/>
        <w:spacing w:after="0" w:line="266" w:lineRule="auto"/>
        <w:rPr>
          <w:sz w:val="20"/>
          <w:szCs w:val="20"/>
          <w:color w:val="auto"/>
        </w:rPr>
      </w:pPr>
      <w:r>
        <w:rPr>
          <w:rFonts w:ascii="Arial" w:cs="Arial" w:eastAsia="Arial" w:hAnsi="Arial"/>
          <w:sz w:val="22"/>
          <w:szCs w:val="22"/>
          <w:color w:val="auto"/>
        </w:rPr>
        <w:t>Our growth strategy involves maximizing the potential of our existing brands while continuing to build a portfolio of differentiated products. The result of these efforts has strengthened our market presence, diversified our revenue stream, and delivered positive cash flow from operations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557530</wp:posOffset>
            </wp:positionV>
            <wp:extent cx="711200" cy="16294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extLst>
                    </a:blip>
                    <a:srcRect/>
                    <a:stretch>
                      <a:fillRect/>
                    </a:stretch>
                  </pic:blipFill>
                  <pic:spPr bwMode="auto">
                    <a:xfrm>
                      <a:off x="0" y="0"/>
                      <a:ext cx="71120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350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2018</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2019</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2020</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2021</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00" w:type="dxa"/>
            <w:vAlign w:val="bottom"/>
            <w:tcBorders>
              <w:bottom w:val="single" w:sz="8" w:color="00004D"/>
            </w:tcBorders>
          </w:tcPr>
          <w:p>
            <w:pPr>
              <w:spacing w:after="0"/>
              <w:rPr>
                <w:sz w:val="6"/>
                <w:szCs w:val="6"/>
                <w:color w:val="auto"/>
              </w:rPr>
            </w:pPr>
          </w:p>
        </w:tc>
        <w:tc>
          <w:tcPr>
            <w:tcW w:w="42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6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48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60"/>
              <w:spacing w:after="0"/>
              <w:rPr>
                <w:sz w:val="20"/>
                <w:szCs w:val="20"/>
                <w:color w:val="auto"/>
              </w:rPr>
            </w:pPr>
            <w:r>
              <w:rPr>
                <w:rFonts w:ascii="Arial" w:cs="Arial" w:eastAsia="Arial" w:hAnsi="Arial"/>
                <w:sz w:val="16"/>
                <w:szCs w:val="16"/>
                <w:color w:val="00004D"/>
              </w:rPr>
              <w:t>Net Revenues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$ 40,742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$ 34,388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$ 37,441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$ 35,985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$ 42,011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60"/>
              <w:spacing w:after="0"/>
              <w:rPr>
                <w:sz w:val="20"/>
                <w:szCs w:val="20"/>
                <w:color w:val="auto"/>
              </w:rPr>
            </w:pPr>
            <w:r>
              <w:rPr>
                <w:rFonts w:ascii="Arial" w:cs="Arial" w:eastAsia="Arial" w:hAnsi="Arial"/>
                <w:sz w:val="16"/>
                <w:szCs w:val="16"/>
                <w:color w:val="00004D"/>
              </w:rPr>
              <w:t>Less Total Expenses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47,705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37,926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40,780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39,493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47,581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500" w:type="dxa"/>
            <w:vAlign w:val="bottom"/>
            <w:vMerge w:val="restart"/>
          </w:tcPr>
          <w:p>
            <w:pPr>
              <w:ind w:left="60"/>
              <w:spacing w:after="0"/>
              <w:rPr>
                <w:sz w:val="20"/>
                <w:szCs w:val="20"/>
                <w:color w:val="auto"/>
              </w:rPr>
            </w:pPr>
            <w:r>
              <w:rPr>
                <w:rFonts w:ascii="Arial" w:cs="Arial" w:eastAsia="Arial" w:hAnsi="Arial"/>
                <w:sz w:val="16"/>
                <w:szCs w:val="16"/>
                <w:color w:val="00004D"/>
              </w:rPr>
              <w:t>Net Income (Loss)</w:t>
            </w: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vMerge w:val="continue"/>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(6,963)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(3,538)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(3,339)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(3,508)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(5,570)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500" w:type="dxa"/>
            <w:vAlign w:val="bottom"/>
          </w:tcPr>
          <w:p>
            <w:pPr>
              <w:ind w:left="60"/>
              <w:spacing w:after="0"/>
              <w:rPr>
                <w:sz w:val="20"/>
                <w:szCs w:val="20"/>
                <w:color w:val="auto"/>
              </w:rPr>
            </w:pPr>
            <w:r>
              <w:rPr>
                <w:rFonts w:ascii="Arial" w:cs="Arial" w:eastAsia="Arial" w:hAnsi="Arial"/>
                <w:sz w:val="16"/>
                <w:szCs w:val="16"/>
                <w:color w:val="00004D"/>
              </w:rPr>
              <w:t>Cash Flow from Operating Activities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3,112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3,056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5,415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6,342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8,453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500" w:type="dxa"/>
            <w:vAlign w:val="bottom"/>
          </w:tcPr>
          <w:p>
            <w:pPr>
              <w:ind w:left="60"/>
              <w:spacing w:after="0"/>
              <w:rPr>
                <w:sz w:val="20"/>
                <w:szCs w:val="20"/>
                <w:color w:val="auto"/>
              </w:rPr>
            </w:pPr>
            <w:r>
              <w:rPr>
                <w:rFonts w:ascii="Arial" w:cs="Arial" w:eastAsia="Arial" w:hAnsi="Arial"/>
                <w:sz w:val="16"/>
                <w:szCs w:val="16"/>
                <w:color w:val="00004D"/>
              </w:rPr>
              <w:t>Total Assets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112,694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104,549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96,463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84,460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92,925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00" w:type="dxa"/>
            <w:vAlign w:val="bottom"/>
          </w:tcPr>
          <w:p>
            <w:pPr>
              <w:ind w:left="60"/>
              <w:spacing w:after="0"/>
              <w:rPr>
                <w:sz w:val="20"/>
                <w:szCs w:val="20"/>
                <w:color w:val="auto"/>
              </w:rPr>
            </w:pPr>
            <w:r>
              <w:rPr>
                <w:rFonts w:ascii="Arial" w:cs="Arial" w:eastAsia="Arial" w:hAnsi="Arial"/>
                <w:sz w:val="16"/>
                <w:szCs w:val="16"/>
                <w:color w:val="00004D"/>
              </w:rPr>
              <w:t>Total Liabilities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57,123</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53,464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49,590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41,858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56,951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00" w:type="dxa"/>
            <w:vAlign w:val="bottom"/>
          </w:tcPr>
          <w:p>
            <w:pPr>
              <w:ind w:left="60"/>
              <w:spacing w:after="0"/>
              <w:rPr>
                <w:sz w:val="20"/>
                <w:szCs w:val="20"/>
                <w:color w:val="auto"/>
              </w:rPr>
            </w:pPr>
            <w:r>
              <w:rPr>
                <w:rFonts w:ascii="Arial" w:cs="Arial" w:eastAsia="Arial" w:hAnsi="Arial"/>
                <w:sz w:val="16"/>
                <w:szCs w:val="16"/>
                <w:color w:val="00004D"/>
              </w:rPr>
              <w:t>Total Equity</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55,571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51,085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46,873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42,602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35,974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00" w:right="3480"/>
        <w:spacing w:after="0" w:line="257" w:lineRule="auto"/>
        <w:rPr>
          <w:sz w:val="20"/>
          <w:szCs w:val="20"/>
          <w:color w:val="auto"/>
        </w:rPr>
      </w:pPr>
      <w:r>
        <w:rPr>
          <w:rFonts w:ascii="Arial" w:cs="Arial" w:eastAsia="Arial" w:hAnsi="Arial"/>
          <w:sz w:val="18"/>
          <w:szCs w:val="18"/>
          <w:color w:val="auto"/>
        </w:rPr>
        <w:t xml:space="preserve">Reconciliation of Net Income (Loss) Attributable to Common Shareholders to Adjusted Earnings and Adjusted Diluted Earnings Per Share </w:t>
      </w:r>
      <w:r>
        <w:rPr>
          <w:rFonts w:ascii="Arial" w:cs="Arial" w:eastAsia="Arial" w:hAnsi="Arial"/>
          <w:sz w:val="10"/>
          <w:szCs w:val="10"/>
          <w:color w:val="auto"/>
        </w:rPr>
        <w:t>(1)</w:t>
      </w:r>
      <w:r>
        <w:rPr>
          <w:rFonts w:ascii="Arial" w:cs="Arial" w:eastAsia="Arial" w:hAnsi="Arial"/>
          <w:sz w:val="18"/>
          <w:szCs w:val="18"/>
          <w:color w:val="auto"/>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230505</wp:posOffset>
            </wp:positionV>
            <wp:extent cx="711200" cy="2985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3">
                      <a:extLst>
                        <a:ext uri="{28A0092B-C50C-407E-A947-70E740481C1C}"/>
                      </a:extLst>
                    </a:blip>
                    <a:srcRect/>
                    <a:stretch>
                      <a:fillRect/>
                    </a:stretch>
                  </pic:blipFill>
                  <pic:spPr bwMode="auto">
                    <a:xfrm>
                      <a:off x="0" y="0"/>
                      <a:ext cx="711200" cy="29851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342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500" w:type="dxa"/>
            <w:vAlign w:val="bottom"/>
          </w:tcPr>
          <w:p>
            <w:pPr>
              <w:spacing w:after="0"/>
              <w:rPr>
                <w:sz w:val="16"/>
                <w:szCs w:val="16"/>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2018</w:t>
            </w:r>
          </w:p>
        </w:tc>
        <w:tc>
          <w:tcPr>
            <w:tcW w:w="6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2019</w:t>
            </w:r>
          </w:p>
        </w:tc>
        <w:tc>
          <w:tcPr>
            <w:tcW w:w="6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42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180" w:type="dxa"/>
            <w:vAlign w:val="bottom"/>
            <w:tcBorders>
              <w:bottom w:val="single" w:sz="8" w:color="00004D"/>
            </w:tcBorders>
          </w:tcPr>
          <w:p>
            <w:pPr>
              <w:spacing w:after="0"/>
              <w:rPr>
                <w:sz w:val="6"/>
                <w:szCs w:val="6"/>
                <w:color w:val="auto"/>
              </w:rPr>
            </w:pPr>
          </w:p>
        </w:tc>
        <w:tc>
          <w:tcPr>
            <w:tcW w:w="420" w:type="dxa"/>
            <w:vAlign w:val="bottom"/>
            <w:tcBorders>
              <w:bottom w:val="single" w:sz="8" w:color="00004D"/>
            </w:tcBorders>
          </w:tcPr>
          <w:p>
            <w:pPr>
              <w:spacing w:after="0"/>
              <w:rPr>
                <w:sz w:val="6"/>
                <w:szCs w:val="6"/>
                <w:color w:val="auto"/>
              </w:rPr>
            </w:pPr>
          </w:p>
        </w:tc>
        <w:tc>
          <w:tcPr>
            <w:tcW w:w="540" w:type="dxa"/>
            <w:vAlign w:val="bottom"/>
            <w:tcBorders>
              <w:bottom w:val="single" w:sz="8" w:color="00004D"/>
            </w:tcBorders>
          </w:tcPr>
          <w:p>
            <w:pPr>
              <w:spacing w:after="0"/>
              <w:rPr>
                <w:sz w:val="6"/>
                <w:szCs w:val="6"/>
                <w:color w:val="auto"/>
              </w:rPr>
            </w:pPr>
          </w:p>
        </w:tc>
        <w:tc>
          <w:tcPr>
            <w:tcW w:w="180" w:type="dxa"/>
            <w:vAlign w:val="bottom"/>
            <w:tcBorders>
              <w:bottom w:val="single" w:sz="8" w:color="00004D"/>
            </w:tcBorders>
          </w:tcPr>
          <w:p>
            <w:pPr>
              <w:spacing w:after="0"/>
              <w:rPr>
                <w:sz w:val="6"/>
                <w:szCs w:val="6"/>
                <w:color w:val="auto"/>
              </w:rPr>
            </w:pPr>
          </w:p>
        </w:tc>
        <w:tc>
          <w:tcPr>
            <w:tcW w:w="360" w:type="dxa"/>
            <w:vAlign w:val="bottom"/>
            <w:tcBorders>
              <w:bottom w:val="single" w:sz="8" w:color="00004D"/>
            </w:tcBorders>
          </w:tcPr>
          <w:p>
            <w:pPr>
              <w:spacing w:after="0"/>
              <w:rPr>
                <w:sz w:val="6"/>
                <w:szCs w:val="6"/>
                <w:color w:val="auto"/>
              </w:rPr>
            </w:pPr>
          </w:p>
        </w:tc>
        <w:tc>
          <w:tcPr>
            <w:tcW w:w="80" w:type="dxa"/>
            <w:vAlign w:val="bottom"/>
            <w:tcBorders>
              <w:bottom w:val="single" w:sz="8" w:color="00004D"/>
            </w:tcBorders>
          </w:tcPr>
          <w:p>
            <w:pPr>
              <w:spacing w:after="0"/>
              <w:rPr>
                <w:sz w:val="6"/>
                <w:szCs w:val="6"/>
                <w:color w:val="auto"/>
              </w:rPr>
            </w:pPr>
          </w:p>
        </w:tc>
        <w:tc>
          <w:tcPr>
            <w:tcW w:w="46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420" w:type="dxa"/>
            <w:vAlign w:val="bottom"/>
          </w:tcPr>
          <w:p>
            <w:pPr>
              <w:ind w:left="60"/>
              <w:spacing w:after="0"/>
              <w:rPr>
                <w:sz w:val="20"/>
                <w:szCs w:val="20"/>
                <w:color w:val="auto"/>
              </w:rPr>
            </w:pPr>
            <w:r>
              <w:rPr>
                <w:rFonts w:ascii="Arial" w:cs="Arial" w:eastAsia="Arial" w:hAnsi="Arial"/>
                <w:sz w:val="16"/>
                <w:szCs w:val="16"/>
                <w:color w:val="00004D"/>
              </w:rPr>
              <w:t>Net Income (Loss) from Continuing</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420" w:type="dxa"/>
            <w:vAlign w:val="bottom"/>
          </w:tcPr>
          <w:p>
            <w:pPr>
              <w:ind w:left="240"/>
              <w:spacing w:after="0"/>
              <w:rPr>
                <w:sz w:val="20"/>
                <w:szCs w:val="20"/>
                <w:color w:val="auto"/>
              </w:rPr>
            </w:pPr>
            <w:r>
              <w:rPr>
                <w:rFonts w:ascii="Arial" w:cs="Arial" w:eastAsia="Arial" w:hAnsi="Arial"/>
                <w:sz w:val="16"/>
                <w:szCs w:val="16"/>
                <w:color w:val="00004D"/>
              </w:rPr>
              <w:t>Operations</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4"/>
              </w:rPr>
              <w:t>(7,039)</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(9,212)</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(6,569)</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(5,597)</w:t>
            </w:r>
          </w:p>
        </w:tc>
        <w:tc>
          <w:tcPr>
            <w:tcW w:w="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(5,650)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60"/>
              <w:spacing w:after="0"/>
              <w:rPr>
                <w:sz w:val="20"/>
                <w:szCs w:val="20"/>
                <w:color w:val="auto"/>
              </w:rPr>
            </w:pPr>
            <w:r>
              <w:rPr>
                <w:rFonts w:ascii="Arial" w:cs="Arial" w:eastAsia="Arial" w:hAnsi="Arial"/>
                <w:sz w:val="16"/>
                <w:szCs w:val="16"/>
                <w:color w:val="00004D"/>
              </w:rPr>
              <w:t>Adjustments to Net Income (Loss)</w:t>
            </w: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420" w:type="dxa"/>
            <w:vAlign w:val="bottom"/>
          </w:tcPr>
          <w:p>
            <w:pPr>
              <w:ind w:left="260"/>
              <w:spacing w:after="0"/>
              <w:rPr>
                <w:sz w:val="20"/>
                <w:szCs w:val="20"/>
                <w:color w:val="auto"/>
              </w:rPr>
            </w:pPr>
            <w:r>
              <w:rPr>
                <w:rFonts w:ascii="Arial" w:cs="Arial" w:eastAsia="Arial" w:hAnsi="Arial"/>
                <w:sz w:val="16"/>
                <w:szCs w:val="16"/>
                <w:color w:val="00004D"/>
              </w:rPr>
              <w:t>Income Tax Expense (Benefit)</w:t>
            </w: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420" w:type="dxa"/>
            <w:vAlign w:val="bottom"/>
          </w:tcPr>
          <w:p>
            <w:pPr>
              <w:ind w:left="260"/>
              <w:spacing w:after="0"/>
              <w:rPr>
                <w:sz w:val="20"/>
                <w:szCs w:val="20"/>
                <w:color w:val="auto"/>
              </w:rPr>
            </w:pPr>
            <w:r>
              <w:rPr>
                <w:rFonts w:ascii="Arial" w:cs="Arial" w:eastAsia="Arial" w:hAnsi="Arial"/>
                <w:sz w:val="16"/>
                <w:szCs w:val="16"/>
                <w:color w:val="00004D"/>
              </w:rPr>
              <w:t>Depreciation and Amortization</w:t>
            </w: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2,983</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4,404</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4,749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4,606</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5,328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420" w:type="dxa"/>
            <w:vAlign w:val="bottom"/>
          </w:tcPr>
          <w:p>
            <w:pPr>
              <w:ind w:left="260"/>
              <w:spacing w:after="0"/>
              <w:rPr>
                <w:sz w:val="20"/>
                <w:szCs w:val="20"/>
                <w:color w:val="auto"/>
              </w:rPr>
            </w:pPr>
            <w:r>
              <w:rPr>
                <w:rFonts w:ascii="Arial" w:cs="Arial" w:eastAsia="Arial" w:hAnsi="Arial"/>
                <w:sz w:val="16"/>
                <w:szCs w:val="16"/>
                <w:color w:val="00004D"/>
              </w:rPr>
              <w:t>Share-Based Compensation</w:t>
            </w: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1,365</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1,486</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447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420" w:type="dxa"/>
            <w:vAlign w:val="bottom"/>
          </w:tcPr>
          <w:p>
            <w:pPr>
              <w:ind w:left="260"/>
              <w:spacing w:after="0"/>
              <w:rPr>
                <w:sz w:val="20"/>
                <w:szCs w:val="20"/>
                <w:color w:val="auto"/>
              </w:rPr>
            </w:pPr>
            <w:r>
              <w:rPr>
                <w:rFonts w:ascii="Arial" w:cs="Arial" w:eastAsia="Arial" w:hAnsi="Arial"/>
                <w:sz w:val="16"/>
                <w:szCs w:val="16"/>
                <w:color w:val="00004D"/>
              </w:rPr>
              <w:t xml:space="preserve">Other Adjustments to Net Income </w:t>
            </w:r>
            <w:r>
              <w:rPr>
                <w:rFonts w:ascii="Arial" w:cs="Arial" w:eastAsia="Arial" w:hAnsi="Arial"/>
                <w:sz w:val="9"/>
                <w:szCs w:val="9"/>
                <w:color w:val="00004D"/>
              </w:rPr>
              <w:t>(1)</w:t>
            </w: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440</w:t>
            </w:r>
          </w:p>
        </w:tc>
        <w:tc>
          <w:tcPr>
            <w:tcW w:w="4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(1,051)</w:t>
            </w:r>
          </w:p>
        </w:tc>
        <w:tc>
          <w:tcPr>
            <w:tcW w:w="360" w:type="dxa"/>
            <w:vAlign w:val="bottom"/>
          </w:tcPr>
          <w:p>
            <w:pPr>
              <w:spacing w:after="0"/>
              <w:rPr>
                <w:sz w:val="24"/>
                <w:szCs w:val="2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82"/>
        </w:trPr>
        <w:tc>
          <w:tcPr>
            <w:tcW w:w="3420" w:type="dxa"/>
            <w:vAlign w:val="bottom"/>
          </w:tcPr>
          <w:p>
            <w:pPr>
              <w:ind w:left="260"/>
              <w:spacing w:after="0"/>
              <w:rPr>
                <w:sz w:val="20"/>
                <w:szCs w:val="20"/>
                <w:color w:val="auto"/>
              </w:rPr>
            </w:pPr>
            <w:r>
              <w:rPr>
                <w:rFonts w:ascii="Arial" w:cs="Arial" w:eastAsia="Arial" w:hAnsi="Arial"/>
                <w:sz w:val="16"/>
                <w:szCs w:val="16"/>
                <w:color w:val="00004D"/>
              </w:rPr>
              <w:t>Interest Income</w:t>
            </w: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(564)</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(243)</w:t>
            </w:r>
          </w:p>
        </w:tc>
        <w:tc>
          <w:tcPr>
            <w:tcW w:w="6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(75)</w:t>
            </w:r>
          </w:p>
        </w:tc>
        <w:tc>
          <w:tcPr>
            <w:tcW w:w="4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24"/>
                <w:szCs w:val="2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2"/>
        </w:trPr>
        <w:tc>
          <w:tcPr>
            <w:tcW w:w="3420" w:type="dxa"/>
            <w:vAlign w:val="bottom"/>
          </w:tcPr>
          <w:p>
            <w:pPr>
              <w:ind w:left="260"/>
              <w:spacing w:after="0"/>
              <w:rPr>
                <w:sz w:val="20"/>
                <w:szCs w:val="20"/>
                <w:color w:val="auto"/>
              </w:rPr>
            </w:pPr>
            <w:r>
              <w:rPr>
                <w:rFonts w:ascii="Arial" w:cs="Arial" w:eastAsia="Arial" w:hAnsi="Arial"/>
                <w:sz w:val="16"/>
                <w:szCs w:val="16"/>
                <w:color w:val="00004D"/>
              </w:rPr>
              <w:t>Interest Expense</w:t>
            </w:r>
          </w:p>
        </w:tc>
        <w:tc>
          <w:tcPr>
            <w:tcW w:w="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196</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246</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98</w:t>
            </w:r>
          </w:p>
        </w:tc>
        <w:tc>
          <w:tcPr>
            <w:tcW w:w="360" w:type="dxa"/>
            <w:vAlign w:val="bottom"/>
          </w:tcPr>
          <w:p>
            <w:pPr>
              <w:spacing w:after="0"/>
              <w:rPr>
                <w:sz w:val="24"/>
                <w:szCs w:val="2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3"/>
        </w:trPr>
        <w:tc>
          <w:tcPr>
            <w:tcW w:w="3420" w:type="dxa"/>
            <w:vAlign w:val="bottom"/>
            <w:vMerge w:val="restart"/>
          </w:tcPr>
          <w:p>
            <w:pPr>
              <w:ind w:left="60"/>
              <w:spacing w:after="0"/>
              <w:rPr>
                <w:sz w:val="20"/>
                <w:szCs w:val="20"/>
                <w:color w:val="auto"/>
              </w:rPr>
            </w:pPr>
            <w:r>
              <w:rPr>
                <w:rFonts w:ascii="Arial" w:cs="Arial" w:eastAsia="Arial" w:hAnsi="Arial"/>
                <w:sz w:val="16"/>
                <w:szCs w:val="16"/>
                <w:color w:val="00004D"/>
              </w:rPr>
              <w:t>Adjusted Earnings</w:t>
            </w: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20" w:type="dxa"/>
            <w:vAlign w:val="bottom"/>
            <w:vMerge w:val="continue"/>
          </w:tcPr>
          <w:p>
            <w:pPr>
              <w:spacing w:after="0"/>
              <w:rPr>
                <w:sz w:val="20"/>
                <w:szCs w:val="20"/>
                <w:color w:val="auto"/>
              </w:rPr>
            </w:pPr>
          </w:p>
        </w:tc>
        <w:tc>
          <w:tcPr>
            <w:tcW w:w="5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4"/>
              </w:rPr>
              <w:t>(3,043)</w:t>
            </w:r>
          </w:p>
        </w:tc>
        <w:tc>
          <w:tcPr>
            <w:tcW w:w="6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(3,398)</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180" w:type="dxa"/>
            <w:vAlign w:val="bottom"/>
            <w:vMerge w:val="restart"/>
          </w:tcPr>
          <w:p>
            <w:pPr>
              <w:spacing w:after="0"/>
              <w:rPr>
                <w:sz w:val="20"/>
                <w:szCs w:val="20"/>
                <w:color w:val="auto"/>
              </w:rPr>
            </w:pPr>
          </w:p>
        </w:tc>
        <w:tc>
          <w:tcPr>
            <w:tcW w:w="4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(1,193)</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6"/>
                <w:szCs w:val="16"/>
                <w:color w:val="auto"/>
              </w:rPr>
              <w:t>2,050</w:t>
            </w:r>
          </w:p>
        </w:tc>
        <w:tc>
          <w:tcPr>
            <w:tcW w:w="0" w:type="dxa"/>
            <w:vAlign w:val="bottom"/>
          </w:tcPr>
          <w:p>
            <w:pPr>
              <w:spacing w:after="0"/>
              <w:rPr>
                <w:sz w:val="1"/>
                <w:szCs w:val="1"/>
                <w:color w:val="auto"/>
              </w:rPr>
            </w:pPr>
          </w:p>
        </w:tc>
      </w:tr>
      <w:tr>
        <w:trPr>
          <w:trHeight w:val="157"/>
        </w:trPr>
        <w:tc>
          <w:tcPr>
            <w:tcW w:w="34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3420" w:type="dxa"/>
            <w:vAlign w:val="bottom"/>
          </w:tcPr>
          <w:p>
            <w:pPr>
              <w:ind w:left="60"/>
              <w:spacing w:after="0"/>
              <w:rPr>
                <w:sz w:val="20"/>
                <w:szCs w:val="20"/>
                <w:color w:val="auto"/>
              </w:rPr>
            </w:pPr>
            <w:r>
              <w:rPr>
                <w:rFonts w:ascii="Arial" w:cs="Arial" w:eastAsia="Arial" w:hAnsi="Arial"/>
                <w:sz w:val="16"/>
                <w:szCs w:val="16"/>
                <w:color w:val="00004D"/>
              </w:rPr>
              <w:t>Adjusted Diluted Earnings per Share</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(0.19)</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(0.22)</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24"/>
                <w:szCs w:val="24"/>
                <w:color w:val="auto"/>
              </w:rPr>
            </w:pPr>
          </w:p>
        </w:tc>
        <w:tc>
          <w:tcPr>
            <w:tcW w:w="4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(0.08)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28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93"/>
        </w:trPr>
        <w:tc>
          <w:tcPr>
            <w:tcW w:w="3420" w:type="dxa"/>
            <w:vAlign w:val="bottom"/>
          </w:tcPr>
          <w:p>
            <w:pPr>
              <w:ind w:left="60"/>
              <w:spacing w:after="0"/>
              <w:rPr>
                <w:sz w:val="20"/>
                <w:szCs w:val="20"/>
                <w:color w:val="auto"/>
              </w:rPr>
            </w:pPr>
            <w:r>
              <w:rPr>
                <w:rFonts w:ascii="Arial" w:cs="Arial" w:eastAsia="Arial" w:hAnsi="Arial"/>
                <w:sz w:val="16"/>
                <w:szCs w:val="16"/>
                <w:color w:val="00004D"/>
              </w:rPr>
              <w:t>Diluted Weighted-Average Common</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20" w:type="dxa"/>
            <w:vAlign w:val="bottom"/>
          </w:tcPr>
          <w:p>
            <w:pPr>
              <w:ind w:left="240"/>
              <w:spacing w:after="0"/>
              <w:rPr>
                <w:sz w:val="20"/>
                <w:szCs w:val="20"/>
                <w:color w:val="auto"/>
              </w:rPr>
            </w:pPr>
            <w:r>
              <w:rPr>
                <w:rFonts w:ascii="Arial" w:cs="Arial" w:eastAsia="Arial" w:hAnsi="Arial"/>
                <w:sz w:val="16"/>
                <w:szCs w:val="16"/>
                <w:color w:val="00004D"/>
              </w:rPr>
              <w:t>Shares Outstanding:</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15,614</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15,396</w:t>
            </w:r>
          </w:p>
        </w:tc>
        <w:tc>
          <w:tcPr>
            <w:tcW w:w="6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15,162</w:t>
            </w:r>
          </w:p>
        </w:tc>
        <w:tc>
          <w:tcPr>
            <w:tcW w:w="4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14,905</w:t>
            </w:r>
          </w:p>
        </w:tc>
        <w:tc>
          <w:tcPr>
            <w:tcW w:w="360" w:type="dxa"/>
            <w:vAlign w:val="bottom"/>
          </w:tcPr>
          <w:p>
            <w:pPr>
              <w:spacing w:after="0"/>
              <w:rPr>
                <w:sz w:val="19"/>
                <w:szCs w:val="19"/>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6"/>
                <w:szCs w:val="16"/>
                <w:color w:val="auto"/>
              </w:rPr>
              <w:t>14,809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(1) The supplemental financial measures are Non-GAAP as defined, the reconciliation of these supplemental measures is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-240665</wp:posOffset>
                </wp:positionH>
                <wp:positionV relativeFrom="paragraph">
                  <wp:posOffset>844550</wp:posOffset>
                </wp:positionV>
                <wp:extent cx="456565" cy="23749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237490"/>
                        </a:xfrm>
                        <a:prstGeom prst="rect">
                          <a:avLst/>
                        </a:prstGeom>
                        <a:solidFill>
                          <a:srgbClr val="377FA7"/>
                        </a:solidFill>
                      </wps:spPr>
                      <wps:bodyPr/>
                    </wps:wsp>
                  </a:graphicData>
                </a:graphic>
              </wp:anchor>
            </w:drawing>
          </mc:Choice>
          <mc:Fallback>
            <w:pict>
              <v:rect id="Shape 54" o:spid="_x0000_s1079" style="position:absolute;margin-left:-18.9499pt;margin-top:66.5pt;width:35.95pt;height:1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377FA7" stroked="f"/>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6"/>
          <w:szCs w:val="46"/>
          <w:color w:val="00065C"/>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497205</wp:posOffset>
            </wp:positionV>
            <wp:extent cx="916940" cy="1157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extLst>
                        <a:ext uri="{28A0092B-C50C-407E-A947-70E740481C1C}"/>
                      </a:extLst>
                    </a:blip>
                    <a:srcRect/>
                    <a:stretch>
                      <a:fillRect/>
                    </a:stretch>
                  </pic:blipFill>
                  <pic:spPr bwMode="auto">
                    <a:xfrm>
                      <a:off x="0" y="0"/>
                      <a:ext cx="916940" cy="115760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497205</wp:posOffset>
            </wp:positionV>
            <wp:extent cx="916940" cy="1157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extLst>
                        <a:ext uri="{28A0092B-C50C-407E-A947-70E740481C1C}"/>
                      </a:extLst>
                    </a:blip>
                    <a:srcRect/>
                    <a:stretch>
                      <a:fillRect/>
                    </a:stretch>
                  </pic:blipFill>
                  <pic:spPr bwMode="auto">
                    <a:xfrm>
                      <a:off x="0" y="0"/>
                      <a:ext cx="9169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22"/>
          <w:szCs w:val="22"/>
          <w:color w:val="00004D"/>
        </w:rPr>
        <w:t>A.J. Kazimi</w:t>
      </w:r>
      <w:r>
        <w:rPr>
          <w:sz w:val="20"/>
          <w:szCs w:val="20"/>
          <w:color w:val="auto"/>
        </w:rPr>
        <w:tab/>
      </w:r>
      <w:r>
        <w:rPr>
          <w:rFonts w:ascii="Arial" w:cs="Arial" w:eastAsia="Arial" w:hAnsi="Arial"/>
          <w:sz w:val="22"/>
          <w:szCs w:val="22"/>
          <w:color w:val="00004D"/>
        </w:rPr>
        <w:t>James R. Jones</w:t>
      </w:r>
    </w:p>
    <w:p>
      <w:pPr>
        <w:ind w:left="2340"/>
        <w:spacing w:after="0"/>
        <w:tabs>
          <w:tab w:leader="none" w:pos="7480" w:val="left"/>
        </w:tabs>
        <w:rPr>
          <w:sz w:val="20"/>
          <w:szCs w:val="20"/>
          <w:color w:val="auto"/>
        </w:rPr>
      </w:pPr>
      <w:r>
        <w:rPr>
          <w:rFonts w:ascii="Arial" w:cs="Arial" w:eastAsia="Arial" w:hAnsi="Arial"/>
          <w:sz w:val="18"/>
          <w:szCs w:val="18"/>
          <w:color w:val="00004D"/>
        </w:rPr>
        <w:t>Chairman</w:t>
      </w:r>
      <w:r>
        <w:rPr>
          <w:sz w:val="20"/>
          <w:szCs w:val="20"/>
          <w:color w:val="auto"/>
        </w:rPr>
        <w:tab/>
      </w:r>
      <w:r>
        <w:rPr>
          <w:rFonts w:ascii="Arial" w:cs="Arial" w:eastAsia="Arial" w:hAnsi="Arial"/>
          <w:sz w:val="18"/>
          <w:szCs w:val="18"/>
          <w:color w:val="00004D"/>
        </w:rPr>
        <w:t>Director</w:t>
      </w:r>
    </w:p>
    <w:p>
      <w:pPr>
        <w:spacing w:after="0" w:line="32"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14"/>
          <w:szCs w:val="14"/>
          <w:i w:val="1"/>
          <w:iCs w:val="1"/>
          <w:color w:val="auto"/>
        </w:rPr>
        <w:t>Chief Executive Officer</w:t>
      </w:r>
      <w:r>
        <w:rPr>
          <w:sz w:val="20"/>
          <w:szCs w:val="20"/>
          <w:color w:val="auto"/>
        </w:rPr>
        <w:tab/>
      </w:r>
      <w:r>
        <w:rPr>
          <w:rFonts w:ascii="Arial" w:cs="Arial" w:eastAsia="Arial" w:hAnsi="Arial"/>
          <w:sz w:val="14"/>
          <w:szCs w:val="14"/>
          <w:i w:val="1"/>
          <w:iCs w:val="1"/>
          <w:color w:val="auto"/>
        </w:rPr>
        <w:t>Former Managing Partner</w:t>
      </w:r>
    </w:p>
    <w:p>
      <w:pPr>
        <w:spacing w:after="0" w:line="40"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14"/>
          <w:szCs w:val="14"/>
          <w:color w:val="auto"/>
        </w:rPr>
        <w:t>Cumberland Pharmaceuticals</w:t>
      </w:r>
      <w:r>
        <w:rPr>
          <w:sz w:val="20"/>
          <w:szCs w:val="20"/>
          <w:color w:val="auto"/>
        </w:rPr>
        <w:tab/>
      </w:r>
      <w:r>
        <w:rPr>
          <w:rFonts w:ascii="Arial" w:cs="Arial" w:eastAsia="Arial" w:hAnsi="Arial"/>
          <w:sz w:val="14"/>
          <w:szCs w:val="14"/>
          <w:color w:val="auto"/>
        </w:rPr>
        <w:t>KPMG LLP-Nashville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447675</wp:posOffset>
            </wp:positionV>
            <wp:extent cx="916940" cy="1157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a:extLst>
                        <a:ext uri="{28A0092B-C50C-407E-A947-70E740481C1C}"/>
                      </a:extLst>
                    </a:blip>
                    <a:srcRect/>
                    <a:stretch>
                      <a:fillRect/>
                    </a:stretch>
                  </pic:blipFill>
                  <pic:spPr bwMode="auto">
                    <a:xfrm>
                      <a:off x="0" y="0"/>
                      <a:ext cx="916940" cy="115760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447675</wp:posOffset>
            </wp:positionV>
            <wp:extent cx="916940" cy="1157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7">
                      <a:extLst>
                        <a:ext uri="{28A0092B-C50C-407E-A947-70E740481C1C}"/>
                      </a:extLst>
                    </a:blip>
                    <a:srcRect/>
                    <a:stretch>
                      <a:fillRect/>
                    </a:stretch>
                  </pic:blipFill>
                  <pic:spPr bwMode="auto">
                    <a:xfrm>
                      <a:off x="0" y="0"/>
                      <a:ext cx="9169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1600"/>
        <w:spacing w:after="0"/>
        <w:tabs>
          <w:tab w:leader="none" w:pos="2720" w:val="left"/>
        </w:tabs>
        <w:rPr>
          <w:sz w:val="20"/>
          <w:szCs w:val="20"/>
          <w:color w:val="auto"/>
        </w:rPr>
      </w:pPr>
      <w:r>
        <w:rPr>
          <w:rFonts w:ascii="Arial" w:cs="Arial" w:eastAsia="Arial" w:hAnsi="Arial"/>
          <w:sz w:val="22"/>
          <w:szCs w:val="22"/>
          <w:color w:val="00004D"/>
        </w:rPr>
        <w:t>Dr. Gordon R. Bernard</w:t>
      </w:r>
      <w:r>
        <w:rPr>
          <w:sz w:val="20"/>
          <w:szCs w:val="20"/>
          <w:color w:val="auto"/>
        </w:rPr>
        <w:tab/>
      </w:r>
      <w:r>
        <w:rPr>
          <w:rFonts w:ascii="Arial" w:cs="Arial" w:eastAsia="Arial" w:hAnsi="Arial"/>
          <w:sz w:val="22"/>
          <w:szCs w:val="22"/>
          <w:color w:val="00004D"/>
        </w:rPr>
        <w:t>Kenneth J. Krogulski</w:t>
      </w:r>
    </w:p>
    <w:p>
      <w:pPr>
        <w:ind w:left="2340"/>
        <w:spacing w:after="0"/>
        <w:tabs>
          <w:tab w:leader="none" w:pos="7480" w:val="left"/>
        </w:tabs>
        <w:rPr>
          <w:sz w:val="20"/>
          <w:szCs w:val="20"/>
          <w:color w:val="auto"/>
        </w:rPr>
      </w:pPr>
      <w:r>
        <w:rPr>
          <w:rFonts w:ascii="Arial" w:cs="Arial" w:eastAsia="Arial" w:hAnsi="Arial"/>
          <w:sz w:val="18"/>
          <w:szCs w:val="18"/>
          <w:color w:val="00004D"/>
        </w:rPr>
        <w:t>Director</w:t>
      </w:r>
      <w:r>
        <w:rPr>
          <w:sz w:val="20"/>
          <w:szCs w:val="20"/>
          <w:color w:val="auto"/>
        </w:rPr>
        <w:tab/>
      </w:r>
      <w:r>
        <w:rPr>
          <w:rFonts w:ascii="Arial" w:cs="Arial" w:eastAsia="Arial" w:hAnsi="Arial"/>
          <w:sz w:val="18"/>
          <w:szCs w:val="18"/>
          <w:color w:val="00004D"/>
        </w:rPr>
        <w:t>Lead Director</w:t>
      </w:r>
    </w:p>
    <w:p>
      <w:pPr>
        <w:spacing w:after="0" w:line="32" w:lineRule="exact"/>
        <w:rPr>
          <w:sz w:val="20"/>
          <w:szCs w:val="20"/>
          <w:color w:val="auto"/>
        </w:rPr>
      </w:pPr>
    </w:p>
    <w:p>
      <w:pPr>
        <w:jc w:val="right"/>
        <w:ind w:right="1540"/>
        <w:spacing w:after="0"/>
        <w:tabs>
          <w:tab w:leader="none" w:pos="2720" w:val="left"/>
        </w:tabs>
        <w:rPr>
          <w:sz w:val="20"/>
          <w:szCs w:val="20"/>
          <w:color w:val="auto"/>
        </w:rPr>
      </w:pPr>
      <w:r>
        <w:rPr>
          <w:rFonts w:ascii="Arial" w:cs="Arial" w:eastAsia="Arial" w:hAnsi="Arial"/>
          <w:sz w:val="14"/>
          <w:szCs w:val="14"/>
          <w:i w:val="1"/>
          <w:iCs w:val="1"/>
          <w:color w:val="auto"/>
        </w:rPr>
        <w:t>Executive Vice President for Research</w:t>
      </w:r>
      <w:r>
        <w:rPr>
          <w:sz w:val="20"/>
          <w:szCs w:val="20"/>
          <w:color w:val="auto"/>
        </w:rPr>
        <w:tab/>
      </w:r>
      <w:r>
        <w:rPr>
          <w:rFonts w:ascii="Arial" w:cs="Arial" w:eastAsia="Arial" w:hAnsi="Arial"/>
          <w:sz w:val="14"/>
          <w:szCs w:val="14"/>
          <w:i w:val="1"/>
          <w:iCs w:val="1"/>
          <w:color w:val="auto"/>
        </w:rPr>
        <w:t>President and Chief Investment Officer</w:t>
      </w:r>
    </w:p>
    <w:p>
      <w:pPr>
        <w:spacing w:after="0" w:line="40"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14"/>
          <w:szCs w:val="14"/>
          <w:color w:val="auto"/>
        </w:rPr>
        <w:t>Vanderbilt University Medical Center</w:t>
      </w:r>
      <w:r>
        <w:rPr>
          <w:sz w:val="20"/>
          <w:szCs w:val="20"/>
          <w:color w:val="auto"/>
        </w:rPr>
        <w:tab/>
      </w:r>
      <w:r>
        <w:rPr>
          <w:rFonts w:ascii="Arial" w:cs="Arial" w:eastAsia="Arial" w:hAnsi="Arial"/>
          <w:sz w:val="14"/>
          <w:szCs w:val="14"/>
          <w:color w:val="auto"/>
        </w:rPr>
        <w:t>Berkshire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455930</wp:posOffset>
            </wp:positionV>
            <wp:extent cx="6845300" cy="5938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a:extLst>
                        <a:ext uri="{28A0092B-C50C-407E-A947-70E740481C1C}"/>
                      </a:extLst>
                    </a:blip>
                    <a:srcRect/>
                    <a:stretch>
                      <a:fillRect/>
                    </a:stretch>
                  </pic:blipFill>
                  <pic:spPr bwMode="auto">
                    <a:xfrm>
                      <a:off x="0" y="0"/>
                      <a:ext cx="6845300" cy="593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22"/>
          <w:szCs w:val="22"/>
          <w:color w:val="00004D"/>
        </w:rPr>
        <w:t>Martin S. Brown</w:t>
      </w:r>
      <w:r>
        <w:rPr>
          <w:sz w:val="20"/>
          <w:szCs w:val="20"/>
          <w:color w:val="auto"/>
        </w:rPr>
        <w:tab/>
      </w:r>
      <w:r>
        <w:rPr>
          <w:rFonts w:ascii="Arial" w:cs="Arial" w:eastAsia="Arial" w:hAnsi="Arial"/>
          <w:sz w:val="22"/>
          <w:szCs w:val="22"/>
          <w:color w:val="00004D"/>
        </w:rPr>
        <w:t>Caroline R. Young</w:t>
      </w:r>
    </w:p>
    <w:p>
      <w:pPr>
        <w:ind w:left="2340"/>
        <w:spacing w:after="0"/>
        <w:tabs>
          <w:tab w:leader="none" w:pos="7480" w:val="left"/>
        </w:tabs>
        <w:rPr>
          <w:sz w:val="20"/>
          <w:szCs w:val="20"/>
          <w:color w:val="auto"/>
        </w:rPr>
      </w:pPr>
      <w:r>
        <w:rPr>
          <w:rFonts w:ascii="Arial" w:cs="Arial" w:eastAsia="Arial" w:hAnsi="Arial"/>
          <w:sz w:val="18"/>
          <w:szCs w:val="18"/>
          <w:color w:val="00004D"/>
        </w:rPr>
        <w:t>Director</w:t>
      </w:r>
      <w:r>
        <w:rPr>
          <w:sz w:val="20"/>
          <w:szCs w:val="20"/>
          <w:color w:val="auto"/>
        </w:rPr>
        <w:tab/>
      </w:r>
      <w:r>
        <w:rPr>
          <w:rFonts w:ascii="Arial" w:cs="Arial" w:eastAsia="Arial" w:hAnsi="Arial"/>
          <w:sz w:val="18"/>
          <w:szCs w:val="18"/>
          <w:color w:val="00004D"/>
        </w:rPr>
        <w:t>Director</w:t>
      </w:r>
    </w:p>
    <w:p>
      <w:pPr>
        <w:spacing w:after="0" w:line="32" w:lineRule="exact"/>
        <w:rPr>
          <w:sz w:val="20"/>
          <w:szCs w:val="20"/>
          <w:color w:val="auto"/>
        </w:rPr>
      </w:pPr>
    </w:p>
    <w:p>
      <w:pPr>
        <w:jc w:val="right"/>
        <w:ind w:right="1280"/>
        <w:spacing w:after="0"/>
        <w:tabs>
          <w:tab w:leader="none" w:pos="2720" w:val="left"/>
        </w:tabs>
        <w:rPr>
          <w:sz w:val="20"/>
          <w:szCs w:val="20"/>
          <w:color w:val="auto"/>
        </w:rPr>
      </w:pPr>
      <w:r>
        <w:rPr>
          <w:rFonts w:ascii="Arial" w:cs="Arial" w:eastAsia="Arial" w:hAnsi="Arial"/>
          <w:sz w:val="14"/>
          <w:szCs w:val="14"/>
          <w:i w:val="1"/>
          <w:iCs w:val="1"/>
          <w:color w:val="auto"/>
        </w:rPr>
        <w:t>Attorney of Counsel</w:t>
      </w:r>
      <w:r>
        <w:rPr>
          <w:sz w:val="20"/>
          <w:szCs w:val="20"/>
          <w:color w:val="auto"/>
        </w:rPr>
        <w:tab/>
      </w:r>
      <w:r>
        <w:rPr>
          <w:rFonts w:ascii="Arial" w:cs="Arial" w:eastAsia="Arial" w:hAnsi="Arial"/>
          <w:sz w:val="14"/>
          <w:szCs w:val="14"/>
          <w:i w:val="1"/>
          <w:iCs w:val="1"/>
          <w:color w:val="auto"/>
        </w:rPr>
        <w:t>Vice President of Partnership Development</w:t>
      </w:r>
    </w:p>
    <w:p>
      <w:pPr>
        <w:spacing w:after="0" w:line="40"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14"/>
          <w:szCs w:val="14"/>
          <w:color w:val="auto"/>
        </w:rPr>
        <w:t>Adams and Reese LLP</w:t>
      </w:r>
      <w:r>
        <w:rPr>
          <w:sz w:val="20"/>
          <w:szCs w:val="20"/>
          <w:color w:val="auto"/>
        </w:rPr>
        <w:tab/>
      </w:r>
      <w:r>
        <w:rPr>
          <w:rFonts w:ascii="Arial" w:cs="Arial" w:eastAsia="Arial" w:hAnsi="Arial"/>
          <w:sz w:val="14"/>
          <w:szCs w:val="14"/>
          <w:color w:val="auto"/>
        </w:rPr>
        <w:t>First Cressey Ventures</w:t>
      </w:r>
    </w:p>
    <w:p>
      <w:pPr>
        <w:spacing w:after="0" w:line="38"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14"/>
          <w:szCs w:val="14"/>
          <w:i w:val="1"/>
          <w:iCs w:val="1"/>
          <w:color w:val="auto"/>
        </w:rPr>
        <w:t>Former Board Director</w:t>
      </w:r>
      <w:r>
        <w:rPr>
          <w:sz w:val="20"/>
          <w:szCs w:val="20"/>
          <w:color w:val="auto"/>
        </w:rPr>
        <w:tab/>
      </w:r>
      <w:r>
        <w:rPr>
          <w:rFonts w:ascii="Arial" w:cs="Arial" w:eastAsia="Arial" w:hAnsi="Arial"/>
          <w:sz w:val="14"/>
          <w:szCs w:val="14"/>
          <w:i w:val="1"/>
          <w:iCs w:val="1"/>
          <w:color w:val="auto"/>
        </w:rPr>
        <w:t>Former President</w:t>
      </w:r>
    </w:p>
    <w:p>
      <w:pPr>
        <w:spacing w:after="0" w:line="40" w:lineRule="exact"/>
        <w:rPr>
          <w:sz w:val="20"/>
          <w:szCs w:val="20"/>
          <w:color w:val="auto"/>
        </w:rPr>
      </w:pPr>
    </w:p>
    <w:p>
      <w:pPr>
        <w:ind w:left="2340"/>
        <w:spacing w:after="0"/>
        <w:tabs>
          <w:tab w:leader="none" w:pos="7480" w:val="left"/>
        </w:tabs>
        <w:rPr>
          <w:sz w:val="20"/>
          <w:szCs w:val="20"/>
          <w:color w:val="auto"/>
        </w:rPr>
      </w:pPr>
      <w:r>
        <w:rPr>
          <w:rFonts w:ascii="Arial" w:cs="Arial" w:eastAsia="Arial" w:hAnsi="Arial"/>
          <w:sz w:val="14"/>
          <w:szCs w:val="14"/>
          <w:color w:val="auto"/>
        </w:rPr>
        <w:t>Brown-Forman Corporation</w:t>
      </w:r>
      <w:r>
        <w:rPr>
          <w:sz w:val="20"/>
          <w:szCs w:val="20"/>
          <w:color w:val="auto"/>
        </w:rPr>
        <w:tab/>
      </w:r>
      <w:r>
        <w:rPr>
          <w:rFonts w:ascii="Arial" w:cs="Arial" w:eastAsia="Arial" w:hAnsi="Arial"/>
          <w:sz w:val="14"/>
          <w:szCs w:val="14"/>
          <w:color w:val="auto"/>
        </w:rPr>
        <w:t>Nashville Health Care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328930</wp:posOffset>
            </wp:positionV>
            <wp:extent cx="916940" cy="1157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9">
                      <a:clrChange>
                        <a:clrFrom>
                          <a:srgbClr val="000000"/>
                        </a:clrFrom>
                        <a:clrTo>
                          <a:srgbClr val="000000">
                            <a:alpha val="0"/>
                          </a:srgbClr>
                        </a:clrTo>
                      </a:clrChange>
                      <a:extLst>
                        <a:ext uri="{28A0092B-C50C-407E-A947-70E740481C1C}"/>
                      </a:extLst>
                    </a:blip>
                    <a:srcRect/>
                    <a:stretch>
                      <a:fillRect/>
                    </a:stretch>
                  </pic:blipFill>
                  <pic:spPr bwMode="auto">
                    <a:xfrm>
                      <a:off x="0" y="0"/>
                      <a:ext cx="916940" cy="1157605"/>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328930</wp:posOffset>
            </wp:positionV>
            <wp:extent cx="916940" cy="1157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9169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340"/>
        <w:spacing w:after="0"/>
        <w:rPr>
          <w:sz w:val="20"/>
          <w:szCs w:val="20"/>
          <w:color w:val="auto"/>
        </w:rPr>
      </w:pPr>
      <w:r>
        <w:rPr>
          <w:rFonts w:ascii="Arial" w:cs="Arial" w:eastAsia="Arial" w:hAnsi="Arial"/>
          <w:sz w:val="22"/>
          <w:szCs w:val="22"/>
          <w:color w:val="00004D"/>
        </w:rPr>
        <w:t>Joseph C. Galante</w:t>
      </w:r>
    </w:p>
    <w:p>
      <w:pPr>
        <w:ind w:left="2340"/>
        <w:spacing w:after="0"/>
        <w:rPr>
          <w:sz w:val="20"/>
          <w:szCs w:val="20"/>
          <w:color w:val="auto"/>
        </w:rPr>
      </w:pPr>
      <w:r>
        <w:rPr>
          <w:rFonts w:ascii="Arial" w:cs="Arial" w:eastAsia="Arial" w:hAnsi="Arial"/>
          <w:sz w:val="18"/>
          <w:szCs w:val="18"/>
          <w:color w:val="00004D"/>
        </w:rPr>
        <w:t>Director</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4"/>
          <w:szCs w:val="14"/>
          <w:i w:val="1"/>
          <w:iCs w:val="1"/>
          <w:color w:val="auto"/>
        </w:rPr>
        <w:t>Former Chairman</w:t>
      </w:r>
    </w:p>
    <w:p>
      <w:pPr>
        <w:spacing w:after="0" w:line="40"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Sony Music Nashville</w:t>
      </w:r>
    </w:p>
    <w:p>
      <w:pPr>
        <w:spacing w:after="0" w:line="38" w:lineRule="exact"/>
        <w:rPr>
          <w:sz w:val="20"/>
          <w:szCs w:val="20"/>
          <w:color w:val="auto"/>
        </w:rPr>
      </w:pPr>
    </w:p>
    <w:p>
      <w:pPr>
        <w:ind w:left="2340"/>
        <w:spacing w:after="0"/>
        <w:rPr>
          <w:sz w:val="20"/>
          <w:szCs w:val="20"/>
          <w:color w:val="auto"/>
        </w:rPr>
      </w:pPr>
      <w:r>
        <w:rPr>
          <w:rFonts w:ascii="Arial" w:cs="Arial" w:eastAsia="Arial" w:hAnsi="Arial"/>
          <w:sz w:val="14"/>
          <w:szCs w:val="14"/>
          <w:i w:val="1"/>
          <w:iCs w:val="1"/>
          <w:color w:val="auto"/>
        </w:rPr>
        <w:t>Former President</w:t>
      </w:r>
    </w:p>
    <w:p>
      <w:pPr>
        <w:spacing w:after="0" w:line="40"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RCA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46"/>
          <w:szCs w:val="46"/>
          <w:color w:val="00004D"/>
        </w:rPr>
        <w:t>In Memoriam</w:t>
      </w:r>
    </w:p>
    <w:p>
      <w:pPr>
        <w:spacing w:after="0" w:line="389" w:lineRule="exact"/>
        <w:rPr>
          <w:sz w:val="20"/>
          <w:szCs w:val="20"/>
          <w:color w:val="auto"/>
        </w:rPr>
      </w:pPr>
    </w:p>
    <w:p>
      <w:pPr>
        <w:ind w:left="20" w:right="1840"/>
        <w:spacing w:after="0" w:line="236" w:lineRule="auto"/>
        <w:rPr>
          <w:sz w:val="20"/>
          <w:szCs w:val="20"/>
          <w:color w:val="auto"/>
        </w:rPr>
      </w:pPr>
      <w:r>
        <w:rPr>
          <w:rFonts w:ascii="Arial" w:cs="Arial" w:eastAsia="Arial" w:hAnsi="Arial"/>
          <w:sz w:val="20"/>
          <w:szCs w:val="20"/>
          <w:color w:val="auto"/>
        </w:rPr>
        <w:t>We were deeply saddened to lose two of our dedicated board members over the last year – Marty Cearnal and Joey Jacobs. Each was an outstanding leader, valued colleague and dear friend to 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228600</wp:posOffset>
            </wp:positionV>
            <wp:extent cx="916940" cy="1157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1">
                      <a:clrChange>
                        <a:clrFrom>
                          <a:srgbClr val="000000"/>
                        </a:clrFrom>
                        <a:clrTo>
                          <a:srgbClr val="000000">
                            <a:alpha val="0"/>
                          </a:srgbClr>
                        </a:clrTo>
                      </a:clrChange>
                      <a:extLst>
                        <a:ext uri="{28A0092B-C50C-407E-A947-70E740481C1C}"/>
                      </a:extLst>
                    </a:blip>
                    <a:srcRect/>
                    <a:stretch>
                      <a:fillRect/>
                    </a:stretch>
                  </pic:blipFill>
                  <pic:spPr bwMode="auto">
                    <a:xfrm>
                      <a:off x="0" y="0"/>
                      <a:ext cx="916940" cy="1157605"/>
                    </a:xfrm>
                    <a:prstGeom prst="rect">
                      <a:avLst/>
                    </a:prstGeom>
                    <a:noFill/>
                  </pic:spPr>
                </pic:pic>
              </a:graphicData>
            </a:graphic>
          </wp:anchor>
        </w:drawing>
        <w:drawing>
          <wp:anchor simplePos="0" relativeHeight="251657728" behindDoc="1" locked="0" layoutInCell="0" allowOverlap="1">
            <wp:simplePos x="0" y="0"/>
            <wp:positionH relativeFrom="column">
              <wp:posOffset>469900</wp:posOffset>
            </wp:positionH>
            <wp:positionV relativeFrom="paragraph">
              <wp:posOffset>228600</wp:posOffset>
            </wp:positionV>
            <wp:extent cx="916940" cy="1157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916940" cy="115760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2340" w:type="dxa"/>
        <w:tblCellMar>
          <w:top w:w="0" w:type="dxa"/>
          <w:left w:w="0" w:type="dxa"/>
          <w:bottom w:w="0" w:type="dxa"/>
          <w:right w:w="0" w:type="dxa"/>
        </w:tblCellMar>
      </w:tblPr>
      <w:tr>
        <w:trPr>
          <w:trHeight w:val="260"/>
        </w:trPr>
        <w:tc>
          <w:tcPr>
            <w:tcW w:w="3840" w:type="dxa"/>
            <w:vAlign w:val="bottom"/>
            <w:vMerge w:val="restart"/>
          </w:tcPr>
          <w:p>
            <w:pPr>
              <w:spacing w:after="0"/>
              <w:rPr>
                <w:sz w:val="20"/>
                <w:szCs w:val="20"/>
                <w:color w:val="auto"/>
              </w:rPr>
            </w:pPr>
            <w:r>
              <w:rPr>
                <w:rFonts w:ascii="Arial" w:cs="Arial" w:eastAsia="Arial" w:hAnsi="Arial"/>
                <w:sz w:val="22"/>
                <w:szCs w:val="22"/>
                <w:color w:val="00004D"/>
              </w:rPr>
              <w:t>MARTIN E. CEARNAL</w:t>
            </w:r>
          </w:p>
        </w:tc>
        <w:tc>
          <w:tcPr>
            <w:tcW w:w="3080" w:type="dxa"/>
            <w:vAlign w:val="bottom"/>
          </w:tcPr>
          <w:p>
            <w:pPr>
              <w:ind w:left="1320"/>
              <w:spacing w:after="0"/>
              <w:rPr>
                <w:sz w:val="20"/>
                <w:szCs w:val="20"/>
                <w:color w:val="auto"/>
              </w:rPr>
            </w:pPr>
            <w:r>
              <w:rPr>
                <w:rFonts w:ascii="Arial" w:cs="Arial" w:eastAsia="Arial" w:hAnsi="Arial"/>
                <w:sz w:val="22"/>
                <w:szCs w:val="22"/>
                <w:color w:val="00004D"/>
              </w:rPr>
              <w:t>JOEY JACOBS</w:t>
            </w:r>
          </w:p>
        </w:tc>
        <w:tc>
          <w:tcPr>
            <w:tcW w:w="0" w:type="dxa"/>
            <w:vAlign w:val="bottom"/>
          </w:tcPr>
          <w:p>
            <w:pPr>
              <w:spacing w:after="0"/>
              <w:rPr>
                <w:sz w:val="1"/>
                <w:szCs w:val="1"/>
                <w:color w:val="auto"/>
              </w:rPr>
            </w:pPr>
          </w:p>
        </w:tc>
      </w:tr>
      <w:tr>
        <w:trPr>
          <w:trHeight w:val="200"/>
        </w:trPr>
        <w:tc>
          <w:tcPr>
            <w:tcW w:w="3840" w:type="dxa"/>
            <w:vAlign w:val="bottom"/>
            <w:vMerge w:val="continue"/>
          </w:tcPr>
          <w:p>
            <w:pPr>
              <w:spacing w:after="0"/>
              <w:rPr>
                <w:sz w:val="17"/>
                <w:szCs w:val="17"/>
                <w:color w:val="auto"/>
              </w:rPr>
            </w:pPr>
          </w:p>
        </w:tc>
        <w:tc>
          <w:tcPr>
            <w:tcW w:w="3080" w:type="dxa"/>
            <w:vAlign w:val="bottom"/>
          </w:tcPr>
          <w:p>
            <w:pPr>
              <w:ind w:left="1320"/>
              <w:spacing w:after="0"/>
              <w:rPr>
                <w:sz w:val="20"/>
                <w:szCs w:val="20"/>
                <w:color w:val="auto"/>
              </w:rPr>
            </w:pPr>
            <w:r>
              <w:rPr>
                <w:rFonts w:ascii="Arial" w:cs="Arial" w:eastAsia="Arial" w:hAnsi="Arial"/>
                <w:sz w:val="14"/>
                <w:szCs w:val="14"/>
                <w:i w:val="1"/>
                <w:iCs w:val="1"/>
                <w:color w:val="auto"/>
              </w:rPr>
              <w:t>Former Chairman and Chief</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20"/>
                <w:szCs w:val="20"/>
                <w:color w:val="auto"/>
              </w:rPr>
            </w:pPr>
            <w:r>
              <w:rPr>
                <w:rFonts w:ascii="Arial" w:cs="Arial" w:eastAsia="Arial" w:hAnsi="Arial"/>
                <w:sz w:val="14"/>
                <w:szCs w:val="14"/>
                <w:i w:val="1"/>
                <w:iCs w:val="1"/>
                <w:color w:val="auto"/>
              </w:rPr>
              <w:t>Former Chief Commercial Officer</w:t>
            </w:r>
          </w:p>
        </w:tc>
        <w:tc>
          <w:tcPr>
            <w:tcW w:w="3080" w:type="dxa"/>
            <w:vAlign w:val="bottom"/>
          </w:tcPr>
          <w:p>
            <w:pPr>
              <w:ind w:left="1320"/>
              <w:spacing w:after="0"/>
              <w:rPr>
                <w:sz w:val="20"/>
                <w:szCs w:val="20"/>
                <w:color w:val="auto"/>
              </w:rPr>
            </w:pPr>
            <w:r>
              <w:rPr>
                <w:rFonts w:ascii="Arial" w:cs="Arial" w:eastAsia="Arial" w:hAnsi="Arial"/>
                <w:sz w:val="14"/>
                <w:szCs w:val="14"/>
                <w:i w:val="1"/>
                <w:iCs w:val="1"/>
                <w:color w:val="auto"/>
              </w:rPr>
              <w:t>Executive Officer</w:t>
            </w:r>
          </w:p>
        </w:tc>
        <w:tc>
          <w:tcPr>
            <w:tcW w:w="0" w:type="dxa"/>
            <w:vAlign w:val="bottom"/>
          </w:tcPr>
          <w:p>
            <w:pPr>
              <w:spacing w:after="0"/>
              <w:rPr>
                <w:sz w:val="1"/>
                <w:szCs w:val="1"/>
                <w:color w:val="auto"/>
              </w:rPr>
            </w:pPr>
          </w:p>
        </w:tc>
      </w:tr>
      <w:tr>
        <w:trPr>
          <w:trHeight w:val="200"/>
        </w:trPr>
        <w:tc>
          <w:tcPr>
            <w:tcW w:w="3840" w:type="dxa"/>
            <w:vAlign w:val="bottom"/>
          </w:tcPr>
          <w:p>
            <w:pPr>
              <w:spacing w:after="0"/>
              <w:rPr>
                <w:sz w:val="20"/>
                <w:szCs w:val="20"/>
                <w:color w:val="auto"/>
              </w:rPr>
            </w:pPr>
            <w:r>
              <w:rPr>
                <w:rFonts w:ascii="Arial" w:cs="Arial" w:eastAsia="Arial" w:hAnsi="Arial"/>
                <w:sz w:val="14"/>
                <w:szCs w:val="14"/>
                <w:color w:val="auto"/>
              </w:rPr>
              <w:t>Cumberland Pharmaceuticals</w:t>
            </w:r>
          </w:p>
        </w:tc>
        <w:tc>
          <w:tcPr>
            <w:tcW w:w="3080" w:type="dxa"/>
            <w:vAlign w:val="bottom"/>
          </w:tcPr>
          <w:p>
            <w:pPr>
              <w:ind w:left="1320"/>
              <w:spacing w:after="0"/>
              <w:rPr>
                <w:sz w:val="20"/>
                <w:szCs w:val="20"/>
                <w:color w:val="auto"/>
              </w:rPr>
            </w:pPr>
            <w:r>
              <w:rPr>
                <w:rFonts w:ascii="Arial" w:cs="Arial" w:eastAsia="Arial" w:hAnsi="Arial"/>
                <w:sz w:val="14"/>
                <w:szCs w:val="14"/>
                <w:color w:val="auto"/>
              </w:rPr>
              <w:t>Acadia Healthcare Co. Inc.</w:t>
            </w:r>
          </w:p>
        </w:tc>
        <w:tc>
          <w:tcPr>
            <w:tcW w:w="0" w:type="dxa"/>
            <w:vAlign w:val="bottom"/>
          </w:tcPr>
          <w:p>
            <w:pPr>
              <w:spacing w:after="0"/>
              <w:rPr>
                <w:sz w:val="1"/>
                <w:szCs w:val="1"/>
                <w:color w:val="auto"/>
              </w:rPr>
            </w:pPr>
          </w:p>
        </w:tc>
      </w:tr>
      <w:tr>
        <w:trPr>
          <w:trHeight w:val="200"/>
        </w:trPr>
        <w:tc>
          <w:tcPr>
            <w:tcW w:w="3840" w:type="dxa"/>
            <w:vAlign w:val="bottom"/>
          </w:tcPr>
          <w:p>
            <w:pPr>
              <w:spacing w:after="0"/>
              <w:rPr>
                <w:sz w:val="20"/>
                <w:szCs w:val="20"/>
                <w:color w:val="auto"/>
              </w:rPr>
            </w:pPr>
            <w:r>
              <w:rPr>
                <w:rFonts w:ascii="Arial" w:cs="Arial" w:eastAsia="Arial" w:hAnsi="Arial"/>
                <w:sz w:val="14"/>
                <w:szCs w:val="14"/>
                <w:i w:val="1"/>
                <w:iCs w:val="1"/>
                <w:color w:val="auto"/>
              </w:rPr>
              <w:t>Former President</w:t>
            </w:r>
          </w:p>
        </w:tc>
        <w:tc>
          <w:tcPr>
            <w:tcW w:w="3080" w:type="dxa"/>
            <w:vAlign w:val="bottom"/>
          </w:tcPr>
          <w:p>
            <w:pPr>
              <w:ind w:left="1320"/>
              <w:spacing w:after="0"/>
              <w:rPr>
                <w:sz w:val="20"/>
                <w:szCs w:val="20"/>
                <w:color w:val="auto"/>
              </w:rPr>
            </w:pPr>
            <w:r>
              <w:rPr>
                <w:rFonts w:ascii="Arial" w:cs="Arial" w:eastAsia="Arial" w:hAnsi="Arial"/>
                <w:sz w:val="14"/>
                <w:szCs w:val="14"/>
                <w:i w:val="1"/>
                <w:iCs w:val="1"/>
                <w:color w:val="auto"/>
              </w:rPr>
              <w:t>Former Chairman and</w:t>
            </w:r>
          </w:p>
        </w:tc>
        <w:tc>
          <w:tcPr>
            <w:tcW w:w="0" w:type="dxa"/>
            <w:vAlign w:val="bottom"/>
          </w:tcPr>
          <w:p>
            <w:pPr>
              <w:spacing w:after="0"/>
              <w:rPr>
                <w:sz w:val="1"/>
                <w:szCs w:val="1"/>
                <w:color w:val="auto"/>
              </w:rPr>
            </w:pPr>
          </w:p>
        </w:tc>
      </w:tr>
      <w:tr>
        <w:trPr>
          <w:trHeight w:val="200"/>
        </w:trPr>
        <w:tc>
          <w:tcPr>
            <w:tcW w:w="3840" w:type="dxa"/>
            <w:vAlign w:val="bottom"/>
          </w:tcPr>
          <w:p>
            <w:pPr>
              <w:spacing w:after="0"/>
              <w:rPr>
                <w:sz w:val="20"/>
                <w:szCs w:val="20"/>
                <w:color w:val="auto"/>
              </w:rPr>
            </w:pPr>
            <w:r>
              <w:rPr>
                <w:rFonts w:ascii="Arial" w:cs="Arial" w:eastAsia="Arial" w:hAnsi="Arial"/>
                <w:sz w:val="14"/>
                <w:szCs w:val="14"/>
                <w:color w:val="auto"/>
              </w:rPr>
              <w:t>Cumberland Sales Corporation</w:t>
            </w:r>
          </w:p>
        </w:tc>
        <w:tc>
          <w:tcPr>
            <w:tcW w:w="3080" w:type="dxa"/>
            <w:vAlign w:val="bottom"/>
          </w:tcPr>
          <w:p>
            <w:pPr>
              <w:ind w:left="1320"/>
              <w:spacing w:after="0"/>
              <w:rPr>
                <w:sz w:val="20"/>
                <w:szCs w:val="20"/>
                <w:color w:val="auto"/>
              </w:rPr>
            </w:pPr>
            <w:r>
              <w:rPr>
                <w:rFonts w:ascii="Arial" w:cs="Arial" w:eastAsia="Arial" w:hAnsi="Arial"/>
                <w:sz w:val="14"/>
                <w:szCs w:val="14"/>
                <w:i w:val="1"/>
                <w:iCs w:val="1"/>
                <w:color w:val="auto"/>
              </w:rPr>
              <w:t>Chief Executive Officer</w:t>
            </w: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3080" w:type="dxa"/>
            <w:vAlign w:val="bottom"/>
          </w:tcPr>
          <w:p>
            <w:pPr>
              <w:ind w:left="1320"/>
              <w:spacing w:after="0"/>
              <w:rPr>
                <w:sz w:val="20"/>
                <w:szCs w:val="20"/>
                <w:color w:val="auto"/>
              </w:rPr>
            </w:pPr>
            <w:r>
              <w:rPr>
                <w:rFonts w:ascii="Arial" w:cs="Arial" w:eastAsia="Arial" w:hAnsi="Arial"/>
                <w:sz w:val="14"/>
                <w:szCs w:val="14"/>
                <w:color w:val="auto"/>
              </w:rPr>
              <w:t>Psychiatric Solutions,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24480" w:h="15840" w:orient="landscape"/>
          <w:cols w:equalWidth="0" w:num="2">
            <w:col w:w="11860" w:space="720"/>
            <w:col w:w="11520"/>
          </w:cols>
          <w:pgMar w:left="380" w:top="995" w:right="0" w:bottom="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tabs>
          <w:tab w:leader="none" w:pos="440" w:val="left"/>
          <w:tab w:leader="none" w:pos="21420" w:val="left"/>
        </w:tabs>
        <w:rPr>
          <w:sz w:val="20"/>
          <w:szCs w:val="20"/>
          <w:color w:val="auto"/>
        </w:rPr>
      </w:pPr>
      <w:r>
        <w:rPr>
          <w:rFonts w:ascii="Arial" w:cs="Arial" w:eastAsia="Arial" w:hAnsi="Arial"/>
          <w:sz w:val="20"/>
          <w:szCs w:val="20"/>
          <w:color w:val="00004D"/>
        </w:rPr>
        <w:t>12</w:t>
      </w:r>
      <w:r>
        <w:rPr>
          <w:sz w:val="20"/>
          <w:szCs w:val="20"/>
          <w:color w:val="auto"/>
        </w:rPr>
        <w:tab/>
      </w:r>
      <w:r>
        <w:rPr>
          <w:rFonts w:ascii="Arial" w:cs="Arial" w:eastAsia="Arial" w:hAnsi="Arial"/>
          <w:sz w:val="16"/>
          <w:szCs w:val="16"/>
          <w:color w:val="00004D"/>
        </w:rPr>
        <w:t xml:space="preserve">Cumberland Pharmaceuticals — </w:t>
      </w:r>
      <w:r>
        <w:rPr>
          <w:rFonts w:ascii="Arial" w:cs="Arial" w:eastAsia="Arial" w:hAnsi="Arial"/>
          <w:sz w:val="16"/>
          <w:szCs w:val="16"/>
          <w:color w:val="377FA7"/>
        </w:rPr>
        <w:t>Quality Medicines to Enhance Patients’ Quality of Life</w:t>
      </w:r>
      <w:r>
        <w:rPr>
          <w:sz w:val="20"/>
          <w:szCs w:val="20"/>
          <w:color w:val="auto"/>
        </w:rPr>
        <w:tab/>
      </w:r>
      <w:r>
        <w:rPr>
          <w:rFonts w:ascii="Arial" w:cs="Arial" w:eastAsia="Arial" w:hAnsi="Arial"/>
          <w:sz w:val="16"/>
          <w:szCs w:val="16"/>
          <w:color w:val="00004D"/>
        </w:rPr>
        <w:t xml:space="preserve">2022 Annual Report </w:t>
      </w:r>
      <w:r>
        <w:rPr>
          <w:sz w:val="1"/>
          <w:szCs w:val="1"/>
          <w:color w:val="auto"/>
        </w:rPr>
        <w:drawing>
          <wp:inline distT="0" distB="0" distL="0" distR="0">
            <wp:extent cx="457200" cy="23749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extLst>
                        <a:ext uri="{28A0092B-C50C-407E-A947-70E740481C1C}"/>
                      </a:extLst>
                    </a:blip>
                    <a:srcRect/>
                    <a:stretch>
                      <a:fillRect/>
                    </a:stretch>
                  </pic:blipFill>
                  <pic:spPr bwMode="auto">
                    <a:xfrm>
                      <a:off x="0" y="0"/>
                      <a:ext cx="457200" cy="237490"/>
                    </a:xfrm>
                    <a:prstGeom prst="rect">
                      <a:avLst/>
                    </a:prstGeom>
                    <a:noFill/>
                    <a:ln>
                      <a:noFill/>
                    </a:ln>
                  </pic:spPr>
                </pic:pic>
              </a:graphicData>
            </a:graphic>
          </wp:inline>
        </w:drawing>
      </w:r>
    </w:p>
    <w:p>
      <w:pPr>
        <w:sectPr>
          <w:pgSz w:w="24480" w:h="15840" w:orient="landscape"/>
          <w:cols w:equalWidth="0" w:num="1">
            <w:col w:w="24100"/>
          </w:cols>
          <w:pgMar w:left="380" w:top="995" w:right="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spacing w:after="0"/>
        <w:rPr>
          <w:sz w:val="20"/>
          <w:szCs w:val="20"/>
          <w:color w:val="auto"/>
        </w:rPr>
      </w:pPr>
      <w:r>
        <w:rPr>
          <w:rFonts w:ascii="Arial" w:cs="Arial" w:eastAsia="Arial" w:hAnsi="Arial"/>
          <w:sz w:val="40"/>
          <w:szCs w:val="40"/>
          <w:color w:val="00004D"/>
        </w:rPr>
        <w:t>Corporate Information</w:t>
      </w:r>
    </w:p>
    <w:p>
      <w:pPr>
        <w:sectPr>
          <w:pgSz w:w="12240" w:h="15840" w:orient="portrait"/>
          <w:cols w:equalWidth="0" w:num="1">
            <w:col w:w="9360"/>
          </w:cols>
          <w:pgMar w:left="1440" w:top="1440" w:right="1440" w:bottom="1440" w:gutter="0" w:footer="0" w:header="0"/>
        </w:sectPr>
      </w:pPr>
    </w:p>
    <w:p>
      <w:pPr>
        <w:spacing w:after="0" w:line="297" w:lineRule="exact"/>
        <w:rPr>
          <w:sz w:val="20"/>
          <w:szCs w:val="20"/>
          <w:color w:val="auto"/>
        </w:rPr>
      </w:pPr>
    </w:p>
    <w:p>
      <w:pPr>
        <w:ind w:left="2060"/>
        <w:spacing w:after="0"/>
        <w:rPr>
          <w:sz w:val="20"/>
          <w:szCs w:val="20"/>
          <w:color w:val="auto"/>
        </w:rPr>
      </w:pPr>
      <w:r>
        <w:rPr>
          <w:rFonts w:ascii="Arial" w:cs="Arial" w:eastAsia="Arial" w:hAnsi="Arial"/>
          <w:sz w:val="24"/>
          <w:szCs w:val="24"/>
          <w:color w:val="FFFFFF"/>
        </w:rPr>
        <w:t>Stock Listing</w:t>
      </w:r>
    </w:p>
    <w:p>
      <w:pPr>
        <w:spacing w:after="0" w:line="2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NASDAQ Global Select</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Market Ticker Symbol: CPIX</w:t>
      </w:r>
    </w:p>
    <w:p>
      <w:pPr>
        <w:spacing w:after="0" w:line="293" w:lineRule="exact"/>
        <w:rPr>
          <w:sz w:val="20"/>
          <w:szCs w:val="20"/>
          <w:color w:val="auto"/>
        </w:rPr>
      </w:pPr>
    </w:p>
    <w:p>
      <w:pPr>
        <w:ind w:left="2060"/>
        <w:spacing w:after="0"/>
        <w:rPr>
          <w:sz w:val="20"/>
          <w:szCs w:val="20"/>
          <w:color w:val="auto"/>
        </w:rPr>
      </w:pPr>
      <w:r>
        <w:rPr>
          <w:rFonts w:ascii="Arial" w:cs="Arial" w:eastAsia="Arial" w:hAnsi="Arial"/>
          <w:sz w:val="24"/>
          <w:szCs w:val="24"/>
          <w:color w:val="FFFFFF"/>
        </w:rPr>
        <w:t>Annual Meeting</w:t>
      </w:r>
    </w:p>
    <w:p>
      <w:pPr>
        <w:spacing w:after="0" w:line="2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9:30 a.m. Central Time</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Tuesday, April 25, 2023</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Cumberland Headquarters</w:t>
      </w:r>
    </w:p>
    <w:p>
      <w:pPr>
        <w:spacing w:after="0" w:line="33" w:lineRule="exact"/>
        <w:rPr>
          <w:sz w:val="20"/>
          <w:szCs w:val="20"/>
          <w:color w:val="auto"/>
        </w:rPr>
      </w:pPr>
    </w:p>
    <w:p>
      <w:pPr>
        <w:ind w:left="2060" w:right="320"/>
        <w:spacing w:after="0" w:line="280" w:lineRule="auto"/>
        <w:rPr>
          <w:sz w:val="20"/>
          <w:szCs w:val="20"/>
          <w:color w:val="auto"/>
        </w:rPr>
      </w:pPr>
      <w:r>
        <w:rPr>
          <w:rFonts w:ascii="Arial" w:cs="Arial" w:eastAsia="Arial" w:hAnsi="Arial"/>
          <w:sz w:val="18"/>
          <w:szCs w:val="18"/>
          <w:color w:val="auto"/>
        </w:rPr>
        <w:t>1600 West End Avenue, Suite 1300 Nashville, TN 37203</w:t>
      </w:r>
    </w:p>
    <w:p>
      <w:pPr>
        <w:spacing w:after="0" w:line="357" w:lineRule="exact"/>
        <w:rPr>
          <w:sz w:val="20"/>
          <w:szCs w:val="20"/>
          <w:color w:val="auto"/>
        </w:rPr>
      </w:pPr>
    </w:p>
    <w:p>
      <w:pPr>
        <w:ind w:left="2060"/>
        <w:spacing w:after="0" w:line="249" w:lineRule="auto"/>
        <w:rPr>
          <w:sz w:val="20"/>
          <w:szCs w:val="20"/>
          <w:color w:val="auto"/>
        </w:rPr>
      </w:pPr>
      <w:r>
        <w:rPr>
          <w:rFonts w:ascii="Arial" w:cs="Arial" w:eastAsia="Arial" w:hAnsi="Arial"/>
          <w:sz w:val="24"/>
          <w:szCs w:val="24"/>
          <w:color w:val="FFFFFF"/>
        </w:rPr>
        <w:t>Independent Registered Public Accounting Firm</w:t>
      </w:r>
    </w:p>
    <w:p>
      <w:pPr>
        <w:spacing w:after="0" w:line="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FORVIS, LLP</w:t>
      </w:r>
    </w:p>
    <w:p>
      <w:pPr>
        <w:spacing w:after="0" w:line="33" w:lineRule="exact"/>
        <w:rPr>
          <w:sz w:val="20"/>
          <w:szCs w:val="20"/>
          <w:color w:val="auto"/>
        </w:rPr>
      </w:pPr>
    </w:p>
    <w:p>
      <w:pPr>
        <w:ind w:left="2060" w:right="260"/>
        <w:spacing w:after="0" w:line="278" w:lineRule="auto"/>
        <w:rPr>
          <w:sz w:val="20"/>
          <w:szCs w:val="20"/>
          <w:color w:val="auto"/>
        </w:rPr>
      </w:pPr>
      <w:r>
        <w:rPr>
          <w:rFonts w:ascii="Arial" w:cs="Arial" w:eastAsia="Arial" w:hAnsi="Arial"/>
          <w:sz w:val="18"/>
          <w:szCs w:val="18"/>
          <w:color w:val="auto"/>
        </w:rPr>
        <w:t>1222 Demonbreun Street, Suite 950 Nashville, TN 37203</w:t>
      </w:r>
    </w:p>
    <w:p>
      <w:pPr>
        <w:ind w:left="2060"/>
        <w:spacing w:after="0"/>
        <w:rPr>
          <w:sz w:val="20"/>
          <w:szCs w:val="20"/>
          <w:color w:val="auto"/>
        </w:rPr>
      </w:pPr>
      <w:r>
        <w:rPr>
          <w:rFonts w:ascii="Arial" w:cs="Arial" w:eastAsia="Arial" w:hAnsi="Arial"/>
          <w:sz w:val="18"/>
          <w:szCs w:val="18"/>
          <w:color w:val="auto"/>
        </w:rPr>
        <w:t>(615) 454-9800</w:t>
      </w:r>
    </w:p>
    <w:p>
      <w:pPr>
        <w:spacing w:after="0" w:line="393" w:lineRule="exact"/>
        <w:rPr>
          <w:sz w:val="20"/>
          <w:szCs w:val="20"/>
          <w:color w:val="auto"/>
        </w:rPr>
      </w:pPr>
    </w:p>
    <w:p>
      <w:pPr>
        <w:ind w:left="2060"/>
        <w:spacing w:after="0"/>
        <w:rPr>
          <w:sz w:val="20"/>
          <w:szCs w:val="20"/>
          <w:color w:val="auto"/>
        </w:rPr>
      </w:pPr>
      <w:r>
        <w:rPr>
          <w:rFonts w:ascii="Arial" w:cs="Arial" w:eastAsia="Arial" w:hAnsi="Arial"/>
          <w:sz w:val="24"/>
          <w:szCs w:val="24"/>
          <w:color w:val="FFFFFF"/>
        </w:rPr>
        <w:t>Transfer Agent and</w:t>
      </w:r>
    </w:p>
    <w:p>
      <w:pPr>
        <w:spacing w:after="0" w:line="4" w:lineRule="exact"/>
        <w:rPr>
          <w:sz w:val="20"/>
          <w:szCs w:val="20"/>
          <w:color w:val="auto"/>
        </w:rPr>
      </w:pPr>
    </w:p>
    <w:p>
      <w:pPr>
        <w:ind w:left="2060"/>
        <w:spacing w:after="0"/>
        <w:rPr>
          <w:sz w:val="20"/>
          <w:szCs w:val="20"/>
          <w:color w:val="auto"/>
        </w:rPr>
      </w:pPr>
      <w:r>
        <w:rPr>
          <w:rFonts w:ascii="Arial" w:cs="Arial" w:eastAsia="Arial" w:hAnsi="Arial"/>
          <w:sz w:val="24"/>
          <w:szCs w:val="24"/>
          <w:color w:val="FFFFFF"/>
        </w:rPr>
        <w:t>Registrar</w:t>
      </w:r>
    </w:p>
    <w:p>
      <w:pPr>
        <w:spacing w:after="0" w:line="2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Continental Stock Transfer</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&amp; Trust Company</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 State Street, 30th Floor</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New York, NY 10004</w:t>
      </w:r>
    </w:p>
    <w:p>
      <w:pPr>
        <w:spacing w:after="0" w:line="33" w:lineRule="exact"/>
        <w:rPr>
          <w:sz w:val="20"/>
          <w:szCs w:val="20"/>
          <w:color w:val="auto"/>
        </w:rPr>
      </w:pPr>
    </w:p>
    <w:p>
      <w:pPr>
        <w:ind w:left="2520" w:hanging="458"/>
        <w:spacing w:after="0"/>
        <w:tabs>
          <w:tab w:leader="none" w:pos="2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509-5586</w:t>
      </w:r>
    </w:p>
    <w:p>
      <w:pPr>
        <w:spacing w:after="0" w:line="32" w:lineRule="exact"/>
        <w:rPr>
          <w:rFonts w:ascii="Arial" w:cs="Arial" w:eastAsia="Arial" w:hAnsi="Arial"/>
          <w:sz w:val="18"/>
          <w:szCs w:val="18"/>
          <w:color w:val="auto"/>
        </w:rPr>
      </w:pPr>
    </w:p>
    <w:p>
      <w:pPr>
        <w:ind w:left="2060" w:right="700" w:firstLine="2"/>
        <w:spacing w:after="0" w:line="280" w:lineRule="auto"/>
        <w:tabs>
          <w:tab w:leader="none" w:pos="25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509-4000 cstmail@continentalstock.com</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right="1360"/>
        <w:spacing w:after="0" w:line="249" w:lineRule="auto"/>
        <w:rPr>
          <w:sz w:val="20"/>
          <w:szCs w:val="20"/>
          <w:color w:val="auto"/>
        </w:rPr>
      </w:pPr>
      <w:r>
        <w:rPr>
          <w:rFonts w:ascii="Arial" w:cs="Arial" w:eastAsia="Arial" w:hAnsi="Arial"/>
          <w:sz w:val="24"/>
          <w:szCs w:val="24"/>
          <w:color w:val="FFFFFF"/>
        </w:rPr>
        <w:t>Forward-Looking Statements</w:t>
      </w:r>
    </w:p>
    <w:p>
      <w:pPr>
        <w:spacing w:after="0" w:line="7"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color w:val="auto"/>
        </w:rPr>
        <w:t>This annual report includes forward-looking statements regarding expected future results of the company. A variety of factors could cause actual results to differ materially from expected results. Please see the risk factors more fully described in our Annual Report on Form 10-K for the year ended December 31, 2022, which is filed with the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FFFFFF"/>
        </w:rPr>
        <w:t>Company Headquarters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1600 West End Avenue,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Suite 1300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Phone: (615) 255-0068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Toll Free: (877) 484-2700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Fax: (615) 255-0094</w:t>
      </w:r>
    </w:p>
    <w:sectPr>
      <w:pgSz w:w="12240" w:h="15840" w:orient="portrait"/>
      <w:cols w:equalWidth="0" w:num="2">
        <w:col w:w="5260" w:space="480"/>
        <w:col w:w="362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endash "/>
      <w:numFmt w:val="bullet"/>
      <w:start w:val="1"/>
    </w:lvl>
  </w:abstractNum>
  <w:abstractNum w:abstractNumId="5">
    <w:nsid w:val="12200854"/>
    <w:multiLevelType w:val="hybridMultilevel"/>
    <w:lvl w:ilvl="0">
      <w:lvlJc w:val="left"/>
      <w:lvlText w:val="\endash "/>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800"/>
    </w:lvl>
  </w:abstractNum>
  <w:abstractNum w:abstractNumId="12">
    <w:nsid w:val="3352255A"/>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2023-03-22T20:21:04Z</dcterms:created>
  <dcterms:modified xsi:type="dcterms:W3CDTF">2023-03-22T20:21:04Z</dcterms:modified>
</cp:coreProperties>
</file>