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 w:lineRule="exact"/>
        <w:rPr>
          <w:sz w:val="24"/>
          <w:szCs w:val="24"/>
          <w:color w:val="auto"/>
        </w:rPr>
      </w:pPr>
    </w:p>
    <w:p>
      <w:pPr>
        <w:ind w:left="700" w:hanging="654"/>
        <w:spacing w:after="0"/>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3"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001-33637</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470" w:type="dxa"/>
        <w:tblCellMar>
          <w:top w:w="0" w:type="dxa"/>
          <w:left w:w="0" w:type="dxa"/>
          <w:bottom w:w="0" w:type="dxa"/>
          <w:right w:w="0" w:type="dxa"/>
        </w:tblCellMar>
      </w:tblPr>
      <w:tr>
        <w:trPr>
          <w:trHeight w:val="227"/>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tcPr>
          <w:p>
            <w:pPr>
              <w:jc w:val="right"/>
              <w:ind w:right="758"/>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149"/>
        </w:trPr>
        <w:tc>
          <w:tcPr>
            <w:tcW w:w="2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jc w:val="center"/>
              <w:ind w:left="83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1600 West End Avenue, Suite 1300,</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80" w:type="dxa"/>
            <w:vAlign w:val="bottom"/>
            <w:vMerge w:val="restart"/>
          </w:tcPr>
          <w:p>
            <w:pPr>
              <w:jc w:val="right"/>
              <w:ind w:right="958"/>
              <w:spacing w:after="0"/>
              <w:rPr>
                <w:sz w:val="20"/>
                <w:szCs w:val="20"/>
                <w:color w:val="auto"/>
              </w:rPr>
            </w:pPr>
            <w:r>
              <w:rPr>
                <w:rFonts w:ascii="Times New Roman" w:cs="Times New Roman" w:eastAsia="Times New Roman" w:hAnsi="Times New Roman"/>
                <w:sz w:val="18"/>
                <w:szCs w:val="18"/>
                <w:b w:val="1"/>
                <w:bCs w:val="1"/>
                <w:color w:val="auto"/>
              </w:rPr>
              <w:t>37203</w:t>
            </w:r>
          </w:p>
        </w:tc>
        <w:tc>
          <w:tcPr>
            <w:tcW w:w="0" w:type="dxa"/>
            <w:vAlign w:val="bottom"/>
          </w:tcPr>
          <w:p>
            <w:pPr>
              <w:spacing w:after="0"/>
              <w:rPr>
                <w:sz w:val="1"/>
                <w:szCs w:val="1"/>
                <w:color w:val="auto"/>
              </w:rPr>
            </w:pPr>
          </w:p>
        </w:tc>
      </w:tr>
      <w:tr>
        <w:trPr>
          <w:trHeight w:val="227"/>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(615) 255-0068</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auto"/>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360" w:type="dxa"/>
            <w:vAlign w:val="bottom"/>
            <w:tcBorders>
              <w:left w:val="single" w:sz="8" w:color="auto"/>
              <w:right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34"/>
        </w:trPr>
        <w:tc>
          <w:tcPr>
            <w:tcW w:w="2820" w:type="dxa"/>
            <w:vAlign w:val="bottom"/>
            <w:tcBorders>
              <w:lef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w:t>
            </w:r>
          </w:p>
        </w:tc>
        <w:tc>
          <w:tcPr>
            <w:tcW w:w="20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80" w:type="dxa"/>
            <w:vAlign w:val="bottom"/>
            <w:tcBorders>
              <w:right w:val="single" w:sz="8" w:color="auto"/>
            </w:tcBorders>
          </w:tcPr>
          <w:p>
            <w:pPr>
              <w:jc w:val="center"/>
              <w:ind w:right="298"/>
              <w:spacing w:after="0"/>
              <w:rPr>
                <w:sz w:val="20"/>
                <w:szCs w:val="20"/>
                <w:color w:val="auto"/>
              </w:rPr>
            </w:pPr>
            <w:r>
              <w:rPr>
                <w:rFonts w:ascii="Times New Roman" w:cs="Times New Roman" w:eastAsia="Times New Roman" w:hAnsi="Times New Roman"/>
                <w:sz w:val="18"/>
                <w:szCs w:val="18"/>
                <w:color w:val="auto"/>
              </w:rPr>
              <w:t>Name of exchange on which registered</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CPIX</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right w:val="single" w:sz="8" w:color="auto"/>
            </w:tcBorders>
          </w:tcPr>
          <w:p>
            <w:pPr>
              <w:jc w:val="center"/>
              <w:ind w:right="278"/>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97"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0"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6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3"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w:t>
      </w: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the</w:t>
            </w:r>
          </w:p>
        </w:tc>
        <w:tc>
          <w:tcPr>
            <w:tcW w:w="4540" w:type="dxa"/>
            <w:vAlign w:val="bottom"/>
          </w:tcPr>
          <w:p>
            <w:pPr>
              <w:ind w:left="2820"/>
              <w:spacing w:after="0" w:line="189" w:lineRule="exact"/>
              <w:rPr>
                <w:sz w:val="20"/>
                <w:szCs w:val="20"/>
                <w:color w:val="auto"/>
              </w:rPr>
            </w:pPr>
            <w:r>
              <w:rPr>
                <w:rFonts w:ascii="Times New Roman" w:cs="Times New Roman" w:eastAsia="Times New Roman" w:hAnsi="Times New Roman"/>
                <w:sz w:val="17"/>
                <w:szCs w:val="17"/>
                <w:color w:val="auto"/>
              </w:rPr>
              <w:t>Exchange</w:t>
            </w:r>
          </w:p>
        </w:tc>
        <w:tc>
          <w:tcPr>
            <w:tcW w:w="3460" w:type="dxa"/>
            <w:vAlign w:val="bottom"/>
          </w:tcPr>
          <w:p>
            <w:pPr>
              <w:spacing w:after="0"/>
              <w:rPr>
                <w:sz w:val="16"/>
                <w:szCs w:val="16"/>
                <w:color w:val="auto"/>
              </w:rPr>
            </w:pPr>
          </w:p>
        </w:tc>
        <w:tc>
          <w:tcPr>
            <w:tcW w:w="800" w:type="dxa"/>
            <w:vAlign w:val="bottom"/>
          </w:tcPr>
          <w:p>
            <w:pPr>
              <w:ind w:left="520"/>
              <w:spacing w:after="0" w:line="189" w:lineRule="exact"/>
              <w:rPr>
                <w:sz w:val="20"/>
                <w:szCs w:val="20"/>
                <w:color w:val="auto"/>
              </w:rPr>
            </w:pPr>
            <w:r>
              <w:rPr>
                <w:rFonts w:ascii="Times New Roman" w:cs="Times New Roman" w:eastAsia="Times New Roman" w:hAnsi="Times New Roman"/>
                <w:sz w:val="17"/>
                <w:szCs w:val="17"/>
                <w:color w:val="auto"/>
                <w:w w:val="90"/>
              </w:rPr>
              <w:t>Act.</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Accelerated filer</w:t>
            </w:r>
          </w:p>
        </w:tc>
        <w:tc>
          <w:tcPr>
            <w:tcW w:w="8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87"/>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170"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9" w:lineRule="exact"/>
        <w:rPr>
          <w:sz w:val="24"/>
          <w:szCs w:val="24"/>
          <w:color w:val="auto"/>
        </w:rPr>
      </w:pPr>
    </w:p>
    <w:p>
      <w:pPr>
        <w:spacing w:after="0" w:line="196" w:lineRule="exact"/>
        <w:tabs>
          <w:tab w:leader="none" w:pos="84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14,042,304 shares of common stock as of November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180" w:type="dxa"/>
            <w:vAlign w:val="bottom"/>
            <w:gridSpan w:val="9"/>
          </w:tcPr>
          <w:p>
            <w:pPr>
              <w:spacing w:after="0"/>
              <w:rPr>
                <w:sz w:val="17"/>
                <w:szCs w:val="17"/>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7"/>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5"/>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4460" w:type="dxa"/>
            <w:vAlign w:val="bottom"/>
            <w:gridSpan w:val="3"/>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8"/>
          </w:tcPr>
          <w:p>
            <w:pPr>
              <w:spacing w:after="0"/>
              <w:rPr>
                <w:sz w:val="24"/>
                <w:szCs w:val="24"/>
                <w:color w:val="auto"/>
              </w:rPr>
            </w:pP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34</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460" w:type="dxa"/>
            <w:vAlign w:val="bottom"/>
          </w:tcPr>
          <w:p>
            <w:pPr>
              <w:spacing w:after="0"/>
              <w:rPr>
                <w:sz w:val="24"/>
                <w:szCs w:val="24"/>
                <w:color w:val="auto"/>
              </w:rPr>
            </w:pPr>
          </w:p>
        </w:tc>
        <w:tc>
          <w:tcPr>
            <w:tcW w:w="650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9"/>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280" w:type="dxa"/>
            <w:vAlign w:val="bottom"/>
          </w:tcPr>
          <w:p>
            <w:pPr>
              <w:spacing w:after="0"/>
              <w:rPr>
                <w:sz w:val="24"/>
                <w:szCs w:val="24"/>
                <w:color w:val="auto"/>
              </w:rPr>
            </w:pPr>
          </w:p>
        </w:tc>
        <w:tc>
          <w:tcPr>
            <w:tcW w:w="696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2.</w:t>
            </w:r>
          </w:p>
        </w:tc>
        <w:tc>
          <w:tcPr>
            <w:tcW w:w="43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40" w:type="dxa"/>
            <w:vAlign w:val="bottom"/>
            <w:gridSpan w:val="9"/>
          </w:tcPr>
          <w:p>
            <w:pPr>
              <w:spacing w:after="0"/>
              <w:rPr>
                <w:sz w:val="24"/>
                <w:szCs w:val="24"/>
                <w:color w:val="auto"/>
              </w:rPr>
            </w:pP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696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36</w:t>
            </w:r>
          </w:p>
        </w:tc>
      </w:tr>
      <w:tr>
        <w:trPr>
          <w:trHeight w:val="128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17,464,754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9,758,176</w:t>
            </w: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4,509,669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4,609,362</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1,951,358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3,025,248</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35,236,406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35,714,410</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11,831,927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12,804,529</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367,903</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22,607,918</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6,208,411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6,674,394</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2,829,506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2,692,921</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76,747,513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81,776,075</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14,037,629</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348,092</w:t>
            </w: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revolving line of credit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12,649,195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13,596,528</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31,087,515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27,982,249</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 long term</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10,102,672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12,784,144</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5,296,247</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6,090,722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6,453,566</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52,278,121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52,516,206</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175"/>
        </w:trPr>
        <w:tc>
          <w:tcPr>
            <w:tcW w:w="66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stock—no par value; 100,000,000 shares authorized; 14,010,736 and</w:t>
            </w: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5"/>
        </w:trPr>
        <w:tc>
          <w:tcPr>
            <w:tcW w:w="66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14,121,833 shares issued and outstanding as of September 30, 2024 and December 31,</w:t>
            </w: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43"/>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 respectively</w:t>
            </w: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46,843,203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47,091,602</w:t>
            </w: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(22,064,117)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(17,488,161)</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24,779,086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29,603,441</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(343,572)</w:t>
            </w:r>
          </w:p>
        </w:tc>
      </w:tr>
      <w:tr>
        <w:trPr>
          <w:trHeight w:val="223"/>
        </w:trPr>
        <w:tc>
          <w:tcPr>
            <w:tcW w:w="6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24,469,392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29,259,869</w:t>
            </w:r>
          </w:p>
        </w:tc>
      </w:tr>
      <w:tr>
        <w:trPr>
          <w:trHeight w:val="248"/>
        </w:trPr>
        <w:tc>
          <w:tcPr>
            <w:tcW w:w="6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76,747,513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81,776,075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1" w:right="4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30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7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9,085,826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10,085,926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27,432,376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30,199,441</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4,536,628</w:t>
            </w:r>
          </w:p>
        </w:tc>
        <w:tc>
          <w:tcPr>
            <w:tcW w:w="0" w:type="dxa"/>
            <w:vAlign w:val="bottom"/>
          </w:tcPr>
          <w:p>
            <w:pPr>
              <w:spacing w:after="0"/>
              <w:rPr>
                <w:sz w:val="1"/>
                <w:szCs w:val="1"/>
                <w:color w:val="auto"/>
              </w:rPr>
            </w:pPr>
          </w:p>
        </w:tc>
      </w:tr>
      <w:tr>
        <w:trPr>
          <w:trHeight w:val="229"/>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4,397,480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12,800,469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13,692,535</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1,924,768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3,523,535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4,569,476</w:t>
            </w:r>
          </w:p>
        </w:tc>
        <w:tc>
          <w:tcPr>
            <w:tcW w:w="0" w:type="dxa"/>
            <w:vAlign w:val="bottom"/>
          </w:tcPr>
          <w:p>
            <w:pPr>
              <w:spacing w:after="0"/>
              <w:rPr>
                <w:sz w:val="1"/>
                <w:szCs w:val="1"/>
                <w:color w:val="auto"/>
              </w:rPr>
            </w:pPr>
          </w:p>
        </w:tc>
      </w:tr>
      <w:tr>
        <w:trPr>
          <w:trHeight w:val="229"/>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7,800,435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7,212,731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3,288,808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3,563,493</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10,780,258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11,952,529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32,022,746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33,574,863</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(3,375,422)</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2,828,871</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 settlement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insurance proceeds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346,800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(489,069)</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(4,507,751)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(20,813)</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 at subsidiary attributable to noncontrolling interests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43,865</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14,052,754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14,277,229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14,089,496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14,343,560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14,277,229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14,521,600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(4,542,078)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(28,779)</w:t>
            </w: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3,406,166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3,702,687</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709,021</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271,146</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non-cash contingent consideration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(1,017,712)</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of life insurance policies over premiums paid</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16,357</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Life insurance proceeds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(346,800)</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890,361</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418,355</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1,053,432</w:t>
            </w:r>
          </w:p>
        </w:tc>
      </w:tr>
      <w:tr>
        <w:trPr>
          <w:trHeight w:val="230"/>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(2,201,773)</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1,903,021</w:t>
            </w:r>
          </w:p>
        </w:tc>
      </w:tr>
      <w:tr>
        <w:trPr>
          <w:trHeight w:val="230"/>
        </w:trPr>
        <w:tc>
          <w:tcPr>
            <w:tcW w:w="7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(327,329)</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(2,516,804)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5,053,700</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(232,595)</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Life insurance policy proceeds received</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(133,739)</w:t>
            </w:r>
          </w:p>
        </w:tc>
      </w:tr>
      <w:tr>
        <w:trPr>
          <w:trHeight w:val="223"/>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(366,334)</w:t>
            </w: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32,988,920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23,775,000</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(29,681,472)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(27,051,875)</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(2,108,933)</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(551,563)</w:t>
            </w:r>
          </w:p>
        </w:tc>
      </w:tr>
      <w:tr>
        <w:trPr>
          <w:trHeight w:val="223"/>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1,575,283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(5,937,371)</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(1,250,005)</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18,321,624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19,757,970</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17,464,754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18,507,965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5" w:name="page6"/>
    <w:bookmarkEnd w:id="5"/>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0"/>
        </w:trPr>
        <w:tc>
          <w:tcPr>
            <w:tcW w:w="3260" w:type="dxa"/>
            <w:vAlign w:val="bottom"/>
          </w:tcPr>
          <w:p>
            <w:pPr>
              <w:spacing w:after="0"/>
              <w:rPr>
                <w:sz w:val="21"/>
                <w:szCs w:val="21"/>
                <w:color w:val="auto"/>
              </w:rPr>
            </w:pP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40" w:type="dxa"/>
            <w:vAlign w:val="bottom"/>
          </w:tcPr>
          <w:p>
            <w:pPr>
              <w:spacing w:after="0"/>
              <w:rPr>
                <w:sz w:val="21"/>
                <w:szCs w:val="21"/>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00" w:type="dxa"/>
            <w:vAlign w:val="bottom"/>
          </w:tcPr>
          <w:p>
            <w:pPr>
              <w:spacing w:after="0"/>
              <w:rPr>
                <w:sz w:val="21"/>
                <w:szCs w:val="21"/>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23"/>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14,366,616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47,474,973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(11,208,841)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35,974,006</w:t>
            </w: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90,156</w:t>
            </w:r>
          </w:p>
        </w:tc>
      </w:tr>
      <w:tr>
        <w:trPr>
          <w:trHeight w:val="22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(187,961)</w:t>
            </w: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172,286</w:t>
            </w:r>
          </w:p>
        </w:tc>
      </w:tr>
      <w:tr>
        <w:trPr>
          <w:trHeight w:val="248"/>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47,377,168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36,048,487</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47,377,168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(11,016,657)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36,048,487</w:t>
            </w: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97,877</w:t>
            </w:r>
          </w:p>
        </w:tc>
      </w:tr>
      <w:tr>
        <w:trPr>
          <w:trHeight w:val="23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(171,616)</w:t>
            </w: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862,154</w:t>
            </w:r>
          </w:p>
        </w:tc>
      </w:tr>
      <w:tr>
        <w:trPr>
          <w:trHeight w:val="248"/>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47,303,429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36,836,902</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47,303,429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36,836,902</w:t>
            </w: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83,112</w:t>
            </w:r>
          </w:p>
        </w:tc>
      </w:tr>
      <w:tr>
        <w:trPr>
          <w:trHeight w:val="23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(201,237)</w:t>
            </w: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(1,063,219)</w:t>
            </w:r>
          </w:p>
        </w:tc>
      </w:tr>
      <w:tr>
        <w:trPr>
          <w:trHeight w:val="248"/>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14,217,926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47,185,304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35,655,558</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0"/>
        </w:trPr>
        <w:tc>
          <w:tcPr>
            <w:tcW w:w="3540" w:type="dxa"/>
            <w:vAlign w:val="bottom"/>
          </w:tcPr>
          <w:p>
            <w:pPr>
              <w:spacing w:after="0"/>
              <w:rPr>
                <w:sz w:val="21"/>
                <w:szCs w:val="21"/>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1"/>
                <w:szCs w:val="21"/>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14,121,833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47,091,602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(17,488,161)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29,259,869</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(246,599)</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(1,902,472)</w:t>
            </w: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46,923,757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27,189,552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14,159,954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46,923,757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27,189,552</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71,958</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(126,689)</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(1,102,637)</w:t>
            </w: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26,032,184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26,032,184</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76,371</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(102,194)</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(1,536,969)</w:t>
            </w: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14,010,736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46,843,203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(22,064,117)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24,469,392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We are dedicated to our mission of working together to provide unique products that improve the quality of patient care.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forces in the United States. We continue to build a network of established international partners with the needed regulatory and commercial capabilities to register and provide our medicines to patients in their countries.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potential of our existing brands, while continuing to build a portfolio of differentiated products. We currently own six products approved by the FDA in the United States. We are also continuing to build international partnerships to bring our medicines to patients in other countries. 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as well as late-stage development product candidates in our target medical specialties.</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products are manufactured by third parties, which are overseen by our quality control and manufacturing professionals. We work closely with our warehousing and distribution partners to make our products available in the U.S.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of the Company have been prepared on a basis consistent with the December 31, 2023,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2023 (the "2023 Annual Report on Form 10-K"). The results of operations for the three and nine months ended September 30, 2024, are not necessarily indicative of the results to be expected for the entire fiscal year or any future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Instruments-Credit Losses," which changes the impairment model for most financial assets and certain other instruments. For trade and other receivables, held-to-maturity debt securities, loans and other instruments, companies are required to use a new forward-looking "expected loss" model that generally results in an earlier recognition of allowances for losses. For available-for-sale debt securities with unrealized losses, companies measure credit losses in a manner similar with previous guidance, except that the losses are recognized as allowances rather than as reductions in the amortized cost of the securities. Companies have to disclose additional information, including information they use to track credit quality by year of origination for most financing receivables. Companies apply the ASU’s provisions as a cumulative-effect adjustment, if any, to the accumulated deficit as of the beginning of the first reporting period in which the guidance is adopted.</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adopted both ASU 2016-13 and ASU 2019-05 on January 1, 2023. Please refer to </w:t>
      </w:r>
      <w:r>
        <w:rPr>
          <w:rFonts w:ascii="Times New Roman" w:cs="Times New Roman" w:eastAsia="Times New Roman" w:hAnsi="Times New Roman"/>
          <w:sz w:val="18"/>
          <w:szCs w:val="18"/>
          <w:i w:val="1"/>
          <w:iCs w:val="1"/>
          <w:color w:val="auto"/>
        </w:rPr>
        <w:t>Trade and Notes Receivables Policy</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final guidance intended to improve transparency of segment disclosures, primarily through expanded disclosures for significant segment expenses. The guidance is effective for annual periods beginning in 2024 and interim periods beginning in 2025. Early adoption is permitted. This new guidance will result in incremental disclosures in the notes to the Company’s segment reporting disclosures. We intend to adopt this standard in our Annual Report on Form 10-K for the year ending December 31, 2025. We are currently evaluating the potential impact of adopting this standard on our disclosures.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final guidance to improve transparency of income tax disclosures. The final guidance requires enhanced disclosures primarily related to existing rate reconciliation and income taxes paid information. The guidance is effective for 2025 annual reporting. Early adoption is permitted. This new guidance will result in incremental disclosures in the notes to the Company’s income tax disclosures. We are currently assessing the impact of the requirements on our consolidated financial statements and disclosures. We intend to adopt this standard in our Annual Report on Form 10-K for the year ending December 31, 2024. We are currently evaluating the potential impact of adopting this standard on our disclosures.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condensed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Segments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Trade and Note Receivables Policy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the application of Current Expected Credit Losses (CECL) to all of its financial instruments including trade and note receivables. CECL is applicable to all financial instruments measured at amortized cost. Therefore for the Company, this principally relates to trade receivables and two notes receivable. CECL also requires the measurement of expected credit losses on a collective (pool) basis when similar risk characteristics exist. This may include, either individually or in combination, some of the following characteristics of Accounting Standards Codification ("ASC") (326-20-55-5):</w:t>
      </w:r>
    </w:p>
    <w:p>
      <w:pPr>
        <w:spacing w:after="0" w:line="72"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or external credit score/rating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ratings or classification</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 type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Geographical location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or expected credit loss patterns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supportable forecast periods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standard requires entities to pool financial assets but allows them to choose which risk characteristics to use. Under the requirements of the guidance, the Company reassesses at the end of each reporting period whether the pool of assets continues to display similar risk characteristics.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over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The adoption of ASC 326 did not result in a material impact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(LOSS) PER SHARE</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to calculate basic and diluted earnings (loss) per share for the three and nine months ended September 30, 2024 and 2023: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8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(1,544,081)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(1,049,298)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14,052,754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14,277,229</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other securities</w:t>
            </w:r>
          </w:p>
        </w:tc>
        <w:tc>
          <w:tcPr>
            <w:tcW w:w="1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14,052,754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14,277,229</w:t>
            </w:r>
          </w:p>
        </w:tc>
      </w:tr>
      <w:tr>
        <w:trPr>
          <w:trHeight w:val="21"/>
        </w:trPr>
        <w:tc>
          <w:tcPr>
            <w:tcW w:w="6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60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(4,575,956)</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15,086</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14,089,496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14,343,560</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other securities</w:t>
            </w:r>
          </w:p>
        </w:tc>
        <w:tc>
          <w:tcPr>
            <w:tcW w:w="1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178,040</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14,089,496</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14,521,600</w:t>
            </w:r>
          </w:p>
        </w:tc>
      </w:tr>
      <w:tr>
        <w:trPr>
          <w:trHeight w:val="20"/>
        </w:trPr>
        <w:tc>
          <w:tcPr>
            <w:tcW w:w="6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2024 and 2023, restricted stock awards and options to purchase 600,266 and 440,389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revenues from contracts with customers under ASC 606.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revenues consisted of the following for the three and nine months ended September 30, 2024 and 2023:</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Pr>
          <w:p>
            <w:pPr>
              <w:spacing w:after="0"/>
              <w:rPr>
                <w:sz w:val="20"/>
                <w:szCs w:val="20"/>
                <w:color w:val="auto"/>
              </w:rPr>
            </w:pPr>
          </w:p>
        </w:tc>
        <w:tc>
          <w:tcPr>
            <w:tcW w:w="34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23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2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Kristalose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3,632,258</w:t>
            </w:r>
          </w:p>
        </w:tc>
        <w:tc>
          <w:tcPr>
            <w:tcW w:w="1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3,887,476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10,935,702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12,313,321</w:t>
            </w:r>
          </w:p>
        </w:tc>
      </w:tr>
      <w:tr>
        <w:trPr>
          <w:trHeight w:val="229"/>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Sancuso</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2,607,558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6,624,102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5,736,981</w:t>
            </w:r>
          </w:p>
        </w:tc>
      </w:tr>
      <w:tr>
        <w:trPr>
          <w:trHeight w:val="230"/>
        </w:trPr>
        <w:tc>
          <w:tcPr>
            <w:tcW w:w="2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Vibativ</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1,028,013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5,087,983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6,785,592</w:t>
            </w:r>
          </w:p>
        </w:tc>
      </w:tr>
      <w:tr>
        <w:trPr>
          <w:trHeight w:val="229"/>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Caldolor</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1,271,252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3,586,199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3,316,866</w:t>
            </w:r>
          </w:p>
        </w:tc>
      </w:tr>
      <w:tr>
        <w:trPr>
          <w:trHeight w:val="230"/>
        </w:trPr>
        <w:tc>
          <w:tcPr>
            <w:tcW w:w="2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Acetadote</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440,071</w:t>
            </w:r>
          </w:p>
        </w:tc>
      </w:tr>
      <w:tr>
        <w:trPr>
          <w:trHeight w:val="229"/>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Omeclamox-Pak</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28,832</w:t>
            </w:r>
          </w:p>
        </w:tc>
      </w:tr>
      <w:tr>
        <w:trPr>
          <w:trHeight w:val="229"/>
        </w:trPr>
        <w:tc>
          <w:tcPr>
            <w:tcW w:w="2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Vaprisol</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39,866</w:t>
            </w:r>
          </w:p>
        </w:tc>
      </w:tr>
      <w:tr>
        <w:trPr>
          <w:trHeight w:val="230"/>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RediTrex</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(254,108)</w:t>
            </w:r>
          </w:p>
        </w:tc>
      </w:tr>
      <w:tr>
        <w:trPr>
          <w:trHeight w:val="229"/>
        </w:trPr>
        <w:tc>
          <w:tcPr>
            <w:tcW w:w="2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624,204</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1,113,325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1,792,020</w:t>
            </w:r>
          </w:p>
        </w:tc>
      </w:tr>
      <w:tr>
        <w:trPr>
          <w:trHeight w:val="248"/>
        </w:trPr>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9,085,826</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10,085,926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27,432,376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30,199,441</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Omeclamox-Pak net revenue for the third quarter of 2024 due to our lack of commercial inventory of this product. The packager for our Omeclamox-Pak product encountered financial difficulties due to the impact of COVID-19. As we have not been able to identify an alternative site to package the product, we discontinued the sales of Omeclamox-Pak and expensed the remaining brand intangible assets in late 2023. For the three and nine months ended September 30, 2024 and 2023, the amounts noted resulted from normal distribution adjustments.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regard to Vaprisol, we are in the process of transitioning to a new manufacturing partner, who was issued a U.S. Food and Drug Administration ("FDA") Form 483 in the second quarter of 2022. Once these FDA Form 483 related issues are satisfactorily resolved, we will then resubmit our application for their facility to the FDA for approval. Meanwhile, we have been working with them to support a special, interim supply of compounded product for critically ill patients, which they introduced to the market in late 2023. For the three and nine months ended September 30, 2024, the amounts reflected our share of sales of the compounded product and normal sales deduction adjustments. For the three and nine months ended September 30, 2023, net revenue was impacted by normal accrual adjustments.</w:t>
      </w:r>
    </w:p>
    <w:p>
      <w:pPr>
        <w:spacing w:after="0" w:line="1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June 30, 2023, the Company returned all rights of RediTrex back to Nordic and will receive a long-term royalty on any sales of the product in the future. For the three and nine months ended September 30, 2024 and 2023, the revenue amounts represented normal distribution and accrual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include funding from federal grant programs including those provided by the FDA and from those secured by Cumberland Emerging Technologies Inc. ("CET") through the Small Business Administration's Small Business Innovation Research and Small Business Technology Transfer Research ("SBIR/STTR") programs. Grant revenue from these federal grant programs totaled approximately $0.4 million and $0.3 million for the nine months ended September 30, 2024 and 2023, respectively.</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also include lease income generated by CET’s Life Sciences Center which is a research facility that provides scientists with access to flexible lab space and other resources to develop biomedical products. This lease income, as noted in Footnote 5 - Leases, was approximately $0.13 million and $0.16 million for the three months ended September 30, 2024 and 2023, respectively, and $0.4 million both for the nine months ended September 30, 2024 and 2023, respectively.</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a CET development agreement, $0.2 million was included in CET's other revenue for the three months ended September 30, 2024, which represents development funding associated with a new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works closely with third parties to manufacture and package finished goods for sale. Based on the arrangements with the manufacturer or 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September 30, 2024, the Company had recognized and maintained cumulative net realizable value charges for potential obsolescence and discontinuance losses of approximately $0.02 million. At December 31, 2023, there were no cumulative obsolescence and discontinuance losses necessary.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purchases the active pharmaceutical ingredient ("API") for Kristalose and maintains the inventory of that raw material. API for the Company's Vaprisol and Vibativ brands were included in the assets associated with the acquisition of those brands and are also included in the raw materials inventory. As part of the Vibativ acquisition, the Company acquired API and work in process inventories of $15.6 million that were all initially classified as non-current inventories at the date of acquisition.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these APIs are consumed in the manufacture of our products, the value of the API involved is transferred from raw materials to finished goods.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Consigned inventory represents Authorized Generic inventory stored with our partner until shipment to their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and December 31, 2023, the Company's net inventories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42"/>
        </w:trPr>
        <w:tc>
          <w:tcPr>
            <w:tcW w:w="67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12,306,377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12,619,092</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Consigned inventory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3,880,227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4,645,098</w:t>
            </w:r>
          </w:p>
        </w:tc>
      </w:tr>
      <w:tr>
        <w:trPr>
          <w:trHeight w:val="223"/>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16,341,596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17,413,891</w:t>
            </w: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non-current inventories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(11,831,927)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(12,804,529)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current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4,509,669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4,609,362</w:t>
            </w:r>
          </w:p>
        </w:tc>
      </w:tr>
      <w:tr>
        <w:trPr>
          <w:trHeight w:val="21"/>
        </w:trPr>
        <w:tc>
          <w:tcPr>
            <w:tcW w:w="670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453"/>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 September 30, 2024 and December 31, 2023, the Company's non-current inventories consisted of the following:</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91"/>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75"/>
        </w:trPr>
        <w:tc>
          <w:tcPr>
            <w:tcW w:w="67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9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940" w:type="dxa"/>
            <w:vAlign w:val="bottom"/>
            <w:tcBorders>
              <w:top w:val="single" w:sz="8" w:color="auto"/>
            </w:tcBorders>
          </w:tcPr>
          <w:p>
            <w:pPr>
              <w:spacing w:after="0"/>
              <w:rPr>
                <w:sz w:val="6"/>
                <w:szCs w:val="6"/>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Vibativ 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6,611,426</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Kristalose Raw Materials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3,263,516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Vaprisol Raw Materials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1,170,641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Raw Materials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574,502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Caldolor Raw Materials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Acetadote Raw Materials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Ifetroban Raw Materials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Finished Goods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810,454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Sancuso Finished Goods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Caldolor Finished Goods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Acetadote Finished Goods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Omeclamox</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non-current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11,831,927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12,804,529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15, 2021, Cumberland entered into a lease (the "Broadwest Lease"), pursuant to which the Company leases approximately 16,903 rentable square feet of space (the "Leased Premise") at the Broadwest office campus located in Nashville, Tennessee with 1600 West End Avenue Partners, LLC (the "Landlord"). The Leased Premise serves as the Company's corporate headquarters. The initial term of the Lease is one hundred fifty-seven (157) months, with two consecutive options to renew for a period of 5 years each, with the commencement date of October 25, 2022. This lease currently expires in November 2035.</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responsible for paying rent to the Landlord under the lease beginning three months after the commencement date. The Company pays a base rent of $33.06 per square foot of rentable space with a gradual rental rate increase of 2.5% for each year thereafter of the prior year's base rental. In addition to the monthly base rent, the Company is responsible for its percentage share of the operating expenses of the building. The lease also provided for a tenant improvement allowance which was used to build out the space.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2022, CET provided the notice of exercise to extend the lease with The Gateway to Nashville, LLC (the "Gateway Lease") for five years. The lease is for approximately 14,200 square feet of wet laboratory and office space in Nashville, Tennessee where CET operates the CET Life Sciences Center. The wet laboratory and office space is leased through April 2028. The Company also subleases a portion of the space under this lease.</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Also included within the right-of-use assets are start up expenditures related to a new supply agreement with Nephron Pharmaceuticals Corporation ("Nephron") for our Vaprisol product. These expenditures are classified as an embedded lease resulting in a right-of-use asset to be amortized over the life of the Nephron contract. As of September 30, 2024, the right-of-use asset was $0.8 million.</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the commencement date of each lease. Incremental borrowing rates reflect the Company’s estimated interest rates for collateralized borrowings over similar lease terms.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remaining lease term for the Broadwest Lease and Gateway Lease is 9.8 years and 10.6 years at September 30, 2024 and September 30, 2023, respectively. The weighted-average incremental borrowing rate used to discount the present value of the remaining lease payments for both leases is 9.38% and 9.40% at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Lease Position</w:t>
            </w: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51"/>
        </w:trPr>
        <w:tc>
          <w:tcPr>
            <w:tcW w:w="9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 September 30, 2024 and December 31, 2023, the Company's lease assets and liabilities were as follows:</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05"/>
        </w:trPr>
        <w:tc>
          <w:tcPr>
            <w:tcW w:w="666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220" w:type="dxa"/>
            <w:vAlign w:val="bottom"/>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6,208,411</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6,674,394</w:t>
            </w:r>
          </w:p>
        </w:tc>
      </w:tr>
      <w:tr>
        <w:trPr>
          <w:trHeight w:val="453"/>
        </w:trPr>
        <w:tc>
          <w:tcPr>
            <w:tcW w:w="666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220" w:type="dxa"/>
            <w:vAlign w:val="bottom"/>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391,688</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348,092</w:t>
            </w:r>
          </w:p>
        </w:tc>
      </w:tr>
      <w:tr>
        <w:trPr>
          <w:trHeight w:val="229"/>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4,997,212</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5,296,247</w:t>
            </w: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5,388,900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5,644,339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September 30, 2024, cumulative future minimum sublease income under non-cancelable operating subleases totals approximately $0.2 million which includes the 90-day notice required for lease termination. Future minimum lease payments under non-cancelable operating leases (with initial or remaining lease terms in excess of one year)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Maturity of Lease Liabilities at September 30, 2024</w:t>
            </w:r>
          </w:p>
        </w:tc>
        <w:tc>
          <w:tcPr>
            <w:tcW w:w="2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23"/>
        </w:trPr>
        <w:tc>
          <w:tcPr>
            <w:tcW w:w="8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218,311</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836,100</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909,911</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934,180</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740,791</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After 2028</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4,847,401</w:t>
            </w:r>
          </w:p>
        </w:tc>
      </w:tr>
      <w:tr>
        <w:trPr>
          <w:trHeight w:val="223"/>
        </w:trPr>
        <w:tc>
          <w:tcPr>
            <w:tcW w:w="8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8,486,694</w:t>
            </w:r>
          </w:p>
        </w:tc>
      </w:tr>
      <w:tr>
        <w:trPr>
          <w:trHeight w:val="229"/>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3,097,794</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5,388,900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10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0" w:type="dxa"/>
            <w:vAlign w:val="bottom"/>
          </w:tcPr>
          <w:p>
            <w:pPr>
              <w:spacing w:after="0"/>
              <w:rPr>
                <w:sz w:val="20"/>
                <w:szCs w:val="20"/>
                <w:color w:val="auto"/>
              </w:rPr>
            </w:pPr>
          </w:p>
        </w:tc>
        <w:tc>
          <w:tcPr>
            <w:tcW w:w="35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14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244,305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765,455</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4"/>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400,524</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SHAREHOLDERS’ EQUITY AND DEBT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currently has a share repurchase program available to repurchase its common stock pursuant to Rule 10b-18 of the Securities Exchange Act of 1934, as amended (the "Exchange Act"). In January 2019, the Company's Board of Directors established the current $10 million repurchase program to replace the prior authorizations. During the nine months ended September 30, 2024 and September 30, 2023, the Company repurchased 275,088 and 302,450 shares of common stock, respectively, for approximately $0.5 million during each period. At September 30, 2024, there remains approximately $2.5 million available under the current repurchase program for common share repurchases.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purchases and sales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Company's March 2024 trading window, several members of Cumberland's Board of Directors entered into agreements for trading plans to purchase shares of the Company's stock pursuant to Rule 10b5-1 of the Exchange Act. These purchases are designed to increase ownership in the Company by the members of the Board. The plans became effective on June 13, 2024, and as of September 30, 2024, a total of 22,893 shares have been purchased through these trading plans.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Sales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2017, Cumberland filed a Shelf Registration on Form S-3 with the SEC associated with the sale of up to $100 million in corporate securities. The Shelf Registration was declared effective in January 2018. It also included an At the Market ("ATM") feature that allowed the Company to sell common shares at market prices, along with an agreement with B. Riley FBR Inc. to support such a placement of shares. The Company filed an updated Form S-3 with the SEC in December 2023, which was declared effective December 26, 2023. On March 20, 2024, the Company filed a related prospectus supplement in connection with the sale and issuance of shares having an aggregate gross sales price of up to $5.8 million. The Company intends to continue an ATM feature through H.C. Wainwright &amp; Co., LLC, that would allow the Company to issue shares of its common stock. The Company did not issue any shares under an ATM during the nine months ended September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Grants and Incentive Stock Options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and September 30, 2023, the Company issued 50,500 shares and 34,250 shares of restricted stock, respectively, to employees, advisors and directors. Restricted stock issued to employees and advisors generally cliff-vests on the fourth anniversary of the date of grant and for directors on the one-year anniversary of the date of grant. During the nine months ended September 30, 2024 and September 30, 2023, the Company also issued 190,450 and 192,550 incentive stock options, respectively, to employees that cliff-vest on the fourth anniversary of the date of grant, and are largely set to expire in 2034 and 2033, respectively.</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compensation expense is presented as a component of general and administrative expense in the condensed consolidated statements of operations as it relates to these restricted share grants and options. For the nine months ended September 30, 2024, we recorded a credit of $0.02 million to stock compensation expense related to the forfeiture of unvested restricted stock awards and incentive stock options.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Agreement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2023, the Company entered into a new Revolving Credit Loan Agreement (the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3-year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$16.1 million and $12.8 million, respectively, in borrowings outstanding under its revolving credit facility. The applicable interest rate under the Loan Agreement was 8.000% at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Agreement</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2020, Cumberland entered into an agreement with WinHealth Investment (Singapore) Ltd creating </w:t>
      </w:r>
      <w:r>
        <w:rPr>
          <w:rFonts w:ascii="Times New Roman" w:cs="Times New Roman" w:eastAsia="Times New Roman" w:hAnsi="Times New Roman"/>
          <w:sz w:val="18"/>
          <w:szCs w:val="18"/>
          <w:i w:val="1"/>
          <w:iCs w:val="1"/>
          <w:color w:val="auto"/>
        </w:rPr>
        <w:t>WHC Biopharmaceuticals, Pte. Ltd</w:t>
      </w:r>
      <w:r>
        <w:rPr>
          <w:rFonts w:ascii="Times New Roman" w:cs="Times New Roman" w:eastAsia="Times New Roman" w:hAnsi="Times New Roman"/>
          <w:sz w:val="18"/>
          <w:szCs w:val="18"/>
          <w:color w:val="auto"/>
        </w:rPr>
        <w:t>. The joint venture, as a limited liability company, will focus on acquiring, developing, registering, and commercializing development stage and commercial stage biopharmaceuticals for China, Hong Kong and other Asian markets. The agreement provided for initial investment from WinHealth in the form of a $0.2 million equity contribution and an initial investment from Cumberland in the form of a $0.2 million convertible note, which was funded during the first quarter of 2021. The joint venture will seek additional future capital from additional investors and has entered into exclusive option agreements to license product candidates from both Cumberland Pharmaceuticals Inc. and Cumberland Emerging Technologies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has approximately $51.9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2024 and beyond, through the continued utilization of these net operating loss carryforwards, on any taxable income generated from our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COLLABORATIVE AGREEMENTS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Cumberland is a party to several collaborative arrangements with research institutions to identify and pursue promising pharmaceutical product candidates. The funding for these programs is primarily provided through SBIR/STTR programs and other grant awards. The Company has determined that these collaborative agreements, with the exception of the collaborative payment discussed in Note 10, related to Vibativ and Sancuso contingent consideration payments, do not meet the criteria for accounting under ASC Topic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involved in litigation arising in the normal course of business. The Company does not believe that the disposition or ultimate resolution of existing claims or lawsuits will have a material adverse effect on the business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right="5400"/>
        <w:spacing w:after="0" w:line="409" w:lineRule="auto"/>
        <w:rPr>
          <w:sz w:val="20"/>
          <w:szCs w:val="20"/>
          <w:color w:val="auto"/>
        </w:rPr>
      </w:pPr>
      <w:r>
        <w:rPr>
          <w:rFonts w:ascii="Times New Roman" w:cs="Times New Roman" w:eastAsia="Times New Roman" w:hAnsi="Times New Roman"/>
          <w:sz w:val="18"/>
          <w:szCs w:val="18"/>
          <w:b w:val="1"/>
          <w:bCs w:val="1"/>
          <w:color w:val="auto"/>
        </w:rPr>
        <w:t xml:space="preserve">(10) PRODUCT ACQUISITIONS AND RETURN OF PRODUCT RIGHTS </w:t>
      </w:r>
      <w:r>
        <w:rPr>
          <w:rFonts w:ascii="Times New Roman" w:cs="Times New Roman" w:eastAsia="Times New Roman" w:hAnsi="Times New Roman"/>
          <w:sz w:val="18"/>
          <w:szCs w:val="18"/>
          <w:i w:val="1"/>
          <w:iCs w:val="1"/>
          <w:color w:val="auto"/>
        </w:rPr>
        <w:t>Vibativ</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 $3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 The contingent consideration earned and accrued in operating expenses is paid to Theravance quarterly.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4,033,373</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(613,569)</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(336,591)</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422,961</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3,506,174</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contingent consideration liability of $3.5 million was accounted for as $1.2 million of other current liabilities and $2.3 million of other long-term liabilities on the condensed consolidated balance sheet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Sancuso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 2022, Cumberland acquired the U.S. rights to the FDA-approved oncology-supportive care medicine Sancuso from Kyowa Kirin,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("Kyowa Kirin"), the U.S. affiliate of Japan-based Kyowa Kirin Co., Ltd.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acquired U.S. rights to Sancuso and assumed full commercial responsibility for the product in the United States – including its marketing, promotion, distribution, manufacturing and medical support activities. The product’s FDA registration was subsequently transferred from Kyowa Kirin to Cumberland in August 2023.</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has also accounted for this transaction as a business combination in accordance with ASC 805 and the product sales are included in the results of operations subsequent to the acquisition date. The Company made an upfront payment of $13.5 million at the closing of the transaction. The agreement called for milestone payments of up to $3.5 million based on the attainment of various approvals and sales performance. In January 2023, Cumberland made a $1.0 million milestone payment to Kwoya Kirin based on the FDA approval of a manufacturing site for the product. In October 2023, Cumberland made a $0.5 million milestone payment based on the successful transfer of the product’s FDA registration from Kyowa Kirin to Cumberland.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$2.0 million in milestones are tied to achievement of certain annual sales levels for the product.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Cumberland has agreed to pay a royalty of up to 10% of on-going net sales of Sancuso.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2,306,000</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milestones and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(637,930)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(599,481)</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662,411</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consideration liability earned and accrued in operating expenses is paid to Kyowa Kirin quarterly. The contingent consideration liability of $1.7 million was accounted for as $1.3 million of current liabilities and $0.4 million of other long-term liabilities on the condensed consolidated balance sheet as of September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RediTrex</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2022, the Cumberland entered into an amendment to an agreement with Nordic Group B.V.("Nordic") returning all the U.S. rights to RediTrex back to Nordic including the trademark and market authorization effective June 30, 2023. The companies have cooperated on the transition and Cumberland will receive a long-term royalty on any Nordic sales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 w:lineRule="exact"/>
        <w:rPr>
          <w:sz w:val="20"/>
          <w:szCs w:val="20"/>
          <w:color w:val="auto"/>
        </w:rPr>
      </w:pPr>
    </w:p>
    <w:p>
      <w:pPr>
        <w:ind w:right="38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Disclosure regarding forward-looking statements</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generally unpredictable conditions in national and international markets.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 2023,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pharmaceuticals. We are dedicated to our mission of working together to provide unique products that improve the quality of patient care.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We continue to build a network of established international partners with the needed regulatory and commercial capabilities to register and provide our medicines to patients in their countries.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of brands approved for marketing by the U.S. Food and Drug Administration ("FDA") includes:</w:t>
      </w:r>
    </w:p>
    <w:p>
      <w:pPr>
        <w:spacing w:after="0" w:line="1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Acetadote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Caldolor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Kristalose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oral solution, a prescription laxative for the treatment of constipation;</w:t>
      </w:r>
    </w:p>
    <w:p>
      <w:pPr>
        <w:spacing w:after="0" w:line="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Sancuso</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transdermal, for the prevention of nausea and vomiting in patients receiving certain types of chemotherapy treatment;</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Vaprisol</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 euvolemic and hypervolemic hyponatremia; and</w:t>
      </w:r>
    </w:p>
    <w:p>
      <w:pPr>
        <w:spacing w:after="0" w:line="87" w:lineRule="exact"/>
        <w:rPr>
          <w:rFonts w:ascii="Times New Roman" w:cs="Times New Roman" w:eastAsia="Times New Roman" w:hAnsi="Times New Roman"/>
          <w:sz w:val="18"/>
          <w:szCs w:val="18"/>
          <w:color w:val="auto"/>
        </w:rPr>
      </w:pPr>
    </w:p>
    <w:p>
      <w:pPr>
        <w:ind w:left="660" w:hanging="328"/>
        <w:spacing w:after="0" w:line="23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injection, for the treatment of certain serious bacterial infections including hospital-acquired and ventilator-associated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bacterial pneumonia, as well as complicated skin and skin structure infections.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these commercial brands, we have Phase II clinical programs underway evaluating our ifetroban product candidate in 1) </w:t>
      </w:r>
      <w:r>
        <w:rPr>
          <w:rFonts w:ascii="Times New Roman" w:cs="Times New Roman" w:eastAsia="Times New Roman" w:hAnsi="Times New Roman"/>
          <w:sz w:val="18"/>
          <w:szCs w:val="18"/>
          <w:i w:val="1"/>
          <w:iCs w:val="1"/>
          <w:color w:val="auto"/>
        </w:rPr>
        <w:t>Systemic Sclerosis</w:t>
      </w:r>
      <w:r>
        <w:rPr>
          <w:rFonts w:ascii="Times New Roman" w:cs="Times New Roman" w:eastAsia="Times New Roman" w:hAnsi="Times New Roman"/>
          <w:sz w:val="18"/>
          <w:szCs w:val="18"/>
          <w:color w:val="auto"/>
        </w:rPr>
        <w:t xml:space="preserve"> or scleroderma, a debilitating autoimmune disorder characterized by diffuse fibrosis of the skin and internal organs, 2) patients with cardiomyopathy associated with </w:t>
      </w:r>
      <w:r>
        <w:rPr>
          <w:rFonts w:ascii="Times New Roman" w:cs="Times New Roman" w:eastAsia="Times New Roman" w:hAnsi="Times New Roman"/>
          <w:sz w:val="18"/>
          <w:szCs w:val="18"/>
          <w:i w:val="1"/>
          <w:iCs w:val="1"/>
          <w:color w:val="auto"/>
        </w:rPr>
        <w:t>Duchenne Muscular Dystrophy</w:t>
      </w:r>
      <w:r>
        <w:rPr>
          <w:rFonts w:ascii="Times New Roman" w:cs="Times New Roman" w:eastAsia="Times New Roman" w:hAnsi="Times New Roman"/>
          <w:sz w:val="18"/>
          <w:szCs w:val="18"/>
          <w:color w:val="auto"/>
        </w:rPr>
        <w:t xml:space="preserve">, a rare, fatal, genetic neuromuscular disease results in deterioration of the skeletal, heart, and lung muscles and 3) patients with </w:t>
      </w:r>
      <w:r>
        <w:rPr>
          <w:rFonts w:ascii="Times New Roman" w:cs="Times New Roman" w:eastAsia="Times New Roman" w:hAnsi="Times New Roman"/>
          <w:sz w:val="18"/>
          <w:szCs w:val="18"/>
          <w:i w:val="1"/>
          <w:iCs w:val="1"/>
          <w:color w:val="auto"/>
        </w:rPr>
        <w:t>Idiopathic Pulmonary Fibrosis</w:t>
      </w:r>
      <w:r>
        <w:rPr>
          <w:rFonts w:ascii="Times New Roman" w:cs="Times New Roman" w:eastAsia="Times New Roman" w:hAnsi="Times New Roman"/>
          <w:sz w:val="18"/>
          <w:szCs w:val="18"/>
          <w:color w:val="auto"/>
        </w:rPr>
        <w:t>, the most common form of progressive fibrosing interstitial lung disease. Investigational new study applications have been cleared by the FDA enabling us to launch Phase II clinical studies in each of these areas.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has built core competencies for the acquisition, development and commercialization of pharmaceutical products, and we believe we can leverage this existing infrastructure to support our growth. Our management team consists of pharmaceutical industry veterans with experience in business development, product development, regulatory, manufacturing, sales, marketing and finance.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brands. Our marketing and sales organization is responsible for our commercial activities, and we work closely with our distribution partners to ensure the availability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potential of our existing brands, while continuing to build a portfolio of differentiated products. We currently own six products approved by the FDA in the United States. We are also continuing to build international partnerships to bring our medicines to patients in other countries. 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as well as late-stage development product candidates in our target medical specialties.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supplementing these activities with the earlier-stage product development at Cumberland Emerging Technologies ("CET"), our majority-owned subsidiary. CET partners with academic research institutions to identify and support the progress of promising new product candidates, which Cumberland can further develop and commercialize.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we are seeking long-term, sustainable growth by:</w:t>
      </w:r>
    </w:p>
    <w:p>
      <w:pPr>
        <w:spacing w:after="0" w:line="140" w:lineRule="exact"/>
        <w:rPr>
          <w:sz w:val="20"/>
          <w:szCs w:val="20"/>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Supporting and expanding the use of our marketed products. </w:t>
      </w:r>
      <w:r>
        <w:rPr>
          <w:rFonts w:ascii="Times New Roman" w:cs="Times New Roman" w:eastAsia="Times New Roman" w:hAnsi="Times New Roman"/>
          <w:sz w:val="18"/>
          <w:szCs w:val="18"/>
          <w:color w:val="auto"/>
        </w:rPr>
        <w:t>We continue to evaluate our products following their FDA approval to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additional clinical data could expand their market and use. For example, we have secured pediatric approval of Acetadote and Caldolor and expanded the labeling for both brands accordingly. We also added pre-surgery dosing for Caldolor, and recently included newborns to the patients who can benefit from the product.</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Selectively adding complementary brands. </w:t>
      </w:r>
      <w:r>
        <w:rPr>
          <w:rFonts w:ascii="Times New Roman" w:cs="Times New Roman" w:eastAsia="Times New Roman" w:hAnsi="Times New Roman"/>
          <w:sz w:val="18"/>
          <w:szCs w:val="18"/>
          <w:color w:val="auto"/>
        </w:rPr>
        <w:t>In addition to our product development activities, we are also seeking to acquire approved brands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late-stage development product candidates to continue to build our portfolio. We seek under-promoted, FDA-approved drugs as well as late-stage development products that can improve patient care. We will continue to target product acquisition candidates that are competitively differentiated and have valuable intellectual property or other protective features. Our acquisitions of Vibativ and Sancuso are examples of the implementation of this strategy.</w:t>
      </w:r>
    </w:p>
    <w:p>
      <w:pPr>
        <w:spacing w:after="0" w:line="11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Progressing our clinical pipeline and incubating future product opportunities at CET. </w:t>
      </w:r>
      <w:r>
        <w:rPr>
          <w:rFonts w:ascii="Times New Roman" w:cs="Times New Roman" w:eastAsia="Times New Roman" w:hAnsi="Times New Roman"/>
          <w:sz w:val="18"/>
          <w:szCs w:val="18"/>
          <w:color w:val="auto"/>
        </w:rPr>
        <w:t>We believe it is important to build a pipeline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new product opportunities, as we are doing through our ifetroban Phase II development programs. We are also supplementing our acquisitions and late-stage development activities with the early-stage product development activities at CET.</w:t>
      </w:r>
    </w:p>
    <w:p>
      <w:pPr>
        <w:spacing w:after="0" w:line="8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our infrastructure through co-promotion partnerships. </w:t>
      </w:r>
      <w:r>
        <w:rPr>
          <w:rFonts w:ascii="Times New Roman" w:cs="Times New Roman" w:eastAsia="Times New Roman" w:hAnsi="Times New Roman"/>
          <w:sz w:val="18"/>
          <w:szCs w:val="18"/>
          <w:color w:val="auto"/>
        </w:rPr>
        <w:t>We believe that our commercial infrastructure can help drive prescription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and product sales. We also look for strategic partners that can complement our capabilities and enhance opportunities for our brands. For example, our co-promotion partnerships have allowed us to expand the support for Kristalose across the United States.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Building an international contribution to our business. </w:t>
      </w:r>
      <w:r>
        <w:rPr>
          <w:rFonts w:ascii="Times New Roman" w:cs="Times New Roman" w:eastAsia="Times New Roman" w:hAnsi="Times New Roman"/>
          <w:sz w:val="18"/>
          <w:szCs w:val="18"/>
          <w:color w:val="auto"/>
        </w:rPr>
        <w:t>We have established our own commercial capabilities, including three sales divisions,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focus on the U.S. market for our products. We are also working with a network of select international partners to register our products and make them available to patients in their countries. We will continue to support our partners’ registration and commercialization efforts in their respective territories. The acquisition of Vibativ resulted in several new international partners and market opportunities.</w:t>
      </w:r>
    </w:p>
    <w:p>
      <w:pPr>
        <w:spacing w:after="0" w:line="108"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Managing our operations with financial discipline. </w:t>
      </w:r>
      <w:r>
        <w:rPr>
          <w:rFonts w:ascii="Times New Roman" w:cs="Times New Roman" w:eastAsia="Times New Roman" w:hAnsi="Times New Roman"/>
          <w:sz w:val="18"/>
          <w:szCs w:val="18"/>
          <w:color w:val="auto"/>
        </w:rPr>
        <w:t>We continually work to manage our expenses in line with our revenues, to deliver positive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flow from operations. We seek to maintain favorable gross margins and a 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Medicaid Coverage for Kristalose Grows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see that Kristalose, our prescription-strength laxative, performs best in states where we have Medicaid coverage, such as Texas, New York and Wisconsin. The product is now also covered on certain Virginia, Louisiana and Maine Medicaid plans. We are encouraged to see the positive impact on our business as more states provide favorable Medicaid coverage for Kristalose and we will continue working to increase awareness in those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WHO Report Highlights Need for Antibiotics like Vibativ</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new report from the </w:t>
      </w:r>
      <w:r>
        <w:rPr>
          <w:rFonts w:ascii="Times New Roman" w:cs="Times New Roman" w:eastAsia="Times New Roman" w:hAnsi="Times New Roman"/>
          <w:sz w:val="18"/>
          <w:szCs w:val="18"/>
          <w:i w:val="1"/>
          <w:iCs w:val="1"/>
          <w:color w:val="auto"/>
        </w:rPr>
        <w:t>World Health Organization</w:t>
      </w:r>
      <w:r>
        <w:rPr>
          <w:rFonts w:ascii="Times New Roman" w:cs="Times New Roman" w:eastAsia="Times New Roman" w:hAnsi="Times New Roman"/>
          <w:sz w:val="18"/>
          <w:szCs w:val="18"/>
          <w:color w:val="auto"/>
        </w:rPr>
        <w:t xml:space="preserve"> ("WHO") found that antimicrobial resistance is an urgent global health and socioeconomic crisis. Further, the worldwide rise in antibiotic resistance poses a significant threat, diminishing the efficacy of many common antibiotics against widespread bacterial infections. Unlike many antibiotics that are losing the battle to fight bacteria, Vibativ’s unique dual method of action was specifically designed to address drug-resistant bacteria and we therefore believe it has the potential to help many patients amid the growing resistance crisis.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Vibativ can serve as a potentially life-saving treatment in patients with hospital-acquired and ventilator-associated pneumonia resulting from infections including the flu and COVID-19. It is designed to treat serious infections due to </w:t>
      </w:r>
      <w:r>
        <w:rPr>
          <w:rFonts w:ascii="Times New Roman" w:cs="Times New Roman" w:eastAsia="Times New Roman" w:hAnsi="Times New Roman"/>
          <w:sz w:val="18"/>
          <w:szCs w:val="18"/>
          <w:i w:val="1"/>
          <w:iCs w:val="1"/>
          <w:color w:val="auto"/>
        </w:rPr>
        <w:t>Staphylococcus aureus (S. aureus)</w:t>
      </w:r>
      <w:r>
        <w:rPr>
          <w:rFonts w:ascii="Times New Roman" w:cs="Times New Roman" w:eastAsia="Times New Roman" w:hAnsi="Times New Roman"/>
          <w:sz w:val="18"/>
          <w:szCs w:val="18"/>
          <w:color w:val="auto"/>
        </w:rPr>
        <w:t xml:space="preserve"> and other Gram-positive bacteria, including </w:t>
      </w:r>
      <w:r>
        <w:rPr>
          <w:rFonts w:ascii="Times New Roman" w:cs="Times New Roman" w:eastAsia="Times New Roman" w:hAnsi="Times New Roman"/>
          <w:sz w:val="18"/>
          <w:szCs w:val="18"/>
          <w:i w:val="1"/>
          <w:iCs w:val="1"/>
          <w:color w:val="auto"/>
        </w:rPr>
        <w:t>Methicillin-resistant Staphylococcus aureus (MRSA)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Methicillin-sensitive Staphylococcus aureus (MSSA</w:t>
      </w:r>
      <w:r>
        <w:rPr>
          <w:rFonts w:ascii="Times New Roman" w:cs="Times New Roman" w:eastAsia="Times New Roman" w:hAnsi="Times New Roman"/>
          <w:sz w:val="18"/>
          <w:szCs w:val="18"/>
          <w:color w:val="auto"/>
        </w:rPr>
        <w:t>). Vibativ addresses a range of Gram-positive bacterial pathogens, including those that are considered difficult-to-treat and multidrug-resistant.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Expanded Patient Support for Sancuso</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we launched a new sampling program for our oncology support medication, Sancuso, that broadens access to the product, allowing more patients to try it and experience its benefits. We also introduced a new HUB services capability to provide enhanced patient support, ensuring patients receive comprehensive assistance throughout their treatment journey.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Vaprisol Supply Update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Demand for our Vaprisol product increased in 2020 during the COVID-19 pandemic, and we worked to support the expanded use of the product in hospitals and clinics during the health care crisis. In 2021, we distributed all remaining inventory of the Vaprisol product we possessed and subsequently notified the FDA that supplies of the product are not currently available. We have since transferred the manufacturing of the product to a new facility. Our new manufacturing and distribution partner is working with the FDA to address several Form 483 issues in a timely manner. As we await FDA approval for making the branded product there, our manufacturer is providing a special supply of compounded product in support of critically ill patients. The companies share in the sales of this compounded product.</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Vaprisol is the first and only intravenously administered vasopressin receptor antagonist. It is used to raise serum sodium levels in hospitalized patients with hyponatremia, the most common electrolyte disorder among such patients.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Federal NOPAIN Act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April 2023, we announced that we expect that our Caldolor product will be eligible for special Medicare reimbursement under the </w:t>
      </w:r>
      <w:r>
        <w:rPr>
          <w:rFonts w:ascii="Times New Roman" w:cs="Times New Roman" w:eastAsia="Times New Roman" w:hAnsi="Times New Roman"/>
          <w:sz w:val="18"/>
          <w:szCs w:val="18"/>
          <w:i w:val="1"/>
          <w:iCs w:val="1"/>
          <w:color w:val="auto"/>
        </w:rPr>
        <w:t>Non-Opioids Prevent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Addiction in the Nation Act </w:t>
      </w:r>
      <w:r>
        <w:rPr>
          <w:rFonts w:ascii="Times New Roman" w:cs="Times New Roman" w:eastAsia="Times New Roman" w:hAnsi="Times New Roman"/>
          <w:sz w:val="18"/>
          <w:szCs w:val="18"/>
          <w:color w:val="auto"/>
        </w:rPr>
        <w:t>(the “NOPAIN Act”), which was enacted as part of the</w:t>
      </w:r>
      <w:r>
        <w:rPr>
          <w:rFonts w:ascii="Times New Roman" w:cs="Times New Roman" w:eastAsia="Times New Roman" w:hAnsi="Times New Roman"/>
          <w:sz w:val="18"/>
          <w:szCs w:val="18"/>
          <w:i w:val="1"/>
          <w:iCs w:val="1"/>
          <w:color w:val="auto"/>
        </w:rPr>
        <w:t xml:space="preserve"> Consolidated Appropriations Act of 2023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Act requires </w:t>
      </w:r>
      <w:r>
        <w:rPr>
          <w:rFonts w:ascii="Times New Roman" w:cs="Times New Roman" w:eastAsia="Times New Roman" w:hAnsi="Times New Roman"/>
          <w:sz w:val="18"/>
          <w:szCs w:val="18"/>
          <w:i w:val="1"/>
          <w:iCs w:val="1"/>
          <w:color w:val="auto"/>
        </w:rPr>
        <w:t>Centers for Medicare and Medicaid Services</w:t>
      </w:r>
      <w:r>
        <w:rPr>
          <w:rFonts w:ascii="Times New Roman" w:cs="Times New Roman" w:eastAsia="Times New Roman" w:hAnsi="Times New Roman"/>
          <w:sz w:val="18"/>
          <w:szCs w:val="18"/>
          <w:color w:val="auto"/>
        </w:rPr>
        <w:t xml:space="preserve"> (“CMS”) to provide separate reimbursement for non-opioid products that are used to manage pain during surgeries conducted in hospital outpatient departments or in ambulatory surgical centers. The NOPAIN Act applies, in part, to products that are indicated to provide analgesia, without acting upon the body’s opioid receptors. The reimbursement for non-opioid pain alternatives under the NOPAIN Act will apply to those products that are furnished between January 1, 2025, and January 1, 2028.</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submitted comments to CMS in July 2023 and July 2024, arguing, among other things, that Caldolor meets the statutory requirements for separate payment under the NOPAIN Act because the U.S. Food and Drug Administration (“FDA”) approved Caldolor for a general acute pain indication that encompasses use for the reduction of postoperative pain based on clinical studies in patients with postoperative pain.</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November 1, 2024, CMS announced a list of products for separate payment under the NOPAIN Act through their Calendar Year 2025 </w:t>
      </w:r>
      <w:r>
        <w:rPr>
          <w:rFonts w:ascii="Times New Roman" w:cs="Times New Roman" w:eastAsia="Times New Roman" w:hAnsi="Times New Roman"/>
          <w:sz w:val="18"/>
          <w:szCs w:val="18"/>
          <w:i w:val="1"/>
          <w:iCs w:val="1"/>
          <w:color w:val="auto"/>
        </w:rPr>
        <w:t>Medicare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Outpatient Prospective Payment System (“OPPS”) Ruling</w:t>
      </w:r>
      <w:r>
        <w:rPr>
          <w:rFonts w:ascii="Times New Roman" w:cs="Times New Roman" w:eastAsia="Times New Roman" w:hAnsi="Times New Roman"/>
          <w:sz w:val="18"/>
          <w:szCs w:val="18"/>
          <w:color w:val="auto"/>
        </w:rPr>
        <w:t>. The list does not include Caldolor. CMS concluded that Caldolor and certain other products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qualify for separate payment under the NOPAIN Act because “there is no mention of post-operative or post-surgical use in the FDA-approved indications.”</w:t>
      </w:r>
    </w:p>
    <w:p>
      <w:pPr>
        <w:spacing w:after="0" w:line="1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surprised and disappointed with this determination, as the majority of Caldolor’s use is associated with surgery and the FDA approval of the product’s pain indication was based on studies of patients with post-surgical pain.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CMS’s November 1 list of products eligible for separate payment under the NOPAIN Act does not appear to add any new pharmaceuticals.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Cumberland does not believe that CMS’s determination regarding Caldolor is consistent with the intent of the NOPAIN legislation.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evaluating our potential options, and next initiatives for continuing to seek separate payment for Caldolor.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Ifetroban Clinical Studies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evaluating our ifetroban product candidate, a selective thromboxane-prostanoid receptor antagonist, in a series of clinical studies. It has now been dosed in nearly 1,400 subjects and has been found to be safe and well tolerated in healthy volunteers and various patient populations. We have three Phase II clinical programs underway evaluating our ifetroban product candidate in patients with 1) Systemic Sclerosis or scleroderma, a debilitating autoimmune disorder characterized by diffuse fibrosis of the skin and internal organs, 2) cardiomyopathy associated with Duchenne Muscular Dystrophy, a rare, fatal, genetic neuromuscular disease results in deterioration of the skeletal, heart, and lung muscles and 3) Idiopathic Pulmonary Fibrosis, the most common form of progressive fibrosing interstitial lung disease. This third program is our newest, with enrollment now underway. We expect to close two of these ifetroban studies this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recently applied for two FDA designations for our Duchenne Muscular Dystrophy product candidate:</w:t>
      </w:r>
    </w:p>
    <w:p>
      <w:pPr>
        <w:spacing w:after="0" w:line="156" w:lineRule="exact"/>
        <w:rPr>
          <w:sz w:val="20"/>
          <w:szCs w:val="20"/>
          <w:color w:val="auto"/>
        </w:rPr>
      </w:pPr>
    </w:p>
    <w:p>
      <w:pPr>
        <w:jc w:val="both"/>
        <w:ind w:left="660" w:hanging="4"/>
        <w:spacing w:after="0" w:line="267" w:lineRule="auto"/>
        <w:tabs>
          <w:tab w:leader="none" w:pos="8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Orphan Drug Designation</w:t>
      </w:r>
      <w:r>
        <w:rPr>
          <w:rFonts w:ascii="Times New Roman" w:cs="Times New Roman" w:eastAsia="Times New Roman" w:hAnsi="Times New Roman"/>
          <w:sz w:val="18"/>
          <w:szCs w:val="18"/>
          <w:color w:val="auto"/>
        </w:rPr>
        <w:t>, which is granted to products that show promise in the treatment, prevention or diagnosis of rare – or orphan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diseases; such designation can result in a number of benefits associated with the FDA review process including exclusivity after approval of the product.</w:t>
      </w:r>
    </w:p>
    <w:p>
      <w:pPr>
        <w:spacing w:after="0" w:line="92" w:lineRule="exact"/>
        <w:rPr>
          <w:rFonts w:ascii="Times New Roman" w:cs="Times New Roman" w:eastAsia="Times New Roman" w:hAnsi="Times New Roman"/>
          <w:sz w:val="18"/>
          <w:szCs w:val="18"/>
          <w:color w:val="auto"/>
        </w:rPr>
      </w:pPr>
    </w:p>
    <w:p>
      <w:pPr>
        <w:jc w:val="both"/>
        <w:ind w:left="660" w:right="20" w:hanging="4"/>
        <w:spacing w:after="0" w:line="267" w:lineRule="auto"/>
        <w:tabs>
          <w:tab w:leader="none" w:pos="8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Rare Pediatric Disease Designation</w:t>
      </w:r>
      <w:r>
        <w:rPr>
          <w:rFonts w:ascii="Times New Roman" w:cs="Times New Roman" w:eastAsia="Times New Roman" w:hAnsi="Times New Roman"/>
          <w:sz w:val="18"/>
          <w:szCs w:val="18"/>
          <w:color w:val="auto"/>
        </w:rPr>
        <w:t>, which is given to products intended to prevent or treat serious or life-threatening diseases that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children from birth to 18 years of age. Upon FDA approval, this designation may result in a priority review voucher from the FDA for a different product.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Cumberland subsequently was informed by the FDA that both the Orphan Drug Designation and the Rare Pediatric Disease Designation requests for this candidate have been granted.</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were no significant safety issues identified with the use of ifetroban in these patients.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pilot studies of ifetroban are underway, including several investigator-initiated trials.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plan going forward is to complete each of our Company-sponsored studies, analyze their final data, announce top-line results and decide on the best development path for the registration of ifetroban, which we continue to believe has the potential to benefit many patients with orphan diseases that represent unmet medical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Agreements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PiSA Pharmaceutical, our partner for Caldolor in Mexico, submitted a dossier to COFEPRIS, Mexico’s equivalent to the FDA, for the product’s approval in that country.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Meanwhile, we continue to support our international partners in their efforts to register Vibativ in their countries.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late 2022, we announced a new partnership with Saudi Arabia-based Tabuk Pharmaceutical to introduce Vibativ into the Middle East. The arrangement provides Tabuk exclusive rights to distribute Vibativ in Saudi Arabia and Jordan, with the option to expand into other countries in the region. Tabuk has obtained the final approvals needed to commercialize Vibativ in Saudi Arabia and has now begun ordering the product in preparation for its launch planned for this year.</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in 2022, we entered into an agreement with D.B. Pharm to register and commercialize our Vibativ product in South Korea. D.B. Pharm also distributes our Caldolor product there. They filed for the approval of Vibativ in November 2022 and we have been supporting their efforts through the review process of their application in the country. The Korean regulatory authorities did not approve the submission, and indicated that additional manufacturing information will be required, which we will work with D.B. Pharm to address.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Meanwhile, our Vibativ partner for the Chinese market, SciClone Pharmaceuticals, had their approval application in China accepted for review in September 2021. We have since been supporting SciClone and their requests associated with the review of that submission. They are working toward the approval and believe that there is significant potential for Vibativ in their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CET Program Developments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work at CET, we continue to build a long-term pipeline of innovative new biopharmaceutical products. CET represents a joint initiative among Cumberland Pharmaceuticals Inc., Vanderbilt University, the state-supported Launch Tennessee and an international partner – WinHealth Pharma. CET’s mission is to bring biomedical technologies and products conceived at Vanderbilt and other regional research centers to the marketplace.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two recent developments among the programs CET is supporting.</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Enrollment concluded and top-line results have become available for the MENDING Trial, a Phase II investigator-initiated study evaluating the safety and efficacy of a new treatment for delirium in critically ill patients. The study was conducted in partnership with Vanderbilt University Medical Center and funded by the National Institute of Health (“NIH”).</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MENDING Trial enrolled 97 critically ill patients who were admitted to the Vanderbilt Intensive Care Unit (“ICU”) for treatment of respiratory failure or shock and treated 39 who, while in the ICU, developed delirium. Delirious patients received twice-daily IV treatment or placebo and were evaluated over the course of 14 days.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endpoint for this study was the safety of this new treatment. The study also evaluated patient days without delirium or coma. Additional endpoints included ventilator-free days; hospital-free days; drug exposure for antipsychotics, opioids, and sedatives; and cognitive function.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MENDING Trial successfully demonstrated that the new treatment was well-tolerated in these ICU patients diagnosed with delirium.</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new treatment was associated with 1) a reduction in days with delirium; 2) reduced use of antipsychotics, opioids, and sedatives; and 3) a decrease in delirious patients experiencing comas. While the efficacy results were not statistically significant given the limited number of patients treated, the findings are considered clinically meaningful by physician investigators involved in the study and support continued development.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Delirium is characterized as a serious alteration in mental state which may present with confusion, poor attention or lack of awareness. Additionally, delirium is the most common presentation of neurologic dysfunction in critically ill patients and affects between 30-75% of patients admitted to the ICU. Development of delirium is associated with several poor outcomes including increased length of hospital stays, long-term cognitive deficits, additional hospital costs, impaired quality of life and mortality. Despite the prevalence and impact of delirium, there are currently no FDA-approved therapeutics for the prevention or treatment of delirium, highlighting an unmet medical need for these patients.</w:t>
      </w:r>
    </w:p>
    <w:p>
      <w:pPr>
        <w:spacing w:after="0" w:line="1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CET has entered into a Development Agreement with Octapharma AG ("Octapharma") for a new product designed to locate sites of internal bleeding. In exchange for an option to worldwide rights to the technology, Octapharma will provide development funding. With the option exercise, Octapharma will also provide milestone payments and royalties on product sales.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clinically significant internal bleeding occurs in the gastrointestinal (GI) tract, especially the lower tract. Intestinal hemorrhage ranks among conditions having the highest number of all-cause readmissions and among the most common causes of nonmalignant mortality.</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 treatment for GI hemorrhage begins with identifying the bleeding site through diagnostic testing. Colonoscopy is the recommended first-line diagnostic procedure, while computed tomographic angiography is advised for a subset of high-risk patients who are unlikely to tolerate bowel preparation. Both angiography and tagged red blood cell scintigraphy – older, less commonly used tests – require a minimum rate of active bleeding for accurate results. Diagnosis using colonoscopy is also more challenging without active bleeding or when excessive bleeding obscures the visual field.</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new technology represents a paradigm shift as it identifies the naturally formed clot at the injured vessels, allowing for the potential to pinpoint GI bleeding sites even if bleeding has ceased temporarily.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product is designed as a proprietary radiochemical preparatory kit for generating a medical imaging agent for injection. It has been developed through a collaboration between CET, researchers at Vanderbilt University Medical Center and Cold Springs Diagnostics, Inc. The development has been supported by an NIH grant awarded to CET under the STTR program.</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next steps include scaling up the drug formulation and conducting the additional preclinical testing needed to file and obtain clearance for an Investigational New Drug application, paving the way for an initial clinical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dedicated to our mission of working together to provide unique products that improve the quality of patient care. We have pursued our mission by building a portfolio of FDA-approved brands with outstanding safety and efficacy profiles that can make a difference in patients’ lives.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build our portfolio of innovative and differentiated products through a multifaceted strategy that includes the development of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as well as the acquisition of established brands. We will remain focused on those efforts and look forward to future opportunities to carry 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and report on our progress throughout the remainder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and beyond.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2023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and Judgments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the three months ended September 30,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unaudited interim statements of operations for continuing operations for the three months ended September 30, 2024 and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34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9,085,826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10,085,926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(1,000,100)</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1,765,590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(442,577)</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4,397,480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4,743,142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(345,662)</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1,924,768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(618,673)</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331,525</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1,175,174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(96,884)</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10,780,258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11,952,529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(1,172,271)</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172,171</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(29,413)</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settlement</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 insurance proceeds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(109,711)</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(27,293)</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(1,525,527)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(1,056,281)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(469,246)</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(1,536,969)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(1,063,219)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(473,750)</w:t>
            </w:r>
          </w:p>
        </w:tc>
      </w:tr>
      <w:tr>
        <w:trPr>
          <w:trHeight w:val="20"/>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2"/>
        </w:trPr>
        <w:tc>
          <w:tcPr>
            <w:tcW w:w="5560" w:type="dxa"/>
            <w:vAlign w:val="bottom"/>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revenues by product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34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3,632,258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3,887,476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(255,218)</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2,607,558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674,336</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2,789,579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(1,761,566)</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115,743</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(98,678)</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(135,765)</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159,506</w:t>
            </w:r>
          </w:p>
        </w:tc>
      </w:tr>
      <w:tr>
        <w:trPr>
          <w:trHeight w:val="230"/>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299,356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324,848</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9,085,826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10,085,926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(1,000,100)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three months ended September 30, 2024, were $9.1 million compared to $10.1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As detailed in the table above, net revenue increased for two of our marketed products during the third quarter of 2024, Sancuso and Caldolor.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Kristalose revenue was $3.6 million for the third quarter of 2024 and $3.9 million for the same period in the prior year. The decrease was the result of higher sales deductions.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Acetadote revenue includes net sales of our Acetadote brand and our share of net sales from our Authorized Generic. During the third quarter of 2024, there was a decrease of $0.1 million in the product's revenue when compared to the prior year period due to a decline in shipments.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Vaprisol branded product sales for the third quarter of 2024 as Cumberland is currently out of inventory of the product as we await FDA approval on a new manufacturer. The amount represents charges for product returns.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Caldolor revenue was $1.3 million for the third quarter of 2024, compared to $1.2 million for the third quarter of 2023. The increase results from higher international sales.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Vibativ revenue was $1.0 million for the three months ended September 30, 2024, and $2.8 million for the same prior year period. The decrease in net revenue of the product was due to lower sales volume.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Sancuso revenue was $2.6 million for the third quarter of 2024, compared to $1.9 million for the third quarter of 2023 resulting in an increase of $0.7 million. The increase resulted primarily from increased sales volume, along with lower sales deductions associated with the product.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was $0.6 million for the three months ended September 30, 2024, compared to $0.3 million for the three months ended September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relates to the development funding received from Octapharma in the third quarter of 2024.</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third quarter of 2024 and 2023 were $1.3 million and $1.8 million, respectively. Cost of products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percentage of net revenues, were 14.6% during the three months ended September 30, 2024, compared to 17.5% during the three months ended September 30, 2023. The decrease is primarily due to the mix of domestic and international products sold.</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 for the third quarter of 2024 decreased $0.3 million compared to the same period last year.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is primarily attributable to a decline in personnel and the related compensation.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for the third quarter of 2024 were $1.3 million compared to $1.9 million for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is primarily due to a portion of 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 In addition, FDA fees are lower in 2024.</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for the third quarter of 2024 was $2.7 million compared to $2.3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The increase is due to higher salaries and contract labor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Vibativ:</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2,789,579</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563,688</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300,368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621,941</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494,995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1,603,950</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revenue includes $1,288 related to other income received.</w:t>
      </w:r>
    </w:p>
    <w:p>
      <w:pPr>
        <w:spacing w:after="0" w:line="82"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Sancuso: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2,607,559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1,933,222</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314,735</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1,071,764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792,654</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1,400,562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825,833</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Sancuso inventory included in the costs of product sold during 2023 was acquired and paid for by Cumberland as part of the acquisition of the brand during 2022.</w:t>
      </w:r>
    </w:p>
    <w:p>
      <w:pPr>
        <w:spacing w:after="0" w:line="1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the three months ended September 30, 2024 and 2023, totaled approximately $1.1 million and $1.2 million,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for the three months ended September 30, 2024 and for the three months ended September 30, 2023 was $0.01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to the nine months ended September 30,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unaudited interim statements of operations for continuing operations for the nine months ended September 30, 2024 and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6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27,432,376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30,199,441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(2,767,065)</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4,609,499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4,536,628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72,871</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12,800,469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13,692,535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(892,066)</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3,523,535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4,569,476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(1,045,941)</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7,800,435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7,212,731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587,704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3,288,808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3,563,493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(274,685)</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32,022,746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33,574,863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(1,552,117)</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(1,214,948)</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21,923</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2,828,871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(2,828,871)</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 settlement</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insurance proceeds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(109,711)</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106,822</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(4,507,751)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(4,499,785)</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(4,513,299)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10,935,702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12,313,321</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(1,377,619)</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6,624,102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5,736,981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887,121</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5,087,983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6,785,592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(1,697,609)</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3,586,199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3,316,866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269,333</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440,071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(295,098)</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(31,406)</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(168,550)</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325,458</w:t>
            </w:r>
          </w:p>
        </w:tc>
      </w:tr>
      <w:tr>
        <w:trPr>
          <w:trHeight w:val="230"/>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1,113,325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1,792,020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(678,695)</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27,432,376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30,199,441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(2,767,065)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nine months ended September 30, 2024, were $27.4 million compared to $30.2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a decrease of $2.8 million.</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Kristalose revenue was $10.9 million during the first nine months of 2024, compared to $12.3 million for the prior year period. Revenue decreased due to the result of timing of shipments to one of our co-promotion partners.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Acetadote revenue includes net sales of our Acetadote brand and our share of net sales from our Authorized Generic. During the nine months ended September 30, 2024, there was a decrease of $0.3 million in the product's revenue when compared to the prior year period due to a decrease in shipments.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Sancuso revenue was $6.6 million for the nine months ended September 30, 2024, compared to $5.7 million for the same period last year. The increase resulted primarily from reduced sales deductions for product returns.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Vibativ revenue was $5.1 million for the nine months ended September 30, 2024, compared to $6.8 million for the prior year period. The decrease in net revenue of the product was the result of lower sales volume in 2024.</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Vaprisol branded product sales for the nine months ended September 30, 2024 and 2023. The sales of our compounded product for the current year-to-date period was offset by normal sales deduction adjustments.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Omeclamox-Pak had no sales for the nine months ended September 30, 2024, as Cumberland is currently out of commercial inventory of this product. The packager for our Omeclamox-Pak product encountered financial difficulties and currently is under new management and a reorganization.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Caldolor revenue was $3.6 million for the nine months ended September 30, 2024, an increase of $0.3 million over the same period in 2023. Higher international revenue is driving the increase.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was $1.1 million for the nine months ended September 30, 2024, representing a $0.7 million decrease from the same period in 2023, as a result of a settlement recognized in 2023.</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first nine months of 2024 were $4.6 million, consistent when compared to $4.5 million for the first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2023.</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 for the nine months ended September 30, 2024, decreased $0.9 million compared to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This decrease is primarily attributable to the timing of the expenditures.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were $3.5 million for the first nine months of 2024 compared to $4.6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last year. A portion of 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 The year over year reduction results from lower FDA fees and consulting expenses in 2024.</w:t>
      </w:r>
    </w:p>
    <w:p>
      <w:pPr>
        <w:spacing w:after="0" w:line="11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for the nine months ended September 30, 2024, increased to $7.8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$7.2 million during the nine months ended September 30, 2023. The increase is due to higher salaries and contract labor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Vibativ:</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5,089,271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7,785,592</w:t>
            </w:r>
          </w:p>
        </w:tc>
      </w:tr>
      <w:tr>
        <w:trPr>
          <w:trHeight w:val="230"/>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1,081,001</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1,378,848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1,738,568</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2,649,839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4,966,023</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40" w:hanging="132"/>
        <w:spacing w:after="0"/>
        <w:tabs>
          <w:tab w:leader="none" w:pos="14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revenue includes $1,288 related to other income received.</w:t>
      </w:r>
    </w:p>
    <w:p>
      <w:pPr>
        <w:spacing w:after="0" w:line="59" w:lineRule="exact"/>
        <w:rPr>
          <w:rFonts w:ascii="Times New Roman" w:cs="Times New Roman" w:eastAsia="Times New Roman" w:hAnsi="Times New Roman"/>
          <w:sz w:val="16"/>
          <w:szCs w:val="16"/>
          <w:color w:val="auto"/>
          <w:vertAlign w:val="superscript"/>
        </w:rPr>
      </w:pPr>
    </w:p>
    <w:p>
      <w:pPr>
        <w:ind w:left="160" w:hanging="152"/>
        <w:spacing w:after="0" w:line="206"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Since Acquisition</w:t>
            </w:r>
          </w:p>
        </w:tc>
      </w:tr>
      <w:tr>
        <w:trPr>
          <w:trHeight w:val="223"/>
        </w:trPr>
        <w:tc>
          <w:tcPr>
            <w:tcW w:w="90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58,660,448</w:t>
            </w:r>
          </w:p>
        </w:tc>
      </w:tr>
      <w:tr>
        <w:trPr>
          <w:trHeight w:val="230"/>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18,209,090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10,295,977</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30,155,381</w:t>
            </w:r>
          </w:p>
        </w:tc>
      </w:tr>
      <w:tr>
        <w:trPr>
          <w:trHeight w:val="20"/>
        </w:trPr>
        <w:tc>
          <w:tcPr>
            <w:tcW w:w="9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revenue includes a $1,000,000 payment to Cumberland related to a settlement agreement of milestone payments and $1,288 of other income.</w:t>
      </w:r>
    </w:p>
    <w:p>
      <w:pPr>
        <w:spacing w:after="0" w:line="95"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Vibativ inventory included in the costs of product sold during the period was acquired and paid for by Cumberland as part of the acquisition of the brand during 2018.</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6,624,103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5,736,981</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886,041</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2,601,815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2,183,209</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3,330,930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2,667,731</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firstLine="8"/>
        <w:spacing w:after="0" w:line="221" w:lineRule="auto"/>
        <w:tabs>
          <w:tab w:leader="none" w:pos="158"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Sancuso inventory included in the costs of product sold during the period was acquired and paid for by Cumberland as part of the acquisition of the brand during 2022. The acquired inventory was completely sold by the end of the second quarter 2024.</w:t>
      </w:r>
    </w:p>
    <w:p>
      <w:pPr>
        <w:sectPr>
          <w:pgSz w:w="11900" w:h="16838" w:orient="portrait"/>
          <w:cols w:equalWidth="0" w:num="1">
            <w:col w:w="11240"/>
          </w:cols>
          <w:pgMar w:left="320" w:top="1440"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Sancuso contribution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8"/>
          <w:szCs w:val="18"/>
          <w:b w:val="1"/>
          <w:bCs w:val="1"/>
          <w:color w:val="auto"/>
        </w:rPr>
        <w:t>Since Acquisition</w:t>
      </w:r>
    </w:p>
    <w:p>
      <w:pPr>
        <w:spacing w:after="0" w:line="40" w:lineRule="exact"/>
        <w:rPr>
          <w:sz w:val="20"/>
          <w:szCs w:val="20"/>
          <w:color w:val="auto"/>
        </w:rPr>
      </w:pPr>
    </w:p>
    <w:p>
      <w:pPr>
        <w:ind w:left="1289" w:hanging="1289"/>
        <w:spacing w:after="0"/>
        <w:tabs>
          <w:tab w:leader="none" w:pos="128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28,276,494</w:t>
      </w:r>
    </w:p>
    <w:p>
      <w:pPr>
        <w:spacing w:after="0" w:line="38" w:lineRule="exact"/>
        <w:rPr>
          <w:rFonts w:ascii="Times New Roman" w:cs="Times New Roman" w:eastAsia="Times New Roman" w:hAnsi="Times New Roman"/>
          <w:sz w:val="17"/>
          <w:szCs w:val="17"/>
          <w:color w:val="auto"/>
        </w:rPr>
      </w:pPr>
    </w:p>
    <w:p>
      <w:pPr>
        <w:ind w:left="136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3,449,784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10,179,664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3887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1" w:lineRule="exact"/>
        <w:rPr>
          <w:sz w:val="20"/>
          <w:szCs w:val="20"/>
          <w:color w:val="auto"/>
        </w:rPr>
      </w:pPr>
    </w:p>
    <w:p>
      <w:pPr>
        <w:ind w:left="1289" w:hanging="1289"/>
        <w:spacing w:after="0"/>
        <w:tabs>
          <w:tab w:leader="none" w:pos="128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14,647,046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3887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3887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8351" w:space="720"/>
            <w:col w:w="2169"/>
          </w:cols>
          <w:pgMar w:left="320" w:top="1440" w:right="339" w:bottom="1440" w:gutter="0" w:footer="0" w:header="0"/>
          <w:type w:val="continuous"/>
        </w:sectPr>
      </w:pPr>
    </w:p>
    <w:p>
      <w:pPr>
        <w:spacing w:after="0" w:line="29" w:lineRule="exact"/>
        <w:rPr>
          <w:sz w:val="20"/>
          <w:szCs w:val="20"/>
          <w:color w:val="auto"/>
        </w:rPr>
      </w:pPr>
    </w:p>
    <w:p>
      <w:pPr>
        <w:ind w:firstLine="8"/>
        <w:spacing w:after="0" w:line="210" w:lineRule="auto"/>
        <w:tabs>
          <w:tab w:leader="none" w:pos="184"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Sancuso inventory included in the costs of product sold during the period was acquired and paid for by Cumberland as part of the acquisition of the brand during 2022. The acquired inventory was completely sold by the end of the second quarter 2024.</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the nine months ended September 30, 2024, and nine months ended September 30, 2023, totaled approximately $3.3 million and $3.6 million, respectively. The decrease was attributable to a reduction to the valuation of Omeclamox acquisition recognized in December 2023.</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for the nine months ended September 30, 2024, was $0.03 million, compared to the income tax expense recognized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2023 of $0.02 million.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we had approximately $51.9 million in federal net operating loss carryforwards including approximately $44.1 million of net operating loss carryforwards resulting from the exercise of nonqualified stock options that have historically been used to significantly offset income tax obligations. We expect to continue to pay minimal income taxes during 2024 and beyond, through the continued utilization of these net operating loss carryforwards, on any taxable income generated from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liquidity  and</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working  capital  as  of</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September  30,  2024</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and</w:t>
            </w: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56"/>
        </w:trPr>
        <w:tc>
          <w:tcPr>
            <w:tcW w:w="46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02"/>
        </w:trPr>
        <w:tc>
          <w:tcPr>
            <w:tcW w:w="46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9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8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17,464,754</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c>
          <w:tcPr>
            <w:tcW w:w="60" w:type="dxa"/>
            <w:vAlign w:val="bottom"/>
          </w:tcPr>
          <w:p>
            <w:pPr>
              <w:spacing w:after="0"/>
              <w:rPr>
                <w:sz w:val="19"/>
                <w:szCs w:val="19"/>
                <w:color w:val="auto"/>
              </w:rPr>
            </w:pPr>
          </w:p>
        </w:tc>
      </w:tr>
      <w:tr>
        <w:trPr>
          <w:trHeight w:val="209"/>
        </w:trPr>
        <w:tc>
          <w:tcPr>
            <w:tcW w:w="4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(current assets less current liabilities)</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4,148,891</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7,732,161</w:t>
            </w:r>
          </w:p>
        </w:tc>
        <w:tc>
          <w:tcPr>
            <w:tcW w:w="6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ratio (multiple of current assets to current liabilities)</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r>
      <w:tr>
        <w:trPr>
          <w:trHeight w:val="162"/>
        </w:trPr>
        <w:tc>
          <w:tcPr>
            <w:tcW w:w="46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availability</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3,908,408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7,215,856</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changes in cash and cash equivalents for the nine months ended September 30, 2024 and September 30,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0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(2,516,804)</w:t>
            </w:r>
          </w:p>
        </w:tc>
        <w:tc>
          <w:tcPr>
            <w:tcW w:w="12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5,053,700</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(366,334)</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1,575,283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(5,937,371)</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(856,870)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(1,250,005)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$0.9 million decrease in cash and cash equivalents for the nine months ended September 30, 2024, was primarily attributable to cash used in operating activities partially offset by cash provided by financing and investing activities.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totaled $2.5 million for the nine months ended September 30, 2024, primarily due to the $4.5 million net loss, a $1.6 million increase in accounts receivable, a $0.7 million decrease in accounts payable and other accrued liabilities, a $0.9 million decrease in non-cash contingent consideration and a $0.4 million decrease in other long-term liabilities. This was partially offset by a $3.4 million increase in depreciation and amortization expense, a $1.1 million decrease in inventory and a $1.0 million decrease in other current assets and other assets.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totaled $1.6 million for the nine months ended September 30, 2024, primarily due to $3.3 million borrowings net on our line of credit, partially offset by the $1.3 million used for the payment of royalties on sales of Vibativ and Sancuso and the $0.5 million in cash used to repurchase shares of our common stock.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and 2023, we did not engage in any off-balance sheet arrangements.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4" w:name="page35"/>
    <w:bookmarkEnd w:id="34"/>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September 30, 2024.</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risk related to borrowings under our line of credit was based on Term SOFR plus an interest rate spread. The pricing under the Loan Agreement provides for an interest rate spread of 1.75% to 2.75% above Term SOFR with a minimum Term SOFR of 0.90%. The applicable interest rate under the Loan Agreement was 8.000% at September 30, 2024. As of September 30, 2024, we had $16.1 million in borrowings outstanding under our revolving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nine months ended September 30, 2024 and 2023. Neither a five percent increase nor decrease from current exchange rates would have a material effect on our operating results or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1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Part I, Item 1. Financial Statements, Notes to Unaudited Condensed Consolidated Financial Statements, Note 9.</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an investor should consider the risk factors included in the Company's Annual Report on Form 10-K for the year ended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ectPr>
          <w:pgSz w:w="11900" w:h="16838" w:orient="portrait"/>
          <w:cols w:equalWidth="0" w:num="1">
            <w:col w:w="11240"/>
          </w:cols>
          <w:pgMar w:left="320" w:top="1251" w:right="339" w:bottom="1440" w:gutter="0" w:footer="0" w:header="0"/>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by month, during the three months ended September 30, 2024:</w:t>
      </w:r>
    </w:p>
    <w:p>
      <w:pPr>
        <w:spacing w:after="0" w:line="314"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1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1660" w:type="dxa"/>
            <w:vAlign w:val="bottom"/>
          </w:tcPr>
          <w:p>
            <w:pPr>
              <w:jc w:val="center"/>
              <w:ind w:left="268"/>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140" w:type="dxa"/>
            <w:vAlign w:val="bottom"/>
          </w:tcPr>
          <w:p>
            <w:pPr>
              <w:jc w:val="center"/>
              <w:ind w:left="308"/>
              <w:spacing w:after="0" w:line="146" w:lineRule="exact"/>
              <w:rPr>
                <w:sz w:val="20"/>
                <w:szCs w:val="20"/>
                <w:color w:val="auto"/>
              </w:rPr>
            </w:pPr>
            <w:r>
              <w:rPr>
                <w:rFonts w:ascii="Times New Roman" w:cs="Times New Roman" w:eastAsia="Times New Roman" w:hAnsi="Times New Roman"/>
                <w:sz w:val="14"/>
                <w:szCs w:val="14"/>
                <w:b w:val="1"/>
                <w:bCs w:val="1"/>
                <w:color w:val="auto"/>
              </w:rPr>
              <w:t>Units) Purchased as Part of</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6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14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0" w:type="dxa"/>
            <w:vAlign w:val="bottom"/>
          </w:tcPr>
          <w:p>
            <w:pPr>
              <w:spacing w:after="0"/>
              <w:rPr>
                <w:sz w:val="1"/>
                <w:szCs w:val="1"/>
                <w:color w:val="auto"/>
              </w:rPr>
            </w:pPr>
          </w:p>
        </w:tc>
      </w:tr>
      <w:tr>
        <w:trPr>
          <w:trHeight w:val="190"/>
        </w:trPr>
        <w:tc>
          <w:tcPr>
            <w:tcW w:w="1140" w:type="dxa"/>
            <w:vAlign w:val="bottom"/>
            <w:vMerge w:val="continue"/>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21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Maximum number (or</w:t>
      </w:r>
    </w:p>
    <w:p>
      <w:pPr>
        <w:spacing w:after="0" w:line="6" w:lineRule="exact"/>
        <w:rPr>
          <w:sz w:val="20"/>
          <w:szCs w:val="20"/>
          <w:color w:val="auto"/>
        </w:rPr>
      </w:pPr>
    </w:p>
    <w:p>
      <w:pPr>
        <w:ind w:left="20" w:right="680"/>
        <w:spacing w:after="0" w:line="211" w:lineRule="auto"/>
        <w:rPr>
          <w:sz w:val="20"/>
          <w:szCs w:val="20"/>
          <w:color w:val="auto"/>
        </w:rPr>
      </w:pPr>
      <w:r>
        <w:rPr>
          <w:rFonts w:ascii="Times New Roman" w:cs="Times New Roman" w:eastAsia="Times New Roman" w:hAnsi="Times New Roman"/>
          <w:sz w:val="14"/>
          <w:szCs w:val="14"/>
          <w:b w:val="1"/>
          <w:bCs w:val="1"/>
          <w:color w:val="auto"/>
        </w:rPr>
        <w:t>Approximate Dollar Value) of Shares (or Units) that May be</w:t>
      </w:r>
    </w:p>
    <w:p>
      <w:pPr>
        <w:ind w:right="640" w:firstLine="24"/>
        <w:spacing w:after="0" w:line="239" w:lineRule="auto"/>
        <w:rPr>
          <w:sz w:val="20"/>
          <w:szCs w:val="20"/>
          <w:color w:val="auto"/>
        </w:rPr>
      </w:pPr>
      <w:r>
        <w:rPr>
          <w:rFonts w:ascii="Times New Roman" w:cs="Times New Roman" w:eastAsia="Times New Roman" w:hAnsi="Times New Roman"/>
          <w:sz w:val="14"/>
          <w:szCs w:val="14"/>
          <w:b w:val="1"/>
          <w:bCs w:val="1"/>
          <w:color w:val="auto"/>
        </w:rPr>
        <w:t>Purchased Under the Publicly Announced Plans or Programs</w:t>
      </w:r>
    </w:p>
    <w:p>
      <w:pPr>
        <w:spacing w:after="0" w:line="1" w:lineRule="exact"/>
        <w:rPr>
          <w:sz w:val="20"/>
          <w:szCs w:val="20"/>
          <w:color w:val="auto"/>
        </w:rPr>
      </w:pPr>
    </w:p>
    <w:p>
      <w:pPr>
        <w:sectPr>
          <w:pgSz w:w="11900" w:h="16838" w:orient="portrait"/>
          <w:cols w:equalWidth="0" w:num="2">
            <w:col w:w="8420" w:space="300"/>
            <w:col w:w="2520"/>
          </w:cols>
          <w:pgMar w:left="320" w:top="1251" w:right="339" w:bottom="1440" w:gutter="0" w:footer="0" w:header="0"/>
          <w:type w:val="continuous"/>
        </w:sectPr>
      </w:pPr>
    </w:p>
    <w:tbl>
      <w:tblPr>
        <w:tblLayout w:type="fixed"/>
        <w:tblInd w:w="220" w:type="dxa"/>
        <w:tblCellMar>
          <w:top w:w="0" w:type="dxa"/>
          <w:left w:w="0" w:type="dxa"/>
          <w:bottom w:w="0" w:type="dxa"/>
          <w:right w:w="0" w:type="dxa"/>
        </w:tblCellMar>
      </w:tblPr>
      <w:tr>
        <w:trPr>
          <w:trHeight w:val="233"/>
        </w:trPr>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20" w:type="dxa"/>
            <w:vAlign w:val="bottom"/>
            <w:tcBorders>
              <w:top w:val="single" w:sz="8" w:color="CCEEFF"/>
            </w:tcBorders>
            <w:shd w:val="clear" w:color="auto" w:fill="CCEEFF"/>
          </w:tcPr>
          <w:p>
            <w:pPr>
              <w:spacing w:after="0"/>
              <w:rPr>
                <w:sz w:val="20"/>
                <w:szCs w:val="20"/>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4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top w:val="single" w:sz="8" w:color="CCEEFF"/>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76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2,615,314</w:t>
            </w:r>
          </w:p>
        </w:tc>
      </w:tr>
      <w:tr>
        <w:trPr>
          <w:trHeight w:val="229"/>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37,363</w:t>
            </w:r>
          </w:p>
        </w:tc>
        <w:tc>
          <w:tcPr>
            <w:tcW w:w="4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2"/>
              </w:rPr>
              <w:t>(1)</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37,363</w:t>
            </w:r>
          </w:p>
        </w:tc>
        <w:tc>
          <w:tcPr>
            <w:tcW w:w="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2,562,044</w:t>
            </w:r>
          </w:p>
        </w:tc>
      </w:tr>
      <w:tr>
        <w:trPr>
          <w:trHeight w:val="230"/>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7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2,529,903</w:t>
            </w:r>
          </w:p>
        </w:tc>
      </w:tr>
      <w:tr>
        <w:trPr>
          <w:trHeight w:val="223"/>
        </w:trPr>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72,447</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Of this amount, 28,129 shares were repurchased directly in private purchases at the then-current fair market value of common stock.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a non-Rule 10b5-1 trading arrangement during the three months ended September 30, 2024, as such terms are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17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13-14(a) of the Securities Exchange Act of 1934 as Adopted Pursuant to Section 302 of the Sarbanes-Oxley Act of 2002.</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13-14(a) of the Securities Exchange Act of 1934 as Adopted Pursuant to Section 302 of the Sarbanes-Oxley Act of 2002.</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18 U.S.C. Section 1350, as Adopted Pursuant to Section 906 of the Sarbanes-Oxley Act of 2002.</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90170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20" w:space="260"/>
            <w:col w:w="9560"/>
          </w:cols>
          <w:pgMar w:left="320" w:top="1359" w:right="4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66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24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John Hamm</w:t>
            </w:r>
          </w:p>
        </w:tc>
      </w:tr>
      <w:tr>
        <w:trPr>
          <w:trHeight w:val="218"/>
        </w:trPr>
        <w:tc>
          <w:tcPr>
            <w:tcW w:w="37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37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5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 Kazimi, certify that:</w:t>
      </w:r>
    </w:p>
    <w:p>
      <w:pPr>
        <w:spacing w:after="0" w:line="50" w:lineRule="exact"/>
        <w:rPr>
          <w:sz w:val="20"/>
          <w:szCs w:val="20"/>
          <w:color w:val="auto"/>
        </w:rPr>
      </w:pPr>
    </w:p>
    <w:p>
      <w:pPr>
        <w:ind w:left="680" w:hanging="654"/>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rFonts w:ascii="Times New Roman" w:cs="Times New Roman" w:eastAsia="Times New Roman" w:hAnsi="Times New Roman"/>
          <w:sz w:val="18"/>
          <w:szCs w:val="18"/>
          <w:color w:val="auto"/>
        </w:rPr>
      </w:pPr>
    </w:p>
    <w:p>
      <w:pPr>
        <w:jc w:val="both"/>
        <w:ind w:left="680" w:right="100" w:hanging="654"/>
        <w:spacing w:after="0" w:line="22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60" w:hanging="654"/>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Times New Roman" w:cs="Times New Roman" w:eastAsia="Times New Roman" w:hAnsi="Times New Roman"/>
          <w:sz w:val="18"/>
          <w:szCs w:val="18"/>
          <w:color w:val="auto"/>
        </w:rPr>
      </w:pPr>
    </w:p>
    <w:p>
      <w:pPr>
        <w:ind w:left="600" w:right="340" w:hanging="574"/>
        <w:spacing w:after="0" w:line="237"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620"/>
        <w:spacing w:after="0"/>
        <w:tabs>
          <w:tab w:leader="none" w:pos="6800" w:val="left"/>
        </w:tabs>
        <w:rPr>
          <w:sz w:val="20"/>
          <w:szCs w:val="20"/>
          <w:color w:val="auto"/>
        </w:rPr>
      </w:pPr>
      <w:r>
        <w:rPr>
          <w:rFonts w:ascii="Times New Roman" w:cs="Times New Roman" w:eastAsia="Times New Roman" w:hAnsi="Times New Roman"/>
          <w:sz w:val="18"/>
          <w:szCs w:val="18"/>
          <w:color w:val="auto"/>
        </w:rPr>
        <w:t>November 8, 2024 By:</w:t>
      </w:r>
      <w:r>
        <w:rPr>
          <w:sz w:val="20"/>
          <w:szCs w:val="20"/>
          <w:color w:val="auto"/>
        </w:rPr>
        <w:tab/>
      </w:r>
      <w:r>
        <w:rPr>
          <w:rFonts w:ascii="Times New Roman" w:cs="Times New Roman" w:eastAsia="Times New Roman" w:hAnsi="Times New Roman"/>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Hamm, certify that:</w:t>
      </w:r>
    </w:p>
    <w:p>
      <w:pPr>
        <w:spacing w:after="0" w:line="50" w:lineRule="exact"/>
        <w:rPr>
          <w:sz w:val="20"/>
          <w:szCs w:val="20"/>
          <w:color w:val="auto"/>
        </w:rPr>
      </w:pPr>
    </w:p>
    <w:p>
      <w:pPr>
        <w:ind w:left="680" w:hanging="654"/>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rFonts w:ascii="Times New Roman" w:cs="Times New Roman" w:eastAsia="Times New Roman" w:hAnsi="Times New Roman"/>
          <w:sz w:val="18"/>
          <w:szCs w:val="18"/>
          <w:color w:val="auto"/>
        </w:rPr>
      </w:pPr>
    </w:p>
    <w:p>
      <w:pPr>
        <w:jc w:val="both"/>
        <w:ind w:left="680" w:right="100" w:hanging="654"/>
        <w:spacing w:after="0" w:line="22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60" w:hanging="654"/>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680"/>
        <w:spacing w:after="0"/>
        <w:tabs>
          <w:tab w:leader="none" w:pos="6800" w:val="left"/>
        </w:tabs>
        <w:rPr>
          <w:sz w:val="20"/>
          <w:szCs w:val="20"/>
          <w:color w:val="auto"/>
        </w:rPr>
      </w:pPr>
      <w:r>
        <w:rPr>
          <w:rFonts w:ascii="Times New Roman" w:cs="Times New Roman" w:eastAsia="Times New Roman" w:hAnsi="Times New Roman"/>
          <w:sz w:val="18"/>
          <w:szCs w:val="18"/>
          <w:color w:val="auto"/>
        </w:rPr>
        <w:t>November 8, 2024 By:</w:t>
      </w:r>
      <w:r>
        <w:rPr>
          <w:sz w:val="20"/>
          <w:szCs w:val="20"/>
          <w:color w:val="auto"/>
        </w:rPr>
        <w:tab/>
      </w:r>
      <w:r>
        <w:rPr>
          <w:rFonts w:ascii="Times New Roman" w:cs="Times New Roman" w:eastAsia="Times New Roman" w:hAnsi="Times New Roman"/>
          <w:sz w:val="17"/>
          <w:szCs w:val="17"/>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fiscal quarter ended September 30, 2024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p>
      <w:pPr>
        <w:spacing w:after="0" w:line="2" w:lineRule="exact"/>
        <w:rPr>
          <w:sz w:val="20"/>
          <w:szCs w:val="20"/>
          <w:color w:val="auto"/>
        </w:rPr>
      </w:pPr>
    </w:p>
    <w:p>
      <w:pPr>
        <w:ind w:left="680" w:hanging="654"/>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November 8,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November 8, 2024</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2024-11-08T16:52:01Z</dcterms:created>
  <dcterms:modified xsi:type="dcterms:W3CDTF">2024-11-08T16:52:01Z</dcterms:modified>
</cp:coreProperties>
</file>