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14, 2023)</w:t>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Up to $5,800,000 of Shares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9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85"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20, 2024, we entered into a sales agreement with H.C. Wainwright &amp; Co., LLC, or the Agent, relating to shares of our common stock offered by this prospectus supplement. In accordance with the terms of the sales agreement, pursuant to this prospectus supplement we may offer and sell shares of our common stock having an aggregate offering price of up to $5,800,000 from time to time through or to the Agent acting as our agent or principal. As of the date of this prospectus supplement, we are offering $5,800,000 of shares under the sales agreement pursuant to this prospectus supplement.</w:t>
      </w:r>
    </w:p>
    <w:p>
      <w:pPr>
        <w:spacing w:after="0" w:line="143"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of our common stock, if any, under this prospectus may be made in sales deemed to be “at the market offerings” as defined in Rule 415 promulgated under the Securities Act of 1933, as amended, or the Securities Act. The Agent will act as sales agent on a best efforts basis and will use commercially reasonable efforts to sell on our behalf all of the shares of common stock requested to be sold by us, consistent with its normal trading and sales practices, on mutually agreed terms between the Agent and us. There is no arrangement for funds to be received in any escrow, trust or similar arrangement.</w:t>
      </w:r>
    </w:p>
    <w:p>
      <w:pPr>
        <w:spacing w:after="0" w:line="143"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aggregate market value of our outstanding common equity held by non-affiliates on February 22, 2024, was $17,487,995 based on 14,080,140 shares of common stock outstanding, of which 7,913,120 were held by non-affiliates, and a closing sale price on the Nasdaq Global Market on February 22, 2024, of $2.21. During the 12 calendar months prior to and including the date hereof, we have not sold any shares of common stock pursuant to General Instruction I.B.6. of Form S-3.</w:t>
      </w:r>
    </w:p>
    <w:p>
      <w:pPr>
        <w:spacing w:after="0" w:line="153"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Agent is entitled to compensation of 3.0% of the gross sales price per share sold. In connection with the sale of our common stock on our behalf, the Agent will be deemed to be an “underwriter” within the meaning of the Securities Act and the compensation of the Agent will be deemed to be underwriting commissions or discounts. We have also agreed to provide indemnification and contribution to the Agent with respect to certain liabilities, including liabilities under the Securities Act.</w:t>
      </w:r>
    </w:p>
    <w:p>
      <w:pPr>
        <w:spacing w:after="0" w:line="139"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RISKS. SEE THE “RISK FACTORS” ON PAGE S-4 OF THIS PROSPECTUS SUPPLEMENT AND ANY SIMILAR SECTION CONTAINED IN THE DOCUMENTS INCORPORATED BY REFERENCE INTO THIS PROSPECTUS SUPPLEMENT AND PROSPECTUS.</w:t>
      </w:r>
    </w:p>
    <w:p>
      <w:pPr>
        <w:spacing w:after="0" w:line="13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“CPIX.” On February 22, 2024, the last reported sale price of our common stock on the Nasdaq Global Market was $2.21 per share.</w:t>
      </w:r>
    </w:p>
    <w:p>
      <w:pPr>
        <w:spacing w:after="0" w:line="131"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20, 2024.</w:t>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54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ABOUT THIS PROSPECTUS SUPPLEMENT</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S-1</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PROSPECTUS SUPPLEMENT SUMMARY</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S-2</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OFFERING</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S-3</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S-4</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S-5</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DILUTION</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S-5</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CAUTIONARY STATEMENTS REGARDING FORWARD-LOOKING STATEMENTS</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S-7</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OF DISTRIBUTION</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S-8</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S-9</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EXPERTS</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S-9</w:t>
            </w: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 YOU CAN FIND MORE INFORMATION; INCORPORATION BY REFERENCE</w:t>
            </w:r>
          </w:p>
        </w:tc>
        <w:tc>
          <w:tcPr>
            <w:tcW w:w="202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w w:val="87"/>
              </w:rPr>
              <w:t>S-9</w:t>
            </w:r>
          </w:p>
        </w:tc>
      </w:tr>
      <w:tr>
        <w:trPr>
          <w:trHeight w:val="561"/>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432"/>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ABOUT THIS PROSPECTUS</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w w:val="70"/>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w w:val="70"/>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CAUTIONARY STATEMENTS REGARDING FORWARD-LOOKING STATEMENTS</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w w:val="70"/>
              </w:rPr>
              <w:t>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OUR COMPANY</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w w:val="70"/>
              </w:rPr>
              <w:t>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w w:val="70"/>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w w:val="70"/>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WARRANTS</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w w:val="70"/>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DEBT SECURITIES</w:t>
            </w:r>
          </w:p>
        </w:tc>
        <w:tc>
          <w:tcPr>
            <w:tcW w:w="190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w w:val="70"/>
              </w:rPr>
              <w:t>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 OF UNITS</w:t>
            </w:r>
          </w:p>
        </w:tc>
        <w:tc>
          <w:tcPr>
            <w:tcW w:w="20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w w:val="77"/>
              </w:rPr>
              <w:t>18</w:t>
            </w: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OF DISTRIBUTION</w:t>
            </w:r>
          </w:p>
        </w:tc>
        <w:tc>
          <w:tcPr>
            <w:tcW w:w="20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w w:val="77"/>
              </w:rPr>
              <w:t>21</w:t>
            </w: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MATTERS</w:t>
            </w:r>
          </w:p>
        </w:tc>
        <w:tc>
          <w:tcPr>
            <w:tcW w:w="20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w w:val="77"/>
              </w:rPr>
              <w:t>22</w:t>
            </w: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EXPERTS</w:t>
            </w:r>
          </w:p>
        </w:tc>
        <w:tc>
          <w:tcPr>
            <w:tcW w:w="20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w w:val="77"/>
              </w:rPr>
              <w:t>22</w:t>
            </w: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WHERE YOU CAN FIND MORE INFORMATION</w:t>
            </w:r>
          </w:p>
        </w:tc>
        <w:tc>
          <w:tcPr>
            <w:tcW w:w="20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w w:val="77"/>
              </w:rPr>
              <w:t>22</w:t>
            </w: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INFORMATION INCORPORATED BY REFERENCE</w:t>
            </w:r>
          </w:p>
        </w:tc>
        <w:tc>
          <w:tcPr>
            <w:tcW w:w="20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w w:val="77"/>
              </w:rPr>
              <w:t>23</w:t>
            </w:r>
          </w:p>
        </w:tc>
        <w:tc>
          <w:tcPr>
            <w:tcW w:w="20" w:type="dxa"/>
            <w:vAlign w:val="bottom"/>
          </w:tcPr>
          <w:p>
            <w:pPr>
              <w:spacing w:after="0"/>
              <w:rPr>
                <w:sz w:val="18"/>
                <w:szCs w:val="18"/>
                <w:color w:val="auto"/>
              </w:rPr>
            </w:pPr>
          </w:p>
        </w:tc>
      </w:tr>
      <w:tr>
        <w:trPr>
          <w:trHeight w:val="20"/>
        </w:trPr>
        <w:tc>
          <w:tcPr>
            <w:tcW w:w="85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0560"/>
          </w:cols>
          <w:pgMar w:left="320" w:top="1197" w:right="10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U.S. Securities and Exchange Commission, or the SEC, utilizing a “shelf registration” process. By using a shelf registration statement, we may offer shares of our common stock having an aggregate offering price of up to $5,800,000 from time to time under this prospectus at prices and on terms to be determined by market conditions at the time of offering.</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information to you about this offering of shares of our common stock in two separate documents that are bound together: (1) this prospectus supplement, which describes the specific details regarding this offering and our sales agreement;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the information in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in any free writing prospectus that we may authorize for use in connection with this offering. We have not, and the Agent has not, authorized any other person to provide you with different information. If anyone provides you with different or inconsistent information, you should not rely on it. We are not, and the Agent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This prospectus incorporates by reference, and any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and any related free writing prospectus, and under similar headings in the other documents that are incorporated by reference into this prospectus. Accordingly, investors should not place undue reliance on this information.</w:t>
      </w:r>
    </w:p>
    <w:p>
      <w:pPr>
        <w:spacing w:after="0" w:line="1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Incorporation by Reference.”</w:t>
      </w:r>
    </w:p>
    <w:p>
      <w:pPr>
        <w:spacing w:after="0" w:line="1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When we refer to “Cumberland,” “we,” “our,” “us” and the “Company” in this prospectus, we mean Cumberland Pharmaceuticals Inc. and its consolidated subsidiaries, unless otherwise specified. When we refer to “you,” we mean the holders of our common stock.</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our trademarks and service marks are used in this prospectus. This prospectus may also include trademarks, tradenames, and service marks that are the property of other organizations. Solely for convenience, our trademarks and tradenames referred to in this prospectus may appear without the ® and TM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S-1</w:t>
      </w:r>
    </w:p>
    <w:p>
      <w:pPr>
        <w:sectPr>
          <w:pgSz w:w="11900" w:h="16838" w:orient="portrait"/>
          <w:cols w:equalWidth="0" w:num="1">
            <w:col w:w="11240"/>
          </w:cols>
          <w:pgMar w:left="320" w:top="133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40575" cy="1920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1920240"/>
                    </a:xfrm>
                    <a:prstGeom prst="rect">
                      <a:avLst/>
                    </a:prstGeom>
                    <a:noFill/>
                  </pic:spPr>
                </pic:pic>
              </a:graphicData>
            </a:graphic>
          </wp:anchor>
        </w:drawing>
        <w:t>PROSPECTUS SUPPLEMENT SUMMARY</w:t>
      </w:r>
    </w:p>
    <w:p>
      <w:pPr>
        <w:spacing w:after="0" w:line="16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7"/>
          <w:szCs w:val="17"/>
          <w:i w:val="1"/>
          <w:iCs w:val="1"/>
          <w:color w:val="auto"/>
        </w:rPr>
        <w:t>This summary provides a general overview of selected information and does not contain all of the information you should consider before buying our common stock. Therefore, you should read the entire prospectus and any free writing prospectus that we have authorized for use in connection</w:t>
      </w:r>
    </w:p>
    <w:p>
      <w:pPr>
        <w:jc w:val="both"/>
        <w:ind w:right="20"/>
        <w:spacing w:after="0" w:line="218" w:lineRule="auto"/>
        <w:rPr>
          <w:sz w:val="20"/>
          <w:szCs w:val="20"/>
          <w:color w:val="auto"/>
        </w:rPr>
      </w:pPr>
      <w:r>
        <w:rPr>
          <w:rFonts w:ascii="Times New Roman" w:cs="Times New Roman" w:eastAsia="Times New Roman" w:hAnsi="Times New Roman"/>
          <w:sz w:val="18"/>
          <w:szCs w:val="18"/>
          <w:i w:val="1"/>
          <w:iCs w:val="1"/>
          <w:color w:val="auto"/>
        </w:rPr>
        <w:t>with this offering carefully, including the information incorporated by reference, before deciding to invest in our common stock. Investors should carefully consider the information set forth under “Risk Factors” beginning on page S-4 of this prospectus supplement, on page 2 of the prospectus and in our annual report on Form 10-K and our quarterly reports on Form 10-Q incorporated by reference herein.</w:t>
      </w:r>
    </w:p>
    <w:p>
      <w:pPr>
        <w:spacing w:after="0" w:line="13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Cumberland is a specialty pharmaceutical company focused on the acquisition, development and commercialization of branded prescription products. Our primary target markets are hospital acute care, gastroenterology and rheumatology.</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Tennessee corporation. Our principal executive offices are located at 1600 West End Avenue, Suite 1300, Nashville, Tennessee 37203.</w:t>
      </w:r>
    </w:p>
    <w:p>
      <w:pPr>
        <w:spacing w:after="0"/>
        <w:rPr>
          <w:sz w:val="20"/>
          <w:szCs w:val="20"/>
          <w:color w:val="auto"/>
        </w:rPr>
      </w:pPr>
      <w:r>
        <w:rPr>
          <w:rFonts w:ascii="Times New Roman" w:cs="Times New Roman" w:eastAsia="Times New Roman" w:hAnsi="Times New Roman"/>
          <w:sz w:val="18"/>
          <w:szCs w:val="18"/>
          <w:color w:val="auto"/>
        </w:rPr>
        <w:t>Our telephone number is (615) 255-0068.</w:t>
      </w:r>
    </w:p>
    <w:p>
      <w:pPr>
        <w:spacing w:after="0" w:line="138"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u w:val="single" w:color="auto"/>
          <w:color w:val="0000FF"/>
        </w:rPr>
        <w:t>www.cumberlandpharma.com</w:t>
      </w:r>
      <w:r>
        <w:rPr>
          <w:rFonts w:ascii="Times New Roman" w:cs="Times New Roman" w:eastAsia="Times New Roman" w:hAnsi="Times New Roman"/>
          <w:sz w:val="18"/>
          <w:szCs w:val="18"/>
          <w:color w:val="auto"/>
        </w:rPr>
        <w:t>, which contains information about us. Our website and the information contained on it and connected to it will not be deemed incorporated by reference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00"/>
          </w:cols>
          <w:pgMar w:left="400" w:top="1062" w:right="3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40575" cy="1631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163195"/>
                    </a:xfrm>
                    <a:prstGeom prst="rect">
                      <a:avLst/>
                    </a:prstGeom>
                    <a:noFill/>
                  </pic:spPr>
                </pic:pic>
              </a:graphicData>
            </a:graphic>
          </wp:anchor>
        </w:drawing>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40" w:lineRule="exact"/>
        <w:rPr>
          <w:sz w:val="20"/>
          <w:szCs w:val="20"/>
          <w:color w:val="auto"/>
        </w:rPr>
      </w:pPr>
    </w:p>
    <w:p>
      <w:pPr>
        <w:jc w:val="both"/>
        <w:ind w:left="20" w:right="60"/>
        <w:spacing w:after="0" w:line="222" w:lineRule="auto"/>
        <w:rPr>
          <w:sz w:val="20"/>
          <w:szCs w:val="20"/>
          <w:color w:val="auto"/>
        </w:rPr>
      </w:pPr>
      <w:r>
        <w:rPr>
          <w:rFonts w:ascii="Times New Roman" w:cs="Times New Roman" w:eastAsia="Times New Roman" w:hAnsi="Times New Roman"/>
          <w:sz w:val="18"/>
          <w:szCs w:val="18"/>
          <w:color w:val="auto"/>
        </w:rPr>
        <w:t>The following description contains basic information about our common stock and this offering. This description is not complete and does not contain all of the information that you should consider before making a decision to invest in our common stock. For a more complete understanding of our common</w:t>
      </w:r>
    </w:p>
    <w:p>
      <w:pPr>
        <w:spacing w:after="0" w:line="2" w:lineRule="exact"/>
        <w:rPr>
          <w:sz w:val="20"/>
          <w:szCs w:val="20"/>
          <w:color w:val="auto"/>
        </w:rPr>
      </w:pPr>
    </w:p>
    <w:p>
      <w:pPr>
        <w:jc w:val="both"/>
        <w:ind w:left="20" w:right="40"/>
        <w:spacing w:after="0" w:line="218" w:lineRule="auto"/>
        <w:rPr>
          <w:sz w:val="20"/>
          <w:szCs w:val="20"/>
          <w:color w:val="auto"/>
        </w:rPr>
      </w:pPr>
      <w:r>
        <w:rPr>
          <w:rFonts w:ascii="Times New Roman" w:cs="Times New Roman" w:eastAsia="Times New Roman" w:hAnsi="Times New Roman"/>
          <w:sz w:val="18"/>
          <w:szCs w:val="18"/>
          <w:color w:val="auto"/>
        </w:rPr>
        <w:t>stock, you should read the section entitled “Description of Capital Stock” beginning on page 5 of the accompanying prospectus. To the extent the following information is inconsistent with the information in the accompanying prospectus, the information in this prospectus supplement supersedes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Issuer</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169"/>
        </w:trPr>
        <w:tc>
          <w:tcPr>
            <w:tcW w:w="5640" w:type="dxa"/>
            <w:vAlign w:val="bottom"/>
            <w:tcBorders>
              <w:left w:val="single" w:sz="8" w:color="auto"/>
              <w:right w:val="single" w:sz="8" w:color="auto"/>
            </w:tcBorders>
          </w:tcPr>
          <w:p>
            <w:pPr>
              <w:spacing w:after="0"/>
              <w:rPr>
                <w:sz w:val="14"/>
                <w:szCs w:val="14"/>
                <w:color w:val="auto"/>
              </w:rPr>
            </w:pP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Shares of our common stock having an aggregate offering price of up to</w:t>
            </w:r>
          </w:p>
        </w:tc>
      </w:tr>
      <w:tr>
        <w:trPr>
          <w:trHeight w:val="243"/>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 offered by us</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$5,800,000.</w:t>
            </w:r>
          </w:p>
        </w:tc>
      </w:tr>
      <w:tr>
        <w:trPr>
          <w:trHeight w:val="169"/>
        </w:trPr>
        <w:tc>
          <w:tcPr>
            <w:tcW w:w="5640" w:type="dxa"/>
            <w:vAlign w:val="bottom"/>
            <w:tcBorders>
              <w:left w:val="single" w:sz="8" w:color="auto"/>
              <w:right w:val="single" w:sz="8" w:color="auto"/>
            </w:tcBorders>
          </w:tcPr>
          <w:p>
            <w:pPr>
              <w:spacing w:after="0"/>
              <w:rPr>
                <w:sz w:val="14"/>
                <w:szCs w:val="14"/>
                <w:color w:val="auto"/>
              </w:rPr>
            </w:pP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“At the market offering” that may be made from time to time through or to,</w:t>
            </w:r>
          </w:p>
        </w:tc>
      </w:tr>
      <w:tr>
        <w:trPr>
          <w:trHeight w:val="176"/>
        </w:trPr>
        <w:tc>
          <w:tcPr>
            <w:tcW w:w="5640" w:type="dxa"/>
            <w:vAlign w:val="bottom"/>
            <w:tcBorders>
              <w:left w:val="single" w:sz="8" w:color="auto"/>
              <w:right w:val="single" w:sz="8" w:color="auto"/>
            </w:tcBorders>
          </w:tcPr>
          <w:p>
            <w:pPr>
              <w:spacing w:after="0"/>
              <w:rPr>
                <w:sz w:val="15"/>
                <w:szCs w:val="15"/>
                <w:color w:val="auto"/>
              </w:rPr>
            </w:pPr>
          </w:p>
        </w:tc>
        <w:tc>
          <w:tcPr>
            <w:tcW w:w="56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H.C. Wainwright &amp; Co., LLC, as sales agent or principal. See “Plan of</w:t>
            </w:r>
          </w:p>
        </w:tc>
      </w:tr>
      <w:tr>
        <w:trPr>
          <w:trHeight w:val="243"/>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Manner of offering</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 on page S-9.</w:t>
            </w:r>
          </w:p>
        </w:tc>
      </w:tr>
      <w:tr>
        <w:trPr>
          <w:trHeight w:val="169"/>
        </w:trPr>
        <w:tc>
          <w:tcPr>
            <w:tcW w:w="5640" w:type="dxa"/>
            <w:vAlign w:val="bottom"/>
            <w:tcBorders>
              <w:left w:val="single" w:sz="8" w:color="auto"/>
              <w:right w:val="single" w:sz="8" w:color="auto"/>
            </w:tcBorders>
          </w:tcPr>
          <w:p>
            <w:pPr>
              <w:spacing w:after="0"/>
              <w:rPr>
                <w:sz w:val="14"/>
                <w:szCs w:val="14"/>
                <w:color w:val="auto"/>
              </w:rPr>
            </w:pP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We intend to use the net proceeds, if any, from this offering for working</w:t>
            </w:r>
          </w:p>
        </w:tc>
      </w:tr>
      <w:tr>
        <w:trPr>
          <w:trHeight w:val="176"/>
        </w:trPr>
        <w:tc>
          <w:tcPr>
            <w:tcW w:w="5640" w:type="dxa"/>
            <w:vAlign w:val="bottom"/>
            <w:tcBorders>
              <w:left w:val="single" w:sz="8" w:color="auto"/>
              <w:right w:val="single" w:sz="8" w:color="auto"/>
            </w:tcBorders>
          </w:tcPr>
          <w:p>
            <w:pPr>
              <w:spacing w:after="0"/>
              <w:rPr>
                <w:sz w:val="15"/>
                <w:szCs w:val="15"/>
                <w:color w:val="auto"/>
              </w:rPr>
            </w:pPr>
          </w:p>
        </w:tc>
        <w:tc>
          <w:tcPr>
            <w:tcW w:w="56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capital and general corporate purposes, including research and development</w:t>
            </w:r>
          </w:p>
        </w:tc>
      </w:tr>
      <w:tr>
        <w:trPr>
          <w:trHeight w:val="243"/>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expenses and capital expenditures. See “Use of Proceeds” on page S-5.</w:t>
            </w:r>
          </w:p>
        </w:tc>
      </w:tr>
      <w:tr>
        <w:trPr>
          <w:trHeight w:val="169"/>
        </w:trPr>
        <w:tc>
          <w:tcPr>
            <w:tcW w:w="5640" w:type="dxa"/>
            <w:vAlign w:val="bottom"/>
            <w:tcBorders>
              <w:left w:val="single" w:sz="8" w:color="auto"/>
              <w:right w:val="single" w:sz="8" w:color="auto"/>
            </w:tcBorders>
          </w:tcPr>
          <w:p>
            <w:pPr>
              <w:spacing w:after="0"/>
              <w:rPr>
                <w:sz w:val="14"/>
                <w:szCs w:val="14"/>
                <w:color w:val="auto"/>
              </w:rPr>
            </w:pPr>
          </w:p>
        </w:tc>
        <w:tc>
          <w:tcPr>
            <w:tcW w:w="56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You should read the “Risk Factors” section of this prospectus supplement,</w:t>
            </w:r>
          </w:p>
        </w:tc>
      </w:tr>
      <w:tr>
        <w:trPr>
          <w:trHeight w:val="176"/>
        </w:trPr>
        <w:tc>
          <w:tcPr>
            <w:tcW w:w="5640" w:type="dxa"/>
            <w:vAlign w:val="bottom"/>
            <w:tcBorders>
              <w:left w:val="single" w:sz="8" w:color="auto"/>
              <w:right w:val="single" w:sz="8" w:color="auto"/>
            </w:tcBorders>
          </w:tcPr>
          <w:p>
            <w:pPr>
              <w:spacing w:after="0"/>
              <w:rPr>
                <w:sz w:val="15"/>
                <w:szCs w:val="15"/>
                <w:color w:val="auto"/>
              </w:rPr>
            </w:pPr>
          </w:p>
        </w:tc>
        <w:tc>
          <w:tcPr>
            <w:tcW w:w="56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the prospectus and in the documents incorporated by reference in this</w:t>
            </w:r>
          </w:p>
        </w:tc>
      </w:tr>
      <w:tr>
        <w:trPr>
          <w:trHeight w:val="184"/>
        </w:trPr>
        <w:tc>
          <w:tcPr>
            <w:tcW w:w="5640" w:type="dxa"/>
            <w:vAlign w:val="bottom"/>
            <w:tcBorders>
              <w:left w:val="single" w:sz="8" w:color="auto"/>
              <w:right w:val="single" w:sz="8" w:color="auto"/>
            </w:tcBorders>
          </w:tcPr>
          <w:p>
            <w:pPr>
              <w:spacing w:after="0"/>
              <w:rPr>
                <w:sz w:val="16"/>
                <w:szCs w:val="16"/>
                <w:color w:val="auto"/>
              </w:rPr>
            </w:pPr>
          </w:p>
        </w:tc>
        <w:tc>
          <w:tcPr>
            <w:tcW w:w="562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prospectus for a discussion of factors to consider before deciding to purchase</w:t>
            </w:r>
          </w:p>
        </w:tc>
      </w:tr>
      <w:tr>
        <w:trPr>
          <w:trHeight w:val="234"/>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of our common stock.</w:t>
            </w:r>
          </w:p>
        </w:tc>
      </w:tr>
      <w:tr>
        <w:trPr>
          <w:trHeight w:val="223"/>
        </w:trPr>
        <w:tc>
          <w:tcPr>
            <w:tcW w:w="5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Symbol on the NASDAQ Global Market</w:t>
            </w:r>
          </w:p>
        </w:tc>
        <w:tc>
          <w:tcPr>
            <w:tcW w:w="56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CPIX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260"/>
          </w:cols>
          <w:pgMar w:left="320" w:top="1440"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You should consider carefully the risks described below and </w:t>
      </w:r>
      <w:r>
        <w:rPr>
          <w:rFonts w:ascii="Times New Roman" w:cs="Times New Roman" w:eastAsia="Times New Roman" w:hAnsi="Times New Roman"/>
          <w:sz w:val="18"/>
          <w:szCs w:val="18"/>
          <w:color w:val="auto"/>
        </w:rPr>
        <w:t>discussed</w:t>
      </w:r>
      <w:r>
        <w:rPr>
          <w:rFonts w:ascii="Times New Roman" w:cs="Times New Roman" w:eastAsia="Times New Roman" w:hAnsi="Times New Roman"/>
          <w:sz w:val="18"/>
          <w:szCs w:val="18"/>
          <w:i w:val="1"/>
          <w:iCs w:val="1"/>
          <w:color w:val="auto"/>
        </w:rPr>
        <w:t xml:space="preserve"> under the section captioned “Risk Factors” contained in our annual report on Form 10-K for the year ended December 31, 2023 as updated by our subsequent filings under the Securities Exchange Act of 1934, as amended, or the Exchange Act, each of which is incorporated by reference in this prospectus in its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results of operations, financial condition or prospects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Risks Relating to this Offering</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of this offering in ways with which you may not agree or in ways which may not yield a significant return.</w:t>
      </w:r>
    </w:p>
    <w:p>
      <w:pPr>
        <w:spacing w:after="0" w:line="1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this offering. We intend to use the net proceeds, if any, from this offering for working capital and general corporate purposes, including research and development expenses and capital expenditures. However, we have not determined the specific allocation of the net proceeds among these potential uses.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immediate and substantial dilution in the net tangible book value per share of the common stock you purchase.</w:t>
      </w:r>
    </w:p>
    <w:p>
      <w:pPr>
        <w:spacing w:after="0" w:line="18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common stock outstanding prior to this offering. Assuming that an aggregate of 2,624,434 shares are sold at a price of $2.21 per share, the last reported sale price of our common stock on The NASDAQ Global Market on February 22, 2024, for aggregate proceeds of up to $5,800,000 in this offering, and after deducting commissions and estimated aggregate offering expenses payable by us, you will suffer immediate and substantial dilution of $1.53 per share, representing the difference between the as adjusted net tangible book value per share of our common stock as of December 31, 2023, after giving effect to this offering and the assumed offering price. See the section entitled “Dilution” below for a more detailed discussion of the dilution you will incur if you purchase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240"/>
          </w:cols>
          <w:pgMar w:left="320" w:top="133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$5.8 million from time to time. The amount of proceeds from this offering will depend upon the number of shares of our common stock sold and the market price at which they are sold. There can be no assurance that we will be able to sell any shares under or fully utilize the sales agreement with the Agent as a source of financing. We intend to use the net proceeds, if any, from this offering for working capital and general corporate purposes, including research and development expenses and capital expenditures.</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short-term, investment-grade, interest-bearing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December 31, 2023, was approximately $5.7 million, or $0.41 per share. Net tangible book value per share is determined by dividing our total tangible assets, less total liabilities, by the number of shares of our common stock outstanding as of December 31, 2023.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39"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$5.8 million in this offering at an assumed offering price of $2.21, the last reported sale price of our common stock on The NASDAQ Global Market on February 22, 2024, and after deducting commissions and estimated aggregate offering expenses payable by us, our as adjusted net tangible book value as of December 31, 2023, would have been approximately $11.3 million, or $0.68 per share. This represents an immediate increase in net tangible book value of $0.27 per share to existing stockholders and immediate dilution in net tangible book value of $1.53 per share to new investors purchasing our common stock in this offering. The following table illustrates this dilution on a per share basis: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47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$2.21</w:t>
            </w:r>
          </w:p>
        </w:tc>
      </w:tr>
      <w:tr>
        <w:trPr>
          <w:trHeight w:val="351"/>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2023</w:t>
            </w:r>
          </w:p>
        </w:tc>
        <w:tc>
          <w:tcPr>
            <w:tcW w:w="47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$0.41</w:t>
            </w:r>
          </w:p>
        </w:tc>
      </w:tr>
      <w:tr>
        <w:trPr>
          <w:trHeight w:val="310"/>
        </w:trPr>
        <w:tc>
          <w:tcPr>
            <w:tcW w:w="6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Increase per share attributable to new investors</w:t>
            </w:r>
          </w:p>
        </w:tc>
        <w:tc>
          <w:tcPr>
            <w:tcW w:w="4720" w:type="dxa"/>
            <w:vAlign w:val="bottom"/>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$0.27</w:t>
            </w:r>
          </w:p>
        </w:tc>
      </w:tr>
      <w:tr>
        <w:trPr>
          <w:trHeight w:val="3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47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$0.68</w:t>
            </w:r>
          </w:p>
        </w:tc>
      </w:tr>
      <w:tr>
        <w:trPr>
          <w:trHeight w:val="311"/>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w:t>
            </w:r>
          </w:p>
        </w:tc>
        <w:tc>
          <w:tcPr>
            <w:tcW w:w="472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292"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shares sold in this offering, if any, will be sold from time to time at various prices. An increase of $1.00 per share in the price at which the shares are sold from the assumed offering price of $2.21 per share shown in the table above, assuming all of our common stock in the aggregate amount of $5.8 million is sold at that price, would increase our as adjusted net tangible book value per share after the offering to $0.71 per share and would increase the dilution in net tangible book value per share to new investors to $2.50 per share, after deducting commissions and estimated aggregate offering expenses payable by us. A decrease of $1.00 per share in the price at which the shares are sold from the assumed offering price of $2.21 per share shown in the table above, assuming all of our common stock in the aggregate amount of $5.8 million is sold at that price, would cause our as adjusted net tangible book value per share after the offering to be $0.60 per share and would decrease the dilution in net tangible book value per share to new investors to $0.61 per share, after deducting commissions and estimated aggregate offering expenses payable by us. This information is supplied for illustrative purposes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240"/>
          </w:cols>
          <w:pgMar w:left="320" w:top="1332" w:right="339" w:bottom="1440" w:gutter="0" w:footer="0" w:header="0"/>
        </w:sectPr>
      </w:pPr>
    </w:p>
    <w:bookmarkStart w:id="7" w:name="page8"/>
    <w:bookmarkEnd w:id="7"/>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or warrants are exercised or outstanding restricted stock units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above discussion and table are based on 14,121,833 shares of common stock outstanding as of December 31, 2023, and exclude as of that date:</w:t>
      </w:r>
    </w:p>
    <w:p>
      <w:pPr>
        <w:spacing w:after="0" w:line="225" w:lineRule="exact"/>
        <w:rPr>
          <w:sz w:val="20"/>
          <w:szCs w:val="20"/>
          <w:color w:val="auto"/>
        </w:rPr>
      </w:pPr>
    </w:p>
    <w:p>
      <w:pPr>
        <w:ind w:left="1020" w:right="220" w:hanging="441"/>
        <w:spacing w:after="0" w:line="245"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487,250 options outstanding and exercisable at various prices per share as of December 31, 2023. These options outstanding will all expire before the end of 2033.</w:t>
      </w:r>
    </w:p>
    <w:p>
      <w:pPr>
        <w:ind w:left="1020" w:hanging="441"/>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251,566 nonvested shares of restricted stock issued under the 2007 Long-Term Incentive Plan.</w:t>
      </w:r>
    </w:p>
    <w:p>
      <w:pPr>
        <w:spacing w:after="0" w:line="22" w:lineRule="exact"/>
        <w:rPr>
          <w:rFonts w:ascii="Times New Roman" w:cs="Times New Roman" w:eastAsia="Times New Roman" w:hAnsi="Times New Roman"/>
          <w:sz w:val="18"/>
          <w:szCs w:val="18"/>
          <w:color w:val="auto"/>
        </w:rPr>
      </w:pPr>
    </w:p>
    <w:p>
      <w:pPr>
        <w:ind w:left="1020" w:hanging="441"/>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9,000 nonvested shares of restricted stock issued under the 2007 Plan and Directors’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320" w:top="116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prospectus may be deemed to be forward-looking statements. Where any forward-looking statement includes a statement of the assumptions or bases underlying the forward-looking statement, we caution that, while we believe these assumptions or bases to be reasonable and made in good faith, assumed facts or bases almost always vary from the actual results, and the differences between assumed facts or bases and actual results can be material, depending upon the circumstances. Where, in any forward-looking statement, we express an expectation or belief as to future results, such expectation or belief is expressed in good faith and is believed to have a reasonable basis. We cannot assure you, however, that the statement of expectation or belief will result or be achieved or accomplished. These statements relate to analyses and other information which are based on forecasts of future results and estimates of amounts not yet determinable. These statements also relate to our future prospects, developments and business strategies. These forward-looking statements are identified by their use of terms and phrases such as “anticipate,” “believe,” “could,” “estimate,” “expect,” “intend,” “may,” “plan,” “predict,” “project,” “will,” and similar terms and phrases,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45" w:lineRule="exact"/>
        <w:rPr>
          <w:sz w:val="20"/>
          <w:szCs w:val="20"/>
          <w:color w:val="auto"/>
        </w:rPr>
      </w:pPr>
    </w:p>
    <w:p>
      <w:pPr>
        <w:ind w:left="1300" w:hanging="320"/>
        <w:spacing w:after="0" w:line="282" w:lineRule="auto"/>
        <w:tabs>
          <w:tab w:leader="none" w:pos="12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or assumed future results of operations, including the accuracy of our estimates regarding expenses, future revenues, capital requirements and needs for additional financing;</w:t>
      </w:r>
    </w:p>
    <w:p>
      <w:pPr>
        <w:spacing w:after="0" w:line="1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inflationary pressures, rising interest rates, general economic slowdown or a recession, changes in monetary policy, volatile market conditions, financial institution instability, as well as geopolitical instability and the ongoing conflicts outside the U.S., on our operations;</w:t>
      </w:r>
    </w:p>
    <w:p>
      <w:pPr>
        <w:spacing w:after="0" w:line="27"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competitors, including the size and growth potential of the markets for our products and product candidates;</w:t>
      </w:r>
    </w:p>
    <w:p>
      <w:pPr>
        <w:spacing w:after="0" w:line="90" w:lineRule="exact"/>
        <w:rPr>
          <w:rFonts w:ascii="Times New Roman" w:cs="Times New Roman" w:eastAsia="Times New Roman" w:hAnsi="Times New Roman"/>
          <w:sz w:val="18"/>
          <w:szCs w:val="18"/>
          <w:color w:val="auto"/>
        </w:rPr>
      </w:pPr>
    </w:p>
    <w:p>
      <w:pPr>
        <w:ind w:left="1300" w:hanging="320"/>
        <w:spacing w:after="0" w:line="282" w:lineRule="auto"/>
        <w:tabs>
          <w:tab w:leader="none" w:pos="13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acquisition and development activities and clinical trials; and our ability to successfully commercialize our product candidates;</w:t>
      </w:r>
    </w:p>
    <w:p>
      <w:pPr>
        <w:spacing w:after="0" w:line="13" w:lineRule="exact"/>
        <w:rPr>
          <w:rFonts w:ascii="Times New Roman" w:cs="Times New Roman" w:eastAsia="Times New Roman" w:hAnsi="Times New Roman"/>
          <w:sz w:val="18"/>
          <w:szCs w:val="18"/>
          <w:color w:val="auto"/>
        </w:rPr>
      </w:pPr>
    </w:p>
    <w:p>
      <w:pPr>
        <w:ind w:left="1300" w:hanging="320"/>
        <w:spacing w:after="0" w:line="282" w:lineRule="auto"/>
        <w:tabs>
          <w:tab w:leader="none" w:pos="13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efficacy or safety concerns, whether or not based on scientific evidence, resulting in product withdrawals, recalls, regulatory action on the part of the FDA (or international counterparts) or declining sales;</w:t>
      </w:r>
    </w:p>
    <w:p>
      <w:pPr>
        <w:spacing w:after="0" w:line="13" w:lineRule="exact"/>
        <w:rPr>
          <w:rFonts w:ascii="Times New Roman" w:cs="Times New Roman" w:eastAsia="Times New Roman" w:hAnsi="Times New Roman"/>
          <w:sz w:val="18"/>
          <w:szCs w:val="18"/>
          <w:color w:val="auto"/>
        </w:rPr>
      </w:pPr>
    </w:p>
    <w:p>
      <w:pPr>
        <w:ind w:left="1300" w:hanging="320"/>
        <w:spacing w:after="0" w:line="282" w:lineRule="auto"/>
        <w:tabs>
          <w:tab w:leader="none" w:pos="12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26"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financial condition and results of operations from the effects of a pandemic or the outbreak of an infectious disease in the United States and worldwide and resulting governmental and societal responses;</w:t>
      </w:r>
    </w:p>
    <w:p>
      <w:pPr>
        <w:spacing w:after="0" w:line="13"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our patents and the introduction of generic versions of our products and product candidates, which could negatively impact our ability to commercialize and sell our products and product candidates and decrease sales as a result of market exclusivity;</w:t>
      </w:r>
    </w:p>
    <w:p>
      <w:pPr>
        <w:spacing w:after="0" w:line="1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8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40"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w:t>
      </w:r>
    </w:p>
    <w:p>
      <w:pPr>
        <w:spacing w:after="0" w:line="31" w:lineRule="exact"/>
        <w:rPr>
          <w:rFonts w:ascii="Times New Roman" w:cs="Times New Roman" w:eastAsia="Times New Roman" w:hAnsi="Times New Roman"/>
          <w:sz w:val="18"/>
          <w:szCs w:val="18"/>
          <w:color w:val="auto"/>
        </w:rPr>
      </w:pPr>
    </w:p>
    <w:p>
      <w:pPr>
        <w:ind w:left="1300" w:hanging="320"/>
        <w:spacing w:after="0" w:line="282" w:lineRule="auto"/>
        <w:tabs>
          <w:tab w:leader="none" w:pos="13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revised accounting standards by the Financial Accounting Standards Board and the Securities and Exchange Commission; and</w:t>
      </w:r>
    </w:p>
    <w:p>
      <w:pPr>
        <w:spacing w:after="0" w:line="1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those listed under “Risk Factors” on page S-4 and page 2 of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40"/>
          </w:cols>
          <w:pgMar w:left="320" w:top="1116"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whether as a result of new information or otherwise. If one or more of these risks or uncertainties materialize, or if underlying assumptions prove incorrect, our actual results may vary materially from those expected, estimated or projected.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20, 2024 we entered into the sales agreement with the Agent under which we may issue and sell our common stock from time to time through or to the Agent acting as sales agent or principal. Sales of shares of our common stock, if any, under this prospectus may be made by any method that is deemed an “at the market offering” as defined in Rule 415 promulgated under the Securities Act. We may instruct the Agent not to sell common stock if the sales cannot be effected at or above the price designated by us from time to time. We or the Agent may suspend the offering of common stock upon notice and subject to other conditions. Under this prospectus supplement and the accompanying prospectus, and in accordance with the terms of the Sales Agreement, we may offer and sell up to $5,800,000 of shares of our common stock from and after the date hereof.</w:t>
      </w:r>
    </w:p>
    <w:p>
      <w:pPr>
        <w:spacing w:after="0" w:line="1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Agent will offer our common stock subject to the terms and conditions of the sales agreement as agreed upon by us and the Agent. Each time we wish to issue and sell common stock under the sales agreement, we will notify the Agent of the number or dollar value of shares to be issued, the time period during which such sales are requested to be made, any limitation on the number of shares that may be sold in one day, any minimum price below which sales may not be made and other sales parameters as we deem appropriate. Once we have so instructed the Agent, unless the Agent declines to accept the terms of the notice, the Agent has agreed to use its commercially reasonable efforts consistent with its normal trading and sales practices to sell such shares up to the amount specified on such terms. The obligations of the Agent under the sales agreement to sell our common stock are subject to a number of conditions that we must meet.</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pay the Agent commissions for its services in acting as agent in the sale of common stock at a commission rate equal to 3.0% of the gross sales price per share sold. Because there is no minimum offering amount required as a condition to close this offering, the actual total public offering amount, commissions and proceeds to us, if any, are not determinable at this time. In addition, we have also agreed to reimburse the Agent for certain specified expenses, including the fees and disbursements of its legal counsel, paid incident to the performance of its obligations under the sales agreement, in an amount not to exceed $45,000 for reasonable out-of-pocket fees and disbursements of the Agent’s counsel in connection with the execution of the sales agreement and $2,500 in the aggregate per calendar quarter in connection with ongoing diligence arising from the transactions contemplated by the sales agreement. We estimate that the total expenses for the offering, excluding commissions and reimbursements payable to the Agent under the terms of the sales agreement, will be approximately $45,000. The remaining sale proceeds, after deducting any other transaction fees, will equal our net proceeds from the sale of such shares.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Settlement for sales of common stock will generally occur on the second business day following the date on which any sales are made, or on some other date that is agreed upon by us and the Agent in connection with a particular transaction, in return for payment of the net proceeds to us. Shares of our common stock as contemplated in this prospectus supplement will be settled through the facilities of Depository Trust Company or by such means as we and the Agent may agree upon. There is no arrangement for funds to be received in an escrow, trust or similar arrangement.</w:t>
      </w:r>
    </w:p>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common stock on our behalf, the Agent will be an “underwriter” within the meaning of the Securities Act and the compensation of the Agent will be deemed to be underwriting commissions or discounts. We have agreed to provide indemnification and contribution to the Agent against certain civil liabilities, including liabilities under the Securities Act.</w:t>
      </w:r>
    </w:p>
    <w:p>
      <w:pPr>
        <w:spacing w:after="0" w:line="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offering of our common stock pursuant to the sales agreement will terminate upon the earlier of (i) the sale of all of our common stock subject to the sales agreement or (ii) termination of the sales agreement as provided therein.</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Agent and its affiliates may in the future provide various investment banking and other financial services for us and our affiliates, for which services they may in the future receive customary fees.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summary of the material provisions of the sales agreement does not purport to be a complete statement of its terms and conditions.</w:t>
      </w:r>
    </w:p>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prospectus and the accompanying base prospectus in electronic format may be made available on a website maintained by the Agent, and the Agent may distribute the prospectus and the accompanying base prospectus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05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Baker, Donelson, Bearman, Caldwell &amp; Berkowitz, PC will pass upon certain legal matters relating to the issuance and sale of the securities offered hereby on behalf of Cumberland Pharmaceuticals Inc. The Agent is being represented in connection with this offering by Duane Morris LLP.</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schedule of Cumberland Pharmaceuticals Inc. as of December 31, 2023 and 2022, and for each of the two years in the period ended December 31, 2023, incorporated by reference in this prospectus supplement have been so incorporated in reliance on the reports of Carr, Riggs &amp; Ingram, LLC and FORVIS, LLP (formerly BKD, LLP), independent registered public accounting firms, incorporated herein by reference, given on the authority of said firms as experts in auditing and accounting.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file reports, proxy statements and other information with the SEC. Our SEC filings are available at </w:t>
      </w:r>
      <w:r>
        <w:rPr>
          <w:rFonts w:ascii="Times New Roman" w:cs="Times New Roman" w:eastAsia="Times New Roman" w:hAnsi="Times New Roman"/>
          <w:sz w:val="18"/>
          <w:szCs w:val="18"/>
          <w:u w:val="single" w:color="auto"/>
          <w:color w:val="0563C1"/>
        </w:rPr>
        <w:t>http://www.sec.gov</w:t>
      </w:r>
      <w:r>
        <w:rPr>
          <w:rFonts w:ascii="Times New Roman" w:cs="Times New Roman" w:eastAsia="Times New Roman" w:hAnsi="Times New Roman"/>
          <w:sz w:val="18"/>
          <w:szCs w:val="18"/>
          <w:color w:val="auto"/>
        </w:rPr>
        <w:t>. Copies of certain information filed by us with the SEC are also available on the Investor Relations tab of our website at www.cumberlandpharma.com. The information on our web site, however, is not, and should not be deemed to be, a part of this prospectus and is not incorporated by reference into this prospectus.</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on Form S-3 that we filed with the SEC under the Securities Act and do not contain all of the information in the registration statement and the exhibits and schedules to the registration statement. The full registration statement has been filed electronically and may be obtained from the SEC or us, as provided above. For further information concerning us and the securities, you should read the entire registration statement and the additional information described under “Incorporation by Reference” below. Any statements contained herein concerning the provisions of any document are not necessarily complete, and, in each instance, reference is made to the copy of such document filed as an exhibit to the registration statement or otherwise filed with the SEC. Each such statement is qualified in its entirety by such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This means that you must read all of the SEC filings that we incorporate by reference to determine if any of the statements in this prospectus or in any document previously incorporated by reference have been modified or superseded.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incorporate by reference our documents listed below and any future filings made by us with the SEC under Sections 13(a), 13(c), 14 or 15(d) of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our Compensation Committee report and performance graph or any information furnished pursuant to Items 2.02 or 7.01 of Form 8-K or related exhibits furnished pursuant to Item 9.01 of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40"/>
          </w:cols>
          <w:pgMar w:left="320" w:top="1116" w:right="339" w:bottom="1440" w:gutter="0" w:footer="0" w:header="0"/>
        </w:sectPr>
      </w:pPr>
    </w:p>
    <w:bookmarkStart w:id="11" w:name="page12"/>
    <w:bookmarkEnd w:id="11"/>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94" w:lineRule="exact"/>
        <w:rPr>
          <w:sz w:val="20"/>
          <w:szCs w:val="20"/>
          <w:color w:val="auto"/>
        </w:rPr>
      </w:pPr>
    </w:p>
    <w:p>
      <w:pPr>
        <w:ind w:left="880" w:hanging="224"/>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on </w:t>
      </w:r>
      <w:hyperlink r:id="rId10">
        <w:r>
          <w:rPr>
            <w:rFonts w:ascii="Times New Roman" w:cs="Times New Roman" w:eastAsia="Times New Roman" w:hAnsi="Times New Roman"/>
            <w:sz w:val="18"/>
            <w:szCs w:val="18"/>
            <w:u w:val="single" w:color="auto"/>
            <w:color w:val="0000FF"/>
          </w:rPr>
          <w:t>March 13, 2024;</w:t>
        </w:r>
      </w:hyperlink>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2023, from our Definitive Proxy Statement on Schedule 14A, filed on </w:t>
      </w:r>
      <w:hyperlink r:id="rId11">
        <w:r>
          <w:rPr>
            <w:rFonts w:ascii="Times New Roman" w:cs="Times New Roman" w:eastAsia="Times New Roman" w:hAnsi="Times New Roman"/>
            <w:sz w:val="18"/>
            <w:szCs w:val="18"/>
            <w:u w:val="single" w:color="auto"/>
            <w:color w:val="0000FF"/>
          </w:rPr>
          <w:t>March 13, 2024</w:t>
        </w:r>
      </w:hyperlink>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its registration statement on </w:t>
      </w:r>
      <w:hyperlink r:id="rId12">
        <w:r>
          <w:rPr>
            <w:rFonts w:ascii="Times New Roman" w:cs="Times New Roman" w:eastAsia="Times New Roman" w:hAnsi="Times New Roman"/>
            <w:sz w:val="18"/>
            <w:szCs w:val="18"/>
            <w:u w:val="single" w:color="auto"/>
            <w:color w:val="0563C1"/>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1, 2007, as amended on Form 8-A/A filed on </w:t>
      </w:r>
      <w:hyperlink r:id="rId13">
        <w:r>
          <w:rPr>
            <w:rFonts w:ascii="Times New Roman" w:cs="Times New Roman" w:eastAsia="Times New Roman" w:hAnsi="Times New Roman"/>
            <w:sz w:val="18"/>
            <w:szCs w:val="18"/>
            <w:u w:val="single" w:color="auto"/>
            <w:color w:val="0563C1"/>
          </w:rPr>
          <w:t>August 2, 2007</w:t>
        </w:r>
      </w:hyperlink>
      <w:r>
        <w:rPr>
          <w:rFonts w:ascii="Times New Roman" w:cs="Times New Roman" w:eastAsia="Times New Roman" w:hAnsi="Times New Roman"/>
          <w:sz w:val="18"/>
          <w:szCs w:val="18"/>
          <w:color w:val="auto"/>
        </w:rPr>
        <w:t>, and any amendment or report subsequently filed for the purpose of updating such description.</w:t>
      </w:r>
    </w:p>
    <w:p>
      <w:pPr>
        <w:spacing w:after="0" w:line="94"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99" w:lineRule="exact"/>
        <w:rPr>
          <w:rFonts w:ascii="Times New Roman" w:cs="Times New Roman" w:eastAsia="Times New Roman" w:hAnsi="Times New Roman"/>
          <w:sz w:val="18"/>
          <w:szCs w:val="18"/>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(other than exhibits, unless they are specifically incorporated by reference in the documents) by writing or telephoning us. Requests for copies should be directed to Cumberland Pharmaceuticals Inc., ATTN: Investor Relations, 1600 West End Avenue, Suite 1300, Nashville, Tennessee 37203, telephone (615) 255-0068. Exhibits to the filings will not be sent, however, unless those exhibits have specifically been incorporated by reference in this prospectus and any accompanying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120" w:right="339" w:bottom="1440" w:gutter="0" w:footer="0" w:header="0"/>
        </w:sectPr>
      </w:pPr>
    </w:p>
    <w:bookmarkStart w:id="12" w:name="page13"/>
    <w:bookmarkEnd w:id="1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$100,000,000</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3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and sell, from time to time in one or more offerings, up to $100,000,000 in the aggregate of common stock, preferred stock, or warrants to purchase our common stock or preferred stock, debt securities and/or units consisting of two or more of those classes or series of securities and securities that may be convertible or exchangeable to other securities covered hereby, at prices and on terms that we will determine at the time of the offering. Preferred stock and debt securities may be convertible into preferred stock, common stock, or debt securities. We refer to our common stock, preferred stock, debt securities, warrants, and units hereunder collectively as the “securities.”</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Each time we sell securities, to the extent required by applicable law, we will provide a supplement to this prospectus that contains specific information about the offering and the terms of the securities being offered. The supplement may also add, update or change information contained in this prospectus. </w:t>
      </w:r>
      <w:r>
        <w:rPr>
          <w:rFonts w:ascii="Times New Roman" w:cs="Times New Roman" w:eastAsia="Times New Roman" w:hAnsi="Times New Roman"/>
          <w:sz w:val="18"/>
          <w:szCs w:val="18"/>
          <w:b w:val="1"/>
          <w:bCs w:val="1"/>
          <w:color w:val="auto"/>
        </w:rPr>
        <w:t>You should carefully read this prospectus, all prospectus supplements and all other documents incorporated by reference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 before you invest in our securities.</w:t>
      </w:r>
    </w:p>
    <w:p>
      <w:pPr>
        <w:spacing w:after="0" w:line="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will offer the securities in amounts, at prices and on terms to be determined by market conditions at the time of the offerings. The securities may be offered separately or together in any combination.</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offer the securities directly or through underwriters, agents or dealers. The supplements to this prospectus will designate the terms of our plan of distribution. See the discussion under the heading “Plan of Distribution” for more information on the topic.</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offices are located at 1600 West End Avenue, Suite 1300, Nashville, Tennessee 37203, and our telephone number is (615) 255-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0068.</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“CPIX.” On December 13, 2023, the closing price for our common stock, as reported by Nasdaq, was $1.72 per share.</w:t>
      </w:r>
    </w:p>
    <w:p>
      <w:pPr>
        <w:spacing w:after="0" w:line="9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15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 Please see “Risk Factors” beginning on page 2 for a discussion of certain risks that you should consider before investing in our securities.</w:t>
      </w:r>
    </w:p>
    <w:p>
      <w:pPr>
        <w:spacing w:after="0" w:line="7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9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securities unless accompanied by a prospectus supplement.</w:t>
      </w:r>
    </w:p>
    <w:p>
      <w:pPr>
        <w:spacing w:after="0" w:line="18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3" w:name="page14"/>
    <w:bookmarkEnd w:id="1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using a “shelf” registration process. Using this process, we may sell any combination of the securities described in this prospectus in one or more offerings up to a total dollar amount of $100,000,000.</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time we use this prospectus to offer securities, we will provide a prospectus supplement that will describe the specific terms of the offering.</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may also add to or update other information contained in this prospectus.</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making your investment decision, you should rely only on the information contained or incorporated by reference in this prospectus and any prospectus supplement we may authorize to be delivered to you. This prospectus incorporates important business and financial information about us that is not included in or delivered with this prospectus. You may obtain a copy of this information, without charge, as described in the “Where You Can Find More Information” section on page 22. We have not authorized anyone to provide you with any other information. If you receive any other information, you should not rely on it.</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appearing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reserves and prospects may have changed since that date.</w:t>
      </w:r>
    </w:p>
    <w:p>
      <w:pPr>
        <w:spacing w:after="0" w:line="9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encourage you to read this entire prospectus together with the documents incorporated by reference into this prospectus before making a decision whether to invest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5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certain degree of risk. You should carefully consider the factors contained in our Annual Report on Form 10-K for the fiscal year ended December 31, 2022 under the heading “Risk Factors” and updated, if applicable, in our Quarterly Reports on Form 10-Q before investing in our securities. You should also consider similar information contained in any Annual Report on Form 10-K, Quarterly Report on Form 10-Q or other document filed by us with the Securities and Exchange Commission (the “SEC”) after the date of this prospectus before deciding to invest in our securities. If any of these risks were to occur, our business, financial condition or results of operations could be adversely affected. In that case, the trading price of our common stock or other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5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prospectus may be deemed to be forward-looking statements. Where any forward-looking statement includes a statement of the assumptions or bases underlying the forward-looking statement, we caution that, while we believe these assumptions or bases to be reasonable and made in good faith, assumed facts or bases almost always vary from the actual results, and the differences between assumed facts or bases and actual results can be material, depending upon the circumstances. Where, in any forward-looking statement, we express an expectation or belief as to future results, such expectation or belief is expressed in good faith and is believed to have a reasonable basis. We cannot assure you, however, that the statement of expectation or belief will result or be achieved or accomplished. These statements relate to analyses and other information which are based on forecasts of future results and estimates of amounts not yet determinable. These statements also relate to our future prospects, developments and business strategies. These forward-looking statements are identified by their use of terms and phrases such as “anticipate,” “believe,” “could,” “estimate,” “expect,” “intend,” “may,” “plan,” “predict,” “project,” “will,” and similar terms and phrases,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w:t>
      </w:r>
    </w:p>
    <w:p>
      <w:pPr>
        <w:spacing w:after="0" w:line="11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112" w:lineRule="exact"/>
        <w:rPr>
          <w:sz w:val="20"/>
          <w:szCs w:val="20"/>
          <w:color w:val="auto"/>
        </w:rPr>
      </w:pPr>
    </w:p>
    <w:p>
      <w:pPr>
        <w:ind w:left="1140" w:hanging="646"/>
        <w:spacing w:after="0" w:line="286" w:lineRule="auto"/>
        <w:tabs>
          <w:tab w:leader="none" w:pos="88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possible or assumed future results of operations, including the accuracy of our estimates regarding expenses, future revenues, capital requirements and needs for additional financing;</w:t>
      </w:r>
    </w:p>
    <w:p>
      <w:pPr>
        <w:spacing w:after="0" w:line="73" w:lineRule="exact"/>
        <w:rPr>
          <w:rFonts w:ascii="Arial" w:cs="Arial" w:eastAsia="Arial" w:hAnsi="Arial"/>
          <w:sz w:val="20"/>
          <w:szCs w:val="20"/>
          <w:color w:val="auto"/>
        </w:rPr>
      </w:pPr>
    </w:p>
    <w:p>
      <w:pPr>
        <w:ind w:left="740" w:hanging="246"/>
        <w:spacing w:after="0"/>
        <w:tabs>
          <w:tab w:leader="none" w:pos="7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national or regional economic conditions, including changes in interest rates and the availability and the cost of capital to us;</w:t>
      </w:r>
    </w:p>
    <w:p>
      <w:pPr>
        <w:spacing w:after="0" w:line="148" w:lineRule="exact"/>
        <w:rPr>
          <w:rFonts w:ascii="Arial" w:cs="Arial" w:eastAsia="Arial" w:hAnsi="Arial"/>
          <w:sz w:val="20"/>
          <w:szCs w:val="20"/>
          <w:color w:val="auto"/>
        </w:rPr>
      </w:pPr>
    </w:p>
    <w:p>
      <w:pPr>
        <w:ind w:left="740" w:hanging="246"/>
        <w:spacing w:after="0"/>
        <w:tabs>
          <w:tab w:leader="none" w:pos="7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Our competitive position and competitors, including the size and growth potential of the markets for our products and product candidates;</w:t>
      </w:r>
    </w:p>
    <w:p>
      <w:pPr>
        <w:spacing w:after="0" w:line="161" w:lineRule="exact"/>
        <w:rPr>
          <w:rFonts w:ascii="Arial" w:cs="Arial" w:eastAsia="Arial" w:hAnsi="Arial"/>
          <w:sz w:val="20"/>
          <w:szCs w:val="20"/>
          <w:color w:val="auto"/>
        </w:rPr>
      </w:pPr>
    </w:p>
    <w:p>
      <w:pPr>
        <w:ind w:left="1140" w:hanging="646"/>
        <w:spacing w:after="0" w:line="271" w:lineRule="auto"/>
        <w:tabs>
          <w:tab w:leader="none" w:pos="9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success, cost and timing of our product acquisition and development activities and clinical trials; and our ability to successfully commercialize our product candidates;</w:t>
      </w:r>
    </w:p>
    <w:p>
      <w:pPr>
        <w:spacing w:after="0" w:line="100" w:lineRule="exact"/>
        <w:rPr>
          <w:rFonts w:ascii="Arial" w:cs="Arial" w:eastAsia="Arial" w:hAnsi="Arial"/>
          <w:sz w:val="20"/>
          <w:szCs w:val="20"/>
          <w:color w:val="auto"/>
        </w:rPr>
      </w:pPr>
    </w:p>
    <w:p>
      <w:pPr>
        <w:ind w:left="1140" w:right="20" w:hanging="646"/>
        <w:spacing w:after="0" w:line="286" w:lineRule="auto"/>
        <w:tabs>
          <w:tab w:leader="none" w:pos="786"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Product efficacy or safety concerns, whether or not based on scientific evidence, resulting in product withdrawals, recalls, regulatory action on the part of the FDA (or international counterparts) or declining sales;</w:t>
      </w:r>
    </w:p>
    <w:p>
      <w:pPr>
        <w:spacing w:after="0" w:line="73" w:lineRule="exact"/>
        <w:rPr>
          <w:rFonts w:ascii="Arial" w:cs="Arial" w:eastAsia="Arial" w:hAnsi="Arial"/>
          <w:sz w:val="20"/>
          <w:szCs w:val="20"/>
          <w:color w:val="auto"/>
        </w:rPr>
      </w:pPr>
    </w:p>
    <w:p>
      <w:pPr>
        <w:ind w:left="1140" w:hanging="646"/>
        <w:spacing w:after="0" w:line="286" w:lineRule="auto"/>
        <w:tabs>
          <w:tab w:leader="none" w:pos="759"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performance of our third-party suppliers and manufacturers which impacts our supply chain and could create business shutdowns or product shortages; and the retention of key scientific and management personnel;</w:t>
      </w:r>
    </w:p>
    <w:p>
      <w:pPr>
        <w:spacing w:after="0" w:line="73" w:lineRule="exact"/>
        <w:rPr>
          <w:rFonts w:ascii="Arial" w:cs="Arial" w:eastAsia="Arial" w:hAnsi="Arial"/>
          <w:sz w:val="20"/>
          <w:szCs w:val="20"/>
          <w:color w:val="auto"/>
        </w:rPr>
      </w:pPr>
    </w:p>
    <w:p>
      <w:pPr>
        <w:ind w:left="1140" w:hanging="646"/>
        <w:spacing w:after="0" w:line="286" w:lineRule="auto"/>
        <w:tabs>
          <w:tab w:leader="none" w:pos="799"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Challenges to our patents and the introduction of generic versions of our products and product candidates, which could negatively impact our ability to commercialize and sell our products and product candidates and decrease sales a result of a market exclusivity;</w:t>
      </w:r>
    </w:p>
    <w:p>
      <w:pPr>
        <w:spacing w:after="0" w:line="86" w:lineRule="exact"/>
        <w:rPr>
          <w:rFonts w:ascii="Arial" w:cs="Arial" w:eastAsia="Arial" w:hAnsi="Arial"/>
          <w:sz w:val="20"/>
          <w:szCs w:val="20"/>
          <w:color w:val="auto"/>
        </w:rPr>
      </w:pPr>
    </w:p>
    <w:p>
      <w:pPr>
        <w:ind w:left="1140" w:hanging="646"/>
        <w:spacing w:after="0" w:line="259" w:lineRule="auto"/>
        <w:tabs>
          <w:tab w:leader="none" w:pos="759"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reimbursement available to us, including changes in Medicare and Medicaid payment levels and availability of third-party insurance coverage and the effects of future legislation or regulations, including changes to regulatory approval of new products, licensing and patent rights, environmental protection and possible drug re-importation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16" w:right="339" w:bottom="1440" w:gutter="0" w:footer="0" w:header="0"/>
        </w:sectPr>
      </w:pPr>
    </w:p>
    <w:bookmarkStart w:id="16" w:name="page17"/>
    <w:bookmarkEnd w:id="16"/>
    <w:p>
      <w:pPr>
        <w:spacing w:after="0" w:line="72" w:lineRule="exact"/>
        <w:rPr>
          <w:sz w:val="20"/>
          <w:szCs w:val="20"/>
          <w:color w:val="auto"/>
        </w:rPr>
      </w:pPr>
    </w:p>
    <w:p>
      <w:pPr>
        <w:ind w:left="1140" w:hanging="646"/>
        <w:spacing w:after="0" w:line="256" w:lineRule="auto"/>
        <w:tabs>
          <w:tab w:leader="none" w:pos="813"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auto"/>
        </w:rPr>
        <w:t>Interruptions and breaches of our computer and communications systems, and those of our vendors, including computer viruses, hacking and cyber-attacks, that could impair our ability to conduct business and communicate internally and with our customers, or result in the theft of trade secrets or other misappropriation of assets, or otherwise compromise privacy of sensitive information belonging to us, our customers or other business partners;</w:t>
      </w:r>
    </w:p>
    <w:p>
      <w:pPr>
        <w:spacing w:after="0" w:line="118" w:lineRule="exact"/>
        <w:rPr>
          <w:rFonts w:ascii="Arial" w:cs="Arial" w:eastAsia="Arial" w:hAnsi="Arial"/>
          <w:sz w:val="20"/>
          <w:szCs w:val="20"/>
          <w:color w:val="auto"/>
        </w:rPr>
      </w:pPr>
    </w:p>
    <w:p>
      <w:pPr>
        <w:ind w:left="1140" w:right="20" w:hanging="646"/>
        <w:spacing w:after="0" w:line="286" w:lineRule="auto"/>
        <w:tabs>
          <w:tab w:leader="none" w:pos="799"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auto"/>
        </w:rPr>
        <w:t>Global events including the rising rate of inflation, volatility in financial markets, and the ongoing conflicts in Eastern Europe and the Middle East; and</w:t>
      </w:r>
    </w:p>
    <w:p>
      <w:pPr>
        <w:spacing w:after="0" w:line="73" w:lineRule="exact"/>
        <w:rPr>
          <w:rFonts w:ascii="Arial" w:cs="Arial" w:eastAsia="Arial" w:hAnsi="Arial"/>
          <w:sz w:val="20"/>
          <w:szCs w:val="20"/>
          <w:color w:val="auto"/>
        </w:rPr>
      </w:pPr>
    </w:p>
    <w:p>
      <w:pPr>
        <w:ind w:left="740" w:hanging="246"/>
        <w:spacing w:after="0"/>
        <w:tabs>
          <w:tab w:leader="none" w:pos="7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18"/>
          <w:szCs w:val="18"/>
          <w:color w:val="auto"/>
        </w:rPr>
        <w:t>Issuance of new or revised accounting standards by the Financial Accounting Standards Board and the SEC.</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undertake no obligation to publicly update or revise any forward-looking statements, whether as a result of new information or otherwise. If one or more of these risks or uncertainties materialize, or if underlying assumptions prove incorrect, our actual results may vary materially from those expected, estimated or projected.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17" w:name="page18"/>
    <w:bookmarkEnd w:id="17"/>
    <w:p>
      <w:pPr>
        <w:ind w:left="49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this prospectus, “Cumberland,” “we,” “our,” and “us” refer to Cumberland Pharmaceuticals Inc., a Tennessee corporation.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Cumberland is a Tennessee corporation. Our principal executive offices are located at 1600 West End Avenue, Suite 1300, Nashville, Tennessee 37203. Our telephone number is (615) 255-0068. We maintain a website at </w:t>
      </w:r>
      <w:r>
        <w:rPr>
          <w:rFonts w:ascii="Times New Roman" w:cs="Times New Roman" w:eastAsia="Times New Roman" w:hAnsi="Times New Roman"/>
          <w:sz w:val="18"/>
          <w:szCs w:val="18"/>
          <w:i w:val="1"/>
          <w:iCs w:val="1"/>
          <w:u w:val="single" w:color="auto"/>
          <w:color w:val="0000FF"/>
        </w:rPr>
        <w:t>www.cumberlandpharma.com</w:t>
      </w:r>
      <w:r>
        <w:rPr>
          <w:rFonts w:ascii="Times New Roman" w:cs="Times New Roman" w:eastAsia="Times New Roman" w:hAnsi="Times New Roman"/>
          <w:sz w:val="18"/>
          <w:szCs w:val="18"/>
          <w:color w:val="auto"/>
        </w:rPr>
        <w:t>, which contains information about us. Our website and the information contained on it and connected to it will not be deemed incorporated by reference into this prospectus. We were incorporated in 1999 and have been headquartered in Nashville, Tennessee since inception. During 2009, we completed an initial public offering of our common stock, which is listed on Nasdaq Global Market under the symbol “CPIX.”</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is a specialty pharmaceutical company focused on the acquisition, development and commercialization of branded prescription products. Our primary target markets are hospital acute care, gastroenterology and rheumatology. These medical specialties are characterized by relatively concentrated prescriber bases that we believe can be penetrated effectively by small, targeted sales forces. Cumberland is dedicated to providing innovative products that improve quality of care for patients and address poorly met medical needs. We promote our approved products through our hospital and field sales forces in the United States and are establishing a network of international partners to register and provide our medicines to patients in their countries.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portfolio of FDA approved brands includes:</w:t>
      </w:r>
    </w:p>
    <w:p>
      <w:pPr>
        <w:spacing w:after="0" w:line="142" w:lineRule="exact"/>
        <w:rPr>
          <w:sz w:val="20"/>
          <w:szCs w:val="20"/>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Acetadote® (</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159"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Caldolor® (ibuprofen) Injection for the treatment of pain and fever;</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Kristalose® (lactulose) for Oral Solution, a prescription laxative, for the treatment of chronic and acute constipation;</w:t>
      </w:r>
    </w:p>
    <w:p>
      <w:pPr>
        <w:spacing w:after="0" w:line="14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02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Omeclamox®-Pak, (omeprazole, clarithromycin, amoxicillin) for the treatment of Helicobacter pylori (H. pylori) infection and related duodenal ulcer disease;</w:t>
      </w:r>
    </w:p>
    <w:p>
      <w:pPr>
        <w:spacing w:after="0" w:line="9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Sancuso® (granisetron) transdermal, for the prevention of nausea and vomiting in patients receiving certain types of chemotherapy treatment;</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Vaprisol® (conivaptan) Injection, to raise serum sodium levels in hospitalized patients with euvolemic and hypervolemic hyponatremia; and</w:t>
      </w:r>
    </w:p>
    <w:p>
      <w:pPr>
        <w:spacing w:after="0" w:line="14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3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Vibativ® (telavancin) Injection, for the treatment of certain serious bacterial infections including hospital-acquired and ventilator-associated bacterial pneumonia, as well as complicated skin and skin structure infections; and</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these commercial brands, we have Phase II clinical programs underway evaluating our ifetroban product candidates for patients with cardiomyopathy associated with (1) Duchenne Muscular Dystrophy (“DMD”), a fatal, genetic neuromuscular disease and (2) Systemic Sclerosis (“SSc”) or scleroderma, a debilitating autoimmune disorder characterized by fibrosis of the skin and internal organs.</w:t>
      </w:r>
    </w:p>
    <w:p>
      <w:pPr>
        <w:spacing w:after="0" w:line="10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Cumberland has built core competencies in the acquisition, development and commercialization of pharmaceutical products in the United States – and we believe we can leverage this existing infrastructure to support our continued growth both domestically and internationally. Our management team consists of pharmaceutical industry veterans with experience in business development, product development, regulatory, manufacturing, sales, marketing and finance. Our business development team identifies, evaluates, and negotiates product acquisition, licensing and co-promotion agreements. Our product development team creates proprietary formulations, manages our clinical studies, prepares our FDA submissions and staffs our medical call center. Our quality and manufacturing professionals oversee the manufacturing, release and shipment of our products. Our marketing and sales organization is responsible for our commercial activities, and we work closely with our distribution partners to ensure the availability and delivery of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16"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success of our existing brands while continuing to build a portfolio of differentiated products. We currently feature seven products approved by the FDA in the United States. We are also continuing to establish international partnerships to bring our medicines to patients in other countries. Additionally, we look for opportunities to expand our products into additional patient populations through clinical trials, new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largely to address poorly met medical needs.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could further develop and commercialize.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2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this prospectus, we expect to use the net proceeds from the sale of our securities for general corporate purposes, which may include, among other things, the financing of capital expenditures, acquisitions and additions to our working capital. The actual application of proceeds from the sale of any particular tranche of securities issued hereunder will be described in the applicable prospectus supplement relating to such tranche of securities.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authorized capital consists of 120,000,000 shares of stock at no par value. Of the authorized capital, 100,000,000 shares are authorized to be issued as common stock and 20,000,000 shares are authorized to be issued as preferred stock. Our issued and outstanding shares of common stock as of December 13, 2023 consisted of 14,904,786 shares which were held by 179 shareholders of record, which excludes shareholders whose shares are held in nominee or street name by brokers. To date, there are no issued and outstanding shares of preferred stock.</w:t>
      </w:r>
    </w:p>
    <w:p>
      <w:pPr>
        <w:spacing w:after="0" w:line="1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summarizes general terms and provisions that apply to our capital stock. Since this is only a summary, it does not contain all of the information that may be important to you. The summary is subject to and qualified in its entirety by reference to our Fourth Amended and Restated Charter and our Second Amended and Restated Bylaws, which are incorporated by reference into this prospectus. See “Where You Can Find More Information.”</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all matters submitted to a vote of shareholders, holders of common stock are entitled to one vote for each share registered in his or her name on our books, and they do not have cumulative voting rights. Each share of the common stock is entitled to share equally with each other share of common stock in dividends from sources legally available therefore, when, as, and if declared by the board of directors and, upon our liquidation or dissolution, whether voluntary or involuntary, to share equally in the assets that are available for distribution to the holders of the common stock. We have not paid any cash dividends since our inception. Holders of our common stock have no preemptive, subscription, redemption or conversion rights. The board of directors is authorized to issue additional shares of common stock within the limits authorized by our Fourth Amended and Restated Charter and without shareholder action.</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preferred stock may be issued from time to time in one or more classes or series, each such class or series to be so designated as to distinguish the shares thereof from the shares of all other series and classes. The board of directors is authorized to divide preferred stock into classes or series and to fix and determine the relative rights, preferences, qualifications and limitations of the shares of any class or series so established. The number of shares of Preferred Stock the Company may offer is up to 20,000,000 and those shares can be one or more classes or series.</w:t>
      </w:r>
    </w:p>
    <w:p>
      <w:pPr>
        <w:spacing w:after="0" w:line="11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designated 3 million shares of Preferred Stock as Series A (“Series A”), but none of which is issued and outstanding. A summary of the terms of the Series A is set forth below:</w:t>
      </w:r>
    </w:p>
    <w:p>
      <w:pPr>
        <w:spacing w:after="0" w:line="94" w:lineRule="exact"/>
        <w:rPr>
          <w:sz w:val="20"/>
          <w:szCs w:val="20"/>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Currently there are 3 million shares of Series A designated,</w:t>
      </w:r>
    </w:p>
    <w:p>
      <w:pPr>
        <w:spacing w:after="0" w:line="14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a liquidation value of $3.25,</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 rate on parity with the common stock,</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voting rights equal to one vote per share,</w:t>
      </w:r>
    </w:p>
    <w:p>
      <w:pPr>
        <w:spacing w:after="0" w:line="14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redeemable or subject to a sinking fund;</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price at which the preferred stock will be issued will be set by the Company;</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rights, preferences, qualifications, limitations and restrictions on the remaining shares of Preferred Stock shall be set by the Company prior to issuance and those terms of any new series or classes of preferred stock will be filed with the SEC. The Company will determine whether the preferred stock is convertible or exchangeable for any other securities, and the terms of any such conversion. All other rights, preferences, qualifications, limitations and restrictions of the preferred stock shall be established by the Company before issuance and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16" w:right="339" w:bottom="1440" w:gutter="0" w:footer="0" w:header="0"/>
        </w:sectPr>
      </w:pPr>
    </w:p>
    <w:bookmarkStart w:id="20" w:name="page21"/>
    <w:bookmarkEnd w:id="2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offer to sell preferred stock, our board of directors is authorized to designate and issue shares of preferred stock in one or more series without shareholder approval. Our board of directors would have discretion to determine the rights, preferences, privileges and restrictions, including voting rights, dividend rights, conversion rights, redemption privileges and liquidation preferences, of each series of preferred stock.</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conditions and provisions of the Series A Preferred Stock are described in Exhibit 4.2.</w:t>
      </w:r>
    </w:p>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not possible to state the actual effect of the issuance of any shares of preferred stock upon the rights of holders of our common stock until the board of directors determines the specific rights of the holders of the preferred stock. However, these effects might include:</w:t>
      </w:r>
    </w:p>
    <w:p>
      <w:pPr>
        <w:spacing w:after="0" w:line="94" w:lineRule="exact"/>
        <w:rPr>
          <w:sz w:val="20"/>
          <w:szCs w:val="20"/>
          <w:color w:val="auto"/>
        </w:rPr>
      </w:pPr>
    </w:p>
    <w:p>
      <w:pPr>
        <w:ind w:left="880" w:hanging="224"/>
        <w:spacing w:after="0"/>
        <w:tabs>
          <w:tab w:leader="none" w:pos="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restricting dividends on the common stock;</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diluting the voting power of the common stock;</w:t>
      </w:r>
    </w:p>
    <w:p>
      <w:pPr>
        <w:spacing w:after="0" w:line="14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impairing the liquidation rights of the common stock; and</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delaying or preventing a change in control of our 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or Registrar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and registrar of our common stock.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jc w:val="both"/>
        <w:ind w:firstLine="226"/>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Global Market under the symbol “CPIX.” On December 13, 2023, the closing price for our common stock, as reported on Nasdaq, was $1.72 per share.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issue warrants for the purchase of common stock or preferred stock. Warrants may be issued independently or together with common stock or preferred stock offered by any prospectus supplement and may be attached to or separate from any such offered securities. Series of warrants may be issued under a separate warrant agreement entered into between us and a bank or trust company, as warrant agent, all as will be set forth in the prospectus supplement relating to the particular issue of warrants. The warrant agent would act solely as our agent in connection with the warrants and would not assume any obligation or relationship of agency or trust for or with any holders of warrants or beneficial owners of warrants</w:t>
      </w:r>
      <w:r>
        <w:rPr>
          <w:rFonts w:ascii="Calibri" w:cs="Calibri" w:eastAsia="Calibri" w:hAnsi="Calibri"/>
          <w:sz w:val="19"/>
          <w:szCs w:val="19"/>
          <w:color w:val="auto"/>
        </w:rPr>
        <w:t>.</w:t>
      </w:r>
    </w:p>
    <w:p>
      <w:pPr>
        <w:spacing w:after="0" w:line="13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provisions of the warrants does not purport to be complete and is subject to, and is qualified in its entirety by reference to, all provisions of the warrant agreements.</w:t>
      </w:r>
    </w:p>
    <w:p>
      <w:pPr>
        <w:spacing w:after="0" w:line="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relating to the particular issue of warrants offered pursuant to such prospectus supplement for the terms of and information relating to such warrants, including, where applicable:</w:t>
      </w:r>
    </w:p>
    <w:p>
      <w:pPr>
        <w:spacing w:after="0" w:line="94" w:lineRule="exact"/>
        <w:rPr>
          <w:sz w:val="20"/>
          <w:szCs w:val="20"/>
          <w:color w:val="auto"/>
        </w:rPr>
      </w:pPr>
    </w:p>
    <w:p>
      <w:pPr>
        <w:ind w:left="1300" w:hanging="644"/>
        <w:spacing w:after="0" w:line="282" w:lineRule="auto"/>
        <w:tabs>
          <w:tab w:leader="none" w:pos="89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 of shares of common stock or preferred stock purchasable upon the exercise of warrants to purchase common stock or preferred stock and the price at which such number of shares of common stock or preferred stock may be purchased upon such exercise;</w:t>
      </w:r>
    </w:p>
    <w:p>
      <w:pPr>
        <w:spacing w:after="0" w:line="9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shall expire;</w:t>
      </w:r>
    </w:p>
    <w:p>
      <w:pPr>
        <w:spacing w:after="0" w:line="14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federal income tax consequences applicable to such warrants;</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of warrants outstanding as of the most recent practicable date; and</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terms of such warrants.</w:t>
      </w:r>
    </w:p>
    <w:p>
      <w:pPr>
        <w:spacing w:after="0" w:line="14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Warrants will be issued in registered form only. The exercise price for warrants will be subject to adjustment in accordance with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20"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warrant will entitle the holder thereof to purchase such number of shares of common stock or preferred stock at such exercise price as shall in each case be set forth in, or calculable from, the prospectus supplement relating to the warrants, which exercise price may be subject to adjustment upon the occurrence of certain events as set forth in such prospectus supplement. After the close of business on the expiration date, or such later date to which such expiration date may be extended by us, unexercised warrants will become void. The place or places where, and the manner in which, warrants may be exercised shall be specified in the prospectus supplement relating to such warrants.</w:t>
      </w:r>
    </w:p>
    <w:p>
      <w:pPr>
        <w:spacing w:after="0" w:line="1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exercise of any warrants to purchase common stock or preferred stock, holders of such warrants will not have any of the rights of holders of common stock or preferred stock, as the case may be, purchasable upon such exercise, including the right to receive payments of dividends, if any, on the common stock purchasable upon such exercise, or to exercise any applicable right to vote.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section describes the general terms of debt securities to which any prospectus supplement may relate. A prospectus supplement will describe the terms relating to any debt securities to be offered in greater detail, and may provide information that is different from this prospectus. If the information in the prospectus supplement differs with respect to the particular debt securities being offered from this prospectus, you should rely on the information in the prospectus supplement. The debt securities may be issued from time to time in one or more series. The particular terms of each series that are offered by a prospectus supplement will be described in the prospectus supplement.</w:t>
      </w:r>
    </w:p>
    <w:p>
      <w:pPr>
        <w:spacing w:after="0" w:line="1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conduct a portion of our operations through subsidiaries. Unless the debt securities are guaranteed by our subsidiaries as described below, the rights of our company and our creditors, including holders of the debt securities, to participate in the assets of any subsidiary upon the latter’s liquidation or reorganization will be subject to the prior claims of the subsidiary’s creditors, except to the extent that we may ourselves be a creditor with recognized claims against such subsidiary.</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debt securities will be either our senior debt securities or our subordinated debt securities. The senior debt securities and the subordinated debt securities will be issued under separate indentures among us, and any domestic subsidiaries that become guarantors of the debt securities (and are added as co-registrants to the registration statement of which this prospectus supplement forms a part), and a trustee that meets certain requirements and is selected by us (the “Trustee”). Senior debt securities will be issued under a “Senior Indenture” and subordinated debt securities will be issued under a “Subordinated Indenture.” Together, the Senior Indenture and the Subordinated Indenture are called “Indentures.”</w:t>
      </w:r>
    </w:p>
    <w:p>
      <w:pPr>
        <w:spacing w:after="0" w:line="1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summarized selected provisions of the Indentures below. The summary is not complete and is qualified in its entirety by express reference to the provisions of the Indentures. The form of each Indenture has been filed with the SEC as an exhibit to the registration statement of which this prospectus is a part, and you should read the Indentures for provisions that may be important to you. In the summary below, we have included references to article or section numbers of the applicable Indenture so that you can easily locate these provisions. Whenever we refer in this prospectus or in the prospectus supplement to particular article or sections or defined terms of the Indentures, those article or sections or defined terms are incorporated by reference herein or therein, as applicable. The Indentures will be subject to and governed by certain provisions of the Trust Indenture Act of 1939, and we refer you to the Indentures and the Trust Indenture Act for a statement of such provisions. Capitalized terms used in the summary have the meanings specified in the Indentures.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offer debt securities under this prospectus. The Indentures do not limit the aggregate amount of debt securities, and we may issue debt securities up to the aggregate principal amount which may be authorized from time to time by the board of directors. The Indentures provide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will be our unsecured obligations.</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subordinated in right of payment to the prior payment in full of all of our Senior Debt as described under “—Subordination of Subordinated Debt Securities” and in the prospectus supplement applicable to any subordinated debt securities. If the prospectus supplement so indicates, the debt securities will be convertible into our common stock (Section 301).</w:t>
      </w:r>
    </w:p>
    <w:p>
      <w:pPr>
        <w:spacing w:after="0" w:line="10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the price or prices at which the debt securities to be offered will be issued and will describe the following terms of such debt securities:</w:t>
      </w:r>
    </w:p>
    <w:p>
      <w:pPr>
        <w:spacing w:after="0" w:line="94" w:lineRule="exact"/>
        <w:rPr>
          <w:sz w:val="20"/>
          <w:szCs w:val="20"/>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and authorized denominations of the debt securities;</w:t>
      </w:r>
    </w:p>
    <w:p>
      <w:pPr>
        <w:spacing w:after="0" w:line="144" w:lineRule="exact"/>
        <w:rPr>
          <w:rFonts w:ascii="Times New Roman" w:cs="Times New Roman" w:eastAsia="Times New Roman" w:hAnsi="Times New Roman"/>
          <w:sz w:val="18"/>
          <w:szCs w:val="18"/>
          <w:color w:val="auto"/>
        </w:rPr>
      </w:pPr>
    </w:p>
    <w:p>
      <w:pPr>
        <w:ind w:firstLine="656"/>
        <w:spacing w:after="0" w:line="282" w:lineRule="auto"/>
        <w:tabs>
          <w:tab w:leader="none" w:pos="1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senior debt securities or subordinated debt securities and, if subordinated debt securities, the related subordination terms;</w:t>
      </w:r>
    </w:p>
    <w:p>
      <w:pPr>
        <w:spacing w:after="0" w:line="9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5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principal of the debt securities will be payable;</w:t>
      </w:r>
    </w:p>
    <w:p>
      <w:pPr>
        <w:spacing w:after="0" w:line="14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that the debt securities will bear and the interest payment dates for the debt securities;</w:t>
      </w:r>
    </w:p>
    <w:p>
      <w:pPr>
        <w:spacing w:after="0" w:line="15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places where payments on the debt securities will be payable;</w:t>
      </w:r>
    </w:p>
    <w:p>
      <w:pPr>
        <w:spacing w:after="0" w:line="15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upon which the debt securities may be redeemed, in whole or in part, at our option;</w:t>
      </w:r>
    </w:p>
    <w:p>
      <w:pPr>
        <w:spacing w:after="0" w:line="14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sinking fund or other provisions that would obligate us to repurchase or otherwise redeem the debt securities;</w:t>
      </w:r>
    </w:p>
    <w:p>
      <w:pPr>
        <w:spacing w:after="0" w:line="157" w:lineRule="exact"/>
        <w:rPr>
          <w:rFonts w:ascii="Times New Roman" w:cs="Times New Roman" w:eastAsia="Times New Roman" w:hAnsi="Times New Roman"/>
          <w:sz w:val="18"/>
          <w:szCs w:val="18"/>
          <w:color w:val="auto"/>
        </w:rPr>
      </w:pPr>
    </w:p>
    <w:p>
      <w:pPr>
        <w:ind w:right="20" w:firstLine="656"/>
        <w:spacing w:after="0" w:line="282" w:lineRule="auto"/>
        <w:tabs>
          <w:tab w:leader="none" w:pos="10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if less than all, of the debt securities that will be payable upon declaration of acceleration of the Maturity of the debt securities;</w:t>
      </w:r>
    </w:p>
    <w:p>
      <w:pPr>
        <w:spacing w:after="0" w:line="9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defeasible;</w:t>
      </w:r>
    </w:p>
    <w:p>
      <w:pPr>
        <w:spacing w:after="0" w:line="144" w:lineRule="exact"/>
        <w:rPr>
          <w:rFonts w:ascii="Times New Roman" w:cs="Times New Roman" w:eastAsia="Times New Roman" w:hAnsi="Times New Roman"/>
          <w:sz w:val="18"/>
          <w:szCs w:val="18"/>
          <w:color w:val="auto"/>
        </w:rPr>
      </w:pPr>
    </w:p>
    <w:p>
      <w:pPr>
        <w:ind w:left="1120" w:hanging="464"/>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Events of Default;</w:t>
      </w:r>
    </w:p>
    <w:p>
      <w:pPr>
        <w:spacing w:after="0" w:line="157" w:lineRule="exact"/>
        <w:rPr>
          <w:rFonts w:ascii="Times New Roman" w:cs="Times New Roman" w:eastAsia="Times New Roman" w:hAnsi="Times New Roman"/>
          <w:sz w:val="18"/>
          <w:szCs w:val="18"/>
          <w:color w:val="auto"/>
        </w:rPr>
      </w:pPr>
    </w:p>
    <w:p>
      <w:pPr>
        <w:ind w:right="20" w:firstLine="656"/>
        <w:spacing w:after="0" w:line="282" w:lineRule="auto"/>
        <w:tabs>
          <w:tab w:leader="none" w:pos="12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into our common stock and, if so, the terms and conditions upon which conversion will be effected, including the initial conversion price or conversion rate and any adjustments thereto and the conversion period;</w:t>
      </w:r>
    </w:p>
    <w:p>
      <w:pPr>
        <w:spacing w:after="0" w:line="9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or change in the covenants in the Indenture applicable to the debt securities; and</w:t>
      </w:r>
    </w:p>
    <w:p>
      <w:pPr>
        <w:spacing w:after="0" w:line="144"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 (Section 301).</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14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senior debt securities will be our direct-unsecured obligations and will constitute senior indebtedness (in each case as defined in the applicable Supplemental Indenture) ranking on a parity with all of our other unsecured and unsubordinated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1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Subordination of Subordinated Debt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indebtedness evidenced by the subordinated debt securities will, to the extent set forth in the Subordinated Indenture with respect to each series of subordinated debt securities, be subordinate in right of payment to the prior payment in full of all of our Senior Debt, including the senior debt securities, and it may also be senior in right of payment to all of our Subordinated Debt (Article Twelve of the Subordinated Indenture). The prospectus supplement relating to any subordinated debt securities will summarize the subordination provisions of the Subordinated Indenture applicable to that series including:</w:t>
      </w:r>
    </w:p>
    <w:p>
      <w:pPr>
        <w:spacing w:after="0" w:line="102" w:lineRule="exact"/>
        <w:rPr>
          <w:sz w:val="20"/>
          <w:szCs w:val="20"/>
          <w:color w:val="auto"/>
        </w:rPr>
      </w:pPr>
    </w:p>
    <w:p>
      <w:pPr>
        <w:ind w:left="1300" w:hanging="644"/>
        <w:spacing w:after="0" w:line="266" w:lineRule="auto"/>
        <w:tabs>
          <w:tab w:leader="none" w:pos="89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and effect of such provisions upon any payment or distribution respecting that series following any liquidation, dissolution or other winding-up, or any assignment for the benefit of creditors or other marshaling of assets or any bankruptcy, insolvency or similar proceedings;</w:t>
      </w:r>
    </w:p>
    <w:p>
      <w:pPr>
        <w:spacing w:after="0" w:line="108" w:lineRule="exact"/>
        <w:rPr>
          <w:rFonts w:ascii="Times New Roman" w:cs="Times New Roman" w:eastAsia="Times New Roman" w:hAnsi="Times New Roman"/>
          <w:sz w:val="18"/>
          <w:szCs w:val="18"/>
          <w:b w:val="1"/>
          <w:bCs w:val="1"/>
          <w:color w:val="auto"/>
        </w:rPr>
      </w:pPr>
    </w:p>
    <w:p>
      <w:pPr>
        <w:ind w:left="1300" w:right="20" w:hanging="644"/>
        <w:spacing w:after="0" w:line="282" w:lineRule="auto"/>
        <w:tabs>
          <w:tab w:leader="none" w:pos="91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applicability and effect of such provisions in the event of specified defaults with respect to any Senior Debt, including the circumstances under which and the periods in which we will be prohibited from making payments on the subordinated debt securities; and</w:t>
      </w:r>
    </w:p>
    <w:p>
      <w:pPr>
        <w:spacing w:after="0" w:line="94"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1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definition of Senior Debt applicable to the subordinated debt securities of that series and, if the series is issued on a senior subordinated basis, the definition of Subordinated Debt applicable to that series.</w:t>
      </w:r>
    </w:p>
    <w:p>
      <w:pPr>
        <w:spacing w:after="0" w:line="80"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58"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prospectus supplement will also describe as of a recent date the approximate amount of Senior Debt to which the subordinated debt securities of that series will be subordinated.</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failure to make any payment on any of the subordinated debt securities by reason of the subordination provisions of the Subordinated Indenture described in the prospectus supplement will not be construed as preventing the occurrence of an Event of Default with respect to the subordinated debt securities arising from any such failure to make payment.</w:t>
      </w:r>
    </w:p>
    <w:p>
      <w:pPr>
        <w:spacing w:after="0" w:line="10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subordination provisions described above will not be applicable to payments in respect of the subordinated debt securities from a defeasance trust established in connection with any legal defeasance or covenant defeasance of the subordinated debt securities as described under “—Legal Defeasance and Covenant Defeasance.”</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applicable Indenture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terms of the applicable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116" w:right="339" w:bottom="1440" w:gutter="0" w:footer="0" w:header="0"/>
        </w:sectPr>
      </w:pPr>
    </w:p>
    <w:bookmarkStart w:id="24" w:name="page25"/>
    <w:bookmarkEnd w:id="24"/>
    <w:p>
      <w:pPr>
        <w:ind w:left="18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applicable Indenture.</w:t>
      </w:r>
    </w:p>
    <w:p>
      <w:pPr>
        <w:spacing w:after="0" w:line="1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the Indentures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108" w:lineRule="exact"/>
        <w:rPr>
          <w:sz w:val="20"/>
          <w:szCs w:val="20"/>
          <w:color w:val="auto"/>
        </w:rPr>
      </w:pPr>
    </w:p>
    <w:p>
      <w:pPr>
        <w:ind w:firstLine="656"/>
        <w:spacing w:after="0" w:line="282" w:lineRule="auto"/>
        <w:tabs>
          <w:tab w:leader="none" w:pos="10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has notified us that it is unwilling or unable to continue as Depositary for such Global Security or has ceased to be qualified to act as such as required by the applicable Indenture, and in either case we fail to appoint a successor Depositary within 90 days;</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0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debt securities represented by such Global Security has occurred and is continuing and the Trustee has received a written request from the Depositary to issue certificated debt securities; or</w:t>
      </w:r>
    </w:p>
    <w:p>
      <w:pPr>
        <w:spacing w:after="0" w:line="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circumstances exist, in addition to or in lieu of those described above, as may be described in the applicable prospectus supplement.</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debt securities issued in exchange for a Global Security or any portion thereof will be registered in such names as the Depositary may direct (Sections 205 and 305).</w:t>
      </w:r>
    </w:p>
    <w:p>
      <w:pPr>
        <w:spacing w:after="0" w:line="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applicable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is represents for any purpose under the debt securities or the applicable Indenture. All payments on a Global Security will be made to the Depositary or its nominee, as the case may be, as the Holder of the security. The laws of some jurisdictions require that some purchasers of debt securities take physical delivery of such debt securities in definitive form. These laws may impair the ability to transfer beneficial interests in a Global Security.</w:t>
      </w:r>
    </w:p>
    <w:p>
      <w:pPr>
        <w:spacing w:after="0" w:line="1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Subsidiary Guarantors, the Trustees or our agents, the Subsidiary Guarantors or the Trustees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16"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payment of interest on a debt security on any Interest Payment Date will be made to the Person in whose name such debt security (or one or more Predecessor Securities) is registered at the close of business on the Regular Record Date for such interest (Section 307).</w:t>
      </w:r>
    </w:p>
    <w:p>
      <w:pPr>
        <w:spacing w:after="0" w:line="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Senior Indenture in the City of New York will be designated as sole Paying Agent for payments with respect to senior debt securities of each series, and the corporate trust office of the Trustee under the Subordinated Indenture in the City of New York will be designated as the sole Paying Agent for payment with respect to subordinated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money paid by us to a Paying Agent for the payment of the principal of or any premium or interest on any debt security which remain unclaimed at the end of two years after such principal, premium or interest has become due and payable will be repaid to us, and the Holder of such debt security thereafter may look only to us for payment (Section 1003).</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4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into, or transfer, lease or otherwise dispose of all or substantially all of our assets to, any Person (a “successor Person”), and may not permit any Person to consolidate with or merge into us, unless:</w:t>
      </w:r>
    </w:p>
    <w:p>
      <w:pPr>
        <w:spacing w:after="0" w:line="94" w:lineRule="exact"/>
        <w:rPr>
          <w:sz w:val="20"/>
          <w:szCs w:val="20"/>
          <w:color w:val="auto"/>
        </w:rPr>
      </w:pPr>
    </w:p>
    <w:p>
      <w:pPr>
        <w:jc w:val="both"/>
        <w:ind w:firstLine="656"/>
        <w:spacing w:after="0" w:line="266" w:lineRule="auto"/>
        <w:tabs>
          <w:tab w:leader="none" w:pos="105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Person (if any) is a corporation, partnership, trust or other entity organized and validly existing under the laws of any domestic jurisdiction and assumes our obligations on the debt securities and under the Indentures including the due and punctual payment of the principal of, any premium on, and any interest on, all of the outstanding debt securities and the performance of every covenant applicable to be performed or observed by us;</w:t>
      </w:r>
    </w:p>
    <w:p>
      <w:pPr>
        <w:spacing w:after="0" w:line="108" w:lineRule="exact"/>
        <w:rPr>
          <w:rFonts w:ascii="Times New Roman" w:cs="Times New Roman" w:eastAsia="Times New Roman" w:hAnsi="Times New Roman"/>
          <w:sz w:val="18"/>
          <w:szCs w:val="18"/>
          <w:color w:val="auto"/>
        </w:rPr>
      </w:pPr>
    </w:p>
    <w:p>
      <w:pPr>
        <w:ind w:firstLine="656"/>
        <w:spacing w:after="0" w:line="282" w:lineRule="auto"/>
        <w:tabs>
          <w:tab w:leader="none" w:pos="10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giving pro forma effect to the transaction, no Event of Default, and no event which, after notice or lapse of time or both, would become an Event of Default, has occurred and is continuing;</w:t>
      </w:r>
    </w:p>
    <w:p>
      <w:pPr>
        <w:spacing w:after="0" w:line="80" w:lineRule="exact"/>
        <w:rPr>
          <w:rFonts w:ascii="Times New Roman" w:cs="Times New Roman" w:eastAsia="Times New Roman" w:hAnsi="Times New Roman"/>
          <w:sz w:val="18"/>
          <w:szCs w:val="18"/>
          <w:color w:val="auto"/>
        </w:rPr>
      </w:pPr>
    </w:p>
    <w:p>
      <w:pPr>
        <w:ind w:right="20" w:firstLine="656"/>
        <w:spacing w:after="0" w:line="282" w:lineRule="auto"/>
        <w:tabs>
          <w:tab w:leader="none" w:pos="113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officer’s certificate and an opinion of counsel, each stating that such consolidation, merger, conveyance or transfer and such Supplemental Indenture comply with the foregoing provisions relating to such transaction; and</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1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other conditions, including any additional conditions with respect to any particular debt securities specified in the applicable prospectus supplement, are met (Section 801).</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4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each of the following will constitute an Event of Default under the applicable Indenture with respect to debt securities of any series:</w:t>
      </w:r>
    </w:p>
    <w:p>
      <w:pPr>
        <w:spacing w:after="0" w:line="94" w:lineRule="exact"/>
        <w:rPr>
          <w:sz w:val="20"/>
          <w:szCs w:val="20"/>
          <w:color w:val="auto"/>
        </w:rPr>
      </w:pPr>
    </w:p>
    <w:p>
      <w:pPr>
        <w:ind w:firstLine="656"/>
        <w:spacing w:after="0" w:line="282" w:lineRule="auto"/>
        <w:tabs>
          <w:tab w:leader="none" w:pos="10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of or any premium on any debt security of that series when due, whether or not, in the case of subordinated debt securities, such payment is prohibited by the subordination provisions of the Subordinated Indenture;</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0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any interest on any debt securities of that series when due, continued for 30 days, whether or not, in the case of subordinated debt securities, such payment is prohibited by the subordination provisions of the Subordinated Indenture;</w:t>
      </w:r>
    </w:p>
    <w:p>
      <w:pPr>
        <w:spacing w:after="0" w:line="80" w:lineRule="exact"/>
        <w:rPr>
          <w:rFonts w:ascii="Times New Roman" w:cs="Times New Roman" w:eastAsia="Times New Roman" w:hAnsi="Times New Roman"/>
          <w:sz w:val="18"/>
          <w:szCs w:val="18"/>
          <w:color w:val="auto"/>
        </w:rPr>
      </w:pPr>
    </w:p>
    <w:p>
      <w:pPr>
        <w:ind w:firstLine="656"/>
        <w:spacing w:after="0" w:line="282" w:lineRule="auto"/>
        <w:tabs>
          <w:tab w:leader="none" w:pos="11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deposit any sinking fund payment, when due, in respect of any debt security of that series, whether or not, in the case of subordinated debt securities, such deposit is prohibited by the subordination provisions of the Subordinated Indenture;</w:t>
      </w:r>
    </w:p>
    <w:p>
      <w:pPr>
        <w:spacing w:after="0" w:line="9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or comply with the provisions described under “—Consolidation, Merger and Sale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16" w:right="339" w:bottom="1440" w:gutter="0" w:footer="0" w:header="0"/>
        </w:sectPr>
      </w:pPr>
    </w:p>
    <w:bookmarkStart w:id="26" w:name="page27"/>
    <w:bookmarkEnd w:id="26"/>
    <w:p>
      <w:pPr>
        <w:jc w:val="both"/>
        <w:ind w:firstLine="656"/>
        <w:spacing w:after="0" w:line="266" w:lineRule="auto"/>
        <w:tabs>
          <w:tab w:leader="none" w:pos="10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any of our other covenants in such Indenture (other than a covenant included in such Indenture solely for the benefit of a series other than that series), continued for 60 days after written notice has been given by the applicable Trustee, or the Holders of at least 25% in principal amount of the Outstanding debt securities of that series, as provided in such Indenture; and</w:t>
      </w:r>
    </w:p>
    <w:p>
      <w:pPr>
        <w:spacing w:after="0" w:line="108"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affecting us or any Significant Subsidiary.</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(other than an Event of Default with respect to Cumberland Pharmaceuticals Inc. described in clause (6) above) with respect to the debt securities of any series at the time Outstanding occurs and is continuing, either the applicable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Security, such portion of the principal amount of such debt security as may be specified in the terms of such debt security) to be due and payable immediately. If an Event of Default with respect to Cumberland Pharmaceuticals Inc. described in clause (6)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After any such acceleration, but before a judgment or decree based on acceleration, the Holders of a majority in principal amount of the Outstanding debt securities of that series may, under certain circumstances, rescind and annul such acceleration if all Events of Default, other than the non-payment of accelerated principal (or other specified amount), have been cured or waived as provided in the applicable Indenture (Section 502). For information as to waiver of defaults, see “—Modification and Waiver” below.</w:t>
      </w:r>
    </w:p>
    <w:p>
      <w:pPr>
        <w:spacing w:after="0" w:line="1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default under other indebtedness of the Company will not be a default under the Indentures and a default under one series of debt securities will not necessarily be a default under another series. Any additions, deletions or other changes to the Events of Default which will apply to a series of debt securities will be described in the prospectus supplement relating to such series of debt securities.</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Indentures, the trustee must give to the holders of each series of debt securities notice of all uncured defaults known to it with respect to such series within 90 days after such a default occurs (the term default to include the events specified above without notice or grace periods). However, except in the case of default in the payment of principal of, any premium on, or any interest on any of the debt securities, or default in the payment of any sinking or purchase fund installment or analogous obligations, the trustee shall be protected in withholding such notice if it in good faith determines that the withholding of such notice is in the interests of the holders of the debt securities of such series (Section 602).</w:t>
      </w:r>
    </w:p>
    <w:p>
      <w:pPr>
        <w:spacing w:after="0" w:line="10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provisions of the Indentures relating to the duties of the Trustees in case an Event of Default has occurred and is continuing, each Trustee will be under no obligation to exercise any of its rights or powers under the applicable Indenture at the request or direction of any of the Holders, unless such Holders have offered to such Trustee reasonable indemnity (Section 603). Subject to such provisions for the indemnification of the Trustees,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2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Holder of a debt security of any series will have any right to institute any proceeding with respect to the applicable Indenture, or for the appointment of a receiver or a trustee, or for any other remedy thereunder, unless:</w:t>
      </w:r>
    </w:p>
    <w:p>
      <w:pPr>
        <w:spacing w:after="0" w:line="94" w:lineRule="exact"/>
        <w:rPr>
          <w:sz w:val="20"/>
          <w:szCs w:val="20"/>
          <w:color w:val="auto"/>
        </w:rPr>
      </w:pPr>
    </w:p>
    <w:p>
      <w:pPr>
        <w:ind w:firstLine="656"/>
        <w:spacing w:after="0" w:line="282" w:lineRule="auto"/>
        <w:tabs>
          <w:tab w:leader="none" w:pos="10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to the Trustee under the applicable Indenture written notice of a continuing Event of Default with respect to the debt securities of that series;</w:t>
      </w:r>
    </w:p>
    <w:p>
      <w:pPr>
        <w:spacing w:after="0" w:line="80" w:lineRule="exact"/>
        <w:rPr>
          <w:rFonts w:ascii="Times New Roman" w:cs="Times New Roman" w:eastAsia="Times New Roman" w:hAnsi="Times New Roman"/>
          <w:sz w:val="18"/>
          <w:szCs w:val="18"/>
          <w:color w:val="auto"/>
        </w:rPr>
      </w:pPr>
    </w:p>
    <w:p>
      <w:pPr>
        <w:ind w:firstLine="656"/>
        <w:spacing w:after="0" w:line="282"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94" w:lineRule="exact"/>
        <w:rPr>
          <w:rFonts w:ascii="Times New Roman" w:cs="Times New Roman" w:eastAsia="Times New Roman" w:hAnsi="Times New Roman"/>
          <w:sz w:val="18"/>
          <w:szCs w:val="18"/>
          <w:color w:val="auto"/>
        </w:rPr>
      </w:pPr>
    </w:p>
    <w:p>
      <w:pPr>
        <w:ind w:right="20" w:firstLine="656"/>
        <w:spacing w:after="0" w:line="282" w:lineRule="auto"/>
        <w:tabs>
          <w:tab w:leader="none" w:pos="11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 (Section 507).</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20"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be required to furnish to each Trustee annually a statement by certain of our officers as to whether or not we, to their knowledge, are in default in the performance or observance of any of the terms, provisions and conditions of the applicable Indenture and, if so, specifying all such known defaults (Section 1004).</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the trustee may, without the consent of the holders of the debt securities, enter into one or more Supplemental Indentures for, among others, one or more of the following purposes, provided that in the case of clauses (2), (3), (4) and (6), the interests of the holders of debt securities would not be adversely affected:</w:t>
      </w:r>
    </w:p>
    <w:p>
      <w:pPr>
        <w:spacing w:after="0" w:line="108" w:lineRule="exact"/>
        <w:rPr>
          <w:sz w:val="20"/>
          <w:szCs w:val="20"/>
          <w:color w:val="auto"/>
        </w:rPr>
      </w:pPr>
    </w:p>
    <w:p>
      <w:pPr>
        <w:ind w:right="20" w:firstLine="656"/>
        <w:spacing w:after="0" w:line="282" w:lineRule="auto"/>
        <w:tabs>
          <w:tab w:leader="none" w:pos="11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of our obligations under the applicable Indenture and the debt securities of any series;</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0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by us, or surrender any of our rights conferred by the applicable Indenture, for the benefit of the holders of debt securities of any or all series;</w:t>
      </w:r>
    </w:p>
    <w:p>
      <w:pPr>
        <w:spacing w:after="0" w:line="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 in or make any other provision with respect to questions arising under the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139"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terms of any series of debt securities, including any subordinated securities;</w:t>
      </w:r>
    </w:p>
    <w:p>
      <w:pPr>
        <w:spacing w:after="0" w:line="157" w:lineRule="exact"/>
        <w:rPr>
          <w:rFonts w:ascii="Times New Roman" w:cs="Times New Roman" w:eastAsia="Times New Roman" w:hAnsi="Times New Roman"/>
          <w:sz w:val="18"/>
          <w:szCs w:val="18"/>
          <w:color w:val="auto"/>
        </w:rPr>
      </w:pPr>
    </w:p>
    <w:p>
      <w:pPr>
        <w:ind w:firstLine="656"/>
        <w:spacing w:after="0" w:line="282" w:lineRule="auto"/>
        <w:tabs>
          <w:tab w:leader="none" w:pos="10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any successor trustee with respect to one or more series of debt securities or to facilitate the administration of the trusts thereunder by one or more trustees in accordance with the applicable Indenture; and</w:t>
      </w:r>
    </w:p>
    <w:p>
      <w:pPr>
        <w:spacing w:after="0" w:line="80"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any additional Events of Default (Section 901).</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Modifications and amendments of an Indenture may be made by us, the Subsidiary Guarantors, if applicable, and the applicable Trustee with the consent of the Holders of a majority in principal amount of the Outstanding debt securities of each series affected by such modification or amendment; provided, however, that no such modification or amendment may, without the consent of the Holder of each Outstanding debt security affected thereby:</w:t>
      </w:r>
    </w:p>
    <w:p>
      <w:pPr>
        <w:spacing w:after="0" w:line="108"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debt security;</w:t>
      </w:r>
    </w:p>
    <w:p>
      <w:pPr>
        <w:spacing w:after="0" w:line="14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any premium or interest on, any debt security;</w:t>
      </w:r>
    </w:p>
    <w:p>
      <w:pPr>
        <w:spacing w:after="0" w:line="15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of an Original Issue Discount Security or any other debt security payable upon acceleration of the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139" w:lineRule="exact"/>
        <w:rPr>
          <w:sz w:val="20"/>
          <w:szCs w:val="20"/>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any premium or interest on, any debt security;</w:t>
      </w:r>
    </w:p>
    <w:p>
      <w:pPr>
        <w:spacing w:after="0" w:line="14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due on or any conversion right with respect to any debt security;</w:t>
      </w:r>
    </w:p>
    <w:p>
      <w:pPr>
        <w:spacing w:after="0" w:line="157" w:lineRule="exact"/>
        <w:rPr>
          <w:rFonts w:ascii="Times New Roman" w:cs="Times New Roman" w:eastAsia="Times New Roman" w:hAnsi="Times New Roman"/>
          <w:sz w:val="18"/>
          <w:szCs w:val="18"/>
          <w:color w:val="auto"/>
        </w:rPr>
      </w:pPr>
    </w:p>
    <w:p>
      <w:pPr>
        <w:ind w:firstLine="656"/>
        <w:spacing w:after="0" w:line="282" w:lineRule="auto"/>
        <w:tabs>
          <w:tab w:leader="none" w:pos="11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case of subordinated debt securities, or modify any conversion provisions, in either case in a manner adverse to the Holders of the subordinated debt securities;</w:t>
      </w:r>
    </w:p>
    <w:p>
      <w:pPr>
        <w:spacing w:after="0" w:line="94" w:lineRule="exact"/>
        <w:rPr>
          <w:rFonts w:ascii="Times New Roman" w:cs="Times New Roman" w:eastAsia="Times New Roman" w:hAnsi="Times New Roman"/>
          <w:sz w:val="18"/>
          <w:szCs w:val="18"/>
          <w:color w:val="auto"/>
        </w:rPr>
      </w:pPr>
    </w:p>
    <w:p>
      <w:pPr>
        <w:ind w:firstLine="656"/>
        <w:spacing w:after="0" w:line="282" w:lineRule="auto"/>
        <w:tabs>
          <w:tab w:leader="none" w:pos="11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the consent of whose Holders is required for modification or amendment of the Indenture;</w:t>
      </w:r>
    </w:p>
    <w:p>
      <w:pPr>
        <w:spacing w:after="0" w:line="80" w:lineRule="exact"/>
        <w:rPr>
          <w:rFonts w:ascii="Times New Roman" w:cs="Times New Roman" w:eastAsia="Times New Roman" w:hAnsi="Times New Roman"/>
          <w:sz w:val="18"/>
          <w:szCs w:val="18"/>
          <w:color w:val="auto"/>
        </w:rPr>
      </w:pPr>
    </w:p>
    <w:p>
      <w:pPr>
        <w:ind w:firstLine="656"/>
        <w:spacing w:after="0" w:line="282" w:lineRule="auto"/>
        <w:tabs>
          <w:tab w:leader="none" w:pos="11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Outstanding debt securities of any series necessary for waiver of compliance with certain provisions of the Indenture or for waiver of certain defaults; or</w:t>
      </w:r>
    </w:p>
    <w:p>
      <w:pPr>
        <w:spacing w:after="0" w:line="94"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such provisions with respect to modification, amendment or waiver (Section 902).</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any series may waive compliance by us with certain restrictive provisions of the applicable Indenture (Section 1009). The Holders of a majority in principal amount of the Outstanding debt securities of any series may waive any past default under the applicable Indenture, except a default in the payment of principal, premium or interest and certain covenants and provisions of the Indenture which cannot be amended without the consent of the Holder of each Outstanding debt security of such series (Section 513).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20"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the Indentures provides that in determining whether the Holders of the requisite principal amount of the Outstanding debt securities have given or taken any direction, notice, consent, waiver or other action under such Indenture as of any date:</w:t>
      </w:r>
    </w:p>
    <w:p>
      <w:pPr>
        <w:spacing w:after="0" w:line="94" w:lineRule="exact"/>
        <w:rPr>
          <w:sz w:val="20"/>
          <w:szCs w:val="20"/>
          <w:color w:val="auto"/>
        </w:rPr>
      </w:pPr>
    </w:p>
    <w:p>
      <w:pPr>
        <w:ind w:firstLine="656"/>
        <w:spacing w:after="0" w:line="282" w:lineRule="auto"/>
        <w:tabs>
          <w:tab w:leader="none" w:pos="10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80" w:lineRule="exact"/>
        <w:rPr>
          <w:rFonts w:ascii="Times New Roman" w:cs="Times New Roman" w:eastAsia="Times New Roman" w:hAnsi="Times New Roman"/>
          <w:sz w:val="18"/>
          <w:szCs w:val="18"/>
          <w:color w:val="auto"/>
        </w:rPr>
      </w:pPr>
    </w:p>
    <w:p>
      <w:pPr>
        <w:jc w:val="both"/>
        <w:ind w:firstLine="656"/>
        <w:spacing w:after="0" w:line="266" w:lineRule="auto"/>
        <w:tabs>
          <w:tab w:leader="none" w:pos="10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 and</w:t>
      </w:r>
    </w:p>
    <w:p>
      <w:pPr>
        <w:spacing w:after="0" w:line="10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w:t>
      </w:r>
    </w:p>
    <w:p>
      <w:pPr>
        <w:spacing w:after="0" w:line="10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debt securities, including those owned by us or any of our other Affiliates, will not be deemed to be Outstanding (Section 101). Except in certain limited circumstances, we will be entitled to set any day as a record date for the purpose of determining the Holders of Outstanding debt securities of any series entitled to give or take any direction, notice, consent, waiver or other action under the applicable Indenture, in the manner and subject to the limitations provided in the 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Indenture will be discharged and will cease to be of further effect as to all Outstanding debt securities of any series issued thereunder, when:</w:t>
      </w:r>
    </w:p>
    <w:p>
      <w:pPr>
        <w:spacing w:after="0" w:line="158" w:lineRule="exact"/>
        <w:rPr>
          <w:sz w:val="20"/>
          <w:szCs w:val="20"/>
          <w:color w:val="auto"/>
        </w:rPr>
      </w:pPr>
    </w:p>
    <w:p>
      <w:pPr>
        <w:ind w:left="1040" w:hanging="38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44" w:lineRule="exact"/>
        <w:rPr>
          <w:sz w:val="20"/>
          <w:szCs w:val="20"/>
          <w:color w:val="auto"/>
        </w:rPr>
      </w:pPr>
    </w:p>
    <w:p>
      <w:pPr>
        <w:jc w:val="both"/>
        <w:ind w:firstLine="656"/>
        <w:spacing w:after="0" w:line="266" w:lineRule="auto"/>
        <w:tabs>
          <w:tab w:leader="none" w:pos="11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08" w:lineRule="exact"/>
        <w:rPr>
          <w:rFonts w:ascii="Times New Roman" w:cs="Times New Roman" w:eastAsia="Times New Roman" w:hAnsi="Times New Roman"/>
          <w:sz w:val="18"/>
          <w:szCs w:val="18"/>
          <w:color w:val="auto"/>
        </w:rPr>
      </w:pPr>
    </w:p>
    <w:p>
      <w:pPr>
        <w:jc w:val="both"/>
        <w:ind w:firstLine="656"/>
        <w:spacing w:after="0" w:line="258" w:lineRule="auto"/>
        <w:tabs>
          <w:tab w:leader="none" w:pos="10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116" w:lineRule="exact"/>
        <w:rPr>
          <w:sz w:val="20"/>
          <w:szCs w:val="20"/>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with respect to the debt securities of that series; and</w:t>
      </w:r>
    </w:p>
    <w:p>
      <w:pPr>
        <w:spacing w:after="0" w:line="144" w:lineRule="exact"/>
        <w:rPr>
          <w:rFonts w:ascii="Times New Roman" w:cs="Times New Roman" w:eastAsia="Times New Roman" w:hAnsi="Times New Roman"/>
          <w:sz w:val="18"/>
          <w:szCs w:val="18"/>
          <w:color w:val="auto"/>
        </w:rPr>
      </w:pPr>
    </w:p>
    <w:p>
      <w:pPr>
        <w:ind w:firstLine="656"/>
        <w:spacing w:after="0" w:line="282" w:lineRule="auto"/>
        <w:tabs>
          <w:tab w:leader="none" w:pos="10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an Officers’ Certificate and an Opinion of Counsel to the Trustee stating that all conditions precedent to satisfaction and discharge of the Indenture with respect to the debt securities of that series have been satisfied (Article Four).</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Legal Defeasance and Covenant Defeasance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20" w:right="339" w:bottom="1440" w:gutter="0" w:footer="0" w:header="0"/>
        </w:sectPr>
      </w:pPr>
    </w:p>
    <w:bookmarkStart w:id="29" w:name="page30"/>
    <w:bookmarkEnd w:id="29"/>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Indentures provide that, upon our exercise of our option (if any) to have Section 1502 applied to any debt securities,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discharged from all our obligations, and, if such debt securities are subordinated debt securities, the provisions of the Subordinated Indenture relating to subordination will cease to be effective,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defeasance or discharge may occur only if, among other things:</w:t>
      </w:r>
    </w:p>
    <w:p>
      <w:pPr>
        <w:spacing w:after="0" w:line="119" w:lineRule="exact"/>
        <w:rPr>
          <w:sz w:val="20"/>
          <w:szCs w:val="20"/>
          <w:color w:val="auto"/>
        </w:rPr>
      </w:pPr>
    </w:p>
    <w:p>
      <w:pPr>
        <w:jc w:val="both"/>
        <w:ind w:firstLine="656"/>
        <w:spacing w:after="0" w:line="261" w:lineRule="auto"/>
        <w:tabs>
          <w:tab w:leader="none" w:pos="10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98"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(6) under “—Events of Default,” at any time until 121 days after such deposit;</w:t>
      </w:r>
    </w:p>
    <w:p>
      <w:pPr>
        <w:spacing w:after="0" w:line="108" w:lineRule="exact"/>
        <w:rPr>
          <w:rFonts w:ascii="Times New Roman" w:cs="Times New Roman" w:eastAsia="Times New Roman" w:hAnsi="Times New Roman"/>
          <w:sz w:val="18"/>
          <w:szCs w:val="18"/>
          <w:color w:val="auto"/>
        </w:rPr>
      </w:pPr>
    </w:p>
    <w:p>
      <w:pPr>
        <w:ind w:firstLine="656"/>
        <w:spacing w:after="0" w:line="282" w:lineRule="auto"/>
        <w:tabs>
          <w:tab w:leader="none" w:pos="109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and legal defeasance will not result in a breach or violation of, or constitute a default under, any agreement or instrument to which we are a party or by which we are bound;</w:t>
      </w:r>
    </w:p>
    <w:p>
      <w:pPr>
        <w:spacing w:after="0" w:line="94"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subordinated debt securities, at the time of such deposit, no default in the payment of all or a portion of principal of (or premium, if any) or interest on any of our Senior Debt shall have occurred and be continuing, no event of default shall have resulted in the acceleration of any of our Senior Debt and no other event of default with respect to any of our Senior Debt shall have occurred and be continuing permitting after notice or the lapse of time, or both, the acceleration thereof; and</w:t>
      </w:r>
    </w:p>
    <w:p>
      <w:pPr>
        <w:spacing w:after="0" w:line="98" w:lineRule="exact"/>
        <w:rPr>
          <w:rFonts w:ascii="Times New Roman" w:cs="Times New Roman" w:eastAsia="Times New Roman" w:hAnsi="Times New Roman"/>
          <w:sz w:val="18"/>
          <w:szCs w:val="18"/>
          <w:color w:val="auto"/>
        </w:rPr>
      </w:pPr>
    </w:p>
    <w:p>
      <w:pPr>
        <w:ind w:firstLine="656"/>
        <w:spacing w:after="0" w:line="282" w:lineRule="auto"/>
        <w:tabs>
          <w:tab w:leader="none" w:pos="10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Opinion of Counsel to the effect that such deposit shall not cause the Trustee or the trust so created to be subject to the Investment Company Act of 1940 (Sections 1502 and 1504).</w:t>
      </w:r>
    </w:p>
    <w:p>
      <w:pPr>
        <w:spacing w:after="0" w:line="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The Indentures provide that, upon our exercise of our option (if any) to have Section 1503 applied to any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omit to comply with certain restrictive covenants (but not to conversion, if applicable), including those that may be described in the applicable prospectus supplement, the occurrence of certain Events of Default, which are described above in clause (5) (with respect to such restrictive covenants) and clause (6) (with respect only to Significant Subsidiaries) under “Events of Default” and any that may be described in the applicable prospectus supplement, will not be deemed to either be or result in an Event of Default and, if such debt securities are subordinated debt securities, the provisions of the Subordinated Indenture relating to subordination will cease to be effective, in each case with respect to such debt securities. In order to exercise such option, we must deposit, in trust for the benefit of the Holders of such debt securities, money or United States Government Obligations, or both, which, through the payment of principal and interest in respect thereof in accordance with their terms, will provide money in an amount sufficient to pay the principal of and any premium and interest on such debt securities on the respective Stated Maturities in accordance with the terms of the applicable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(4) and (5) above are satisfied. If we exercise this option with respect to any debt securities and such debt securities were declared due and payable because of the occurrence of any Event of Default, the amount of money and United States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exercise either our legal defeasance or covenant defeasance option, any Subsidiary Guarantees will terminate (Section 1304).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18" w:right="339" w:bottom="1440" w:gutter="0" w:footer="0" w:header="0"/>
        </w:sectPr>
      </w:pPr>
    </w:p>
    <w:bookmarkStart w:id="30" w:name="page31"/>
    <w:bookmarkEnd w:id="30"/>
    <w:p>
      <w:pPr>
        <w:ind w:left="18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Notices to Holders of debt securities will be given by mail to the addresses of such Holders as they may appear in the Security Register (Sections 101 and 106).</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the Subsidiary Guarantors, the Trustees and any agent of us, the Subsidiary Guarantors or a Trustee may treat the Person in whose name a</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debt security is registered as the absolute owner of the debt security (whether or not such debt security may be overdue) for the purpose of making payment and for all other purposes (Section 308).</w:t>
      </w:r>
    </w:p>
    <w:p>
      <w:pPr>
        <w:spacing w:after="0" w:line="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 of the State of New York (Section 112).</w:t>
      </w:r>
    </w:p>
    <w:p>
      <w:pPr>
        <w:spacing w:after="0" w:line="1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4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issue units comprised of common stock, preferred stock, warrants and other securities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12" w:lineRule="exact"/>
        <w:rPr>
          <w:sz w:val="20"/>
          <w:szCs w:val="20"/>
          <w:color w:val="auto"/>
        </w:rPr>
      </w:pPr>
    </w:p>
    <w:p>
      <w:pPr>
        <w:ind w:left="980" w:right="600" w:hanging="324"/>
        <w:spacing w:after="0" w:line="282" w:lineRule="auto"/>
        <w:tabs>
          <w:tab w:leader="none" w:pos="89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80"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5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5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U.S. federal income tax considerations relating to the units;</w:t>
      </w:r>
    </w:p>
    <w:p>
      <w:pPr>
        <w:spacing w:after="0" w:line="14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5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15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Common Stock", "Description of Preferred Stock," and "Description of Warrants" will apply to the securities included in each unit, to the extent relevant and as may be updated in any prospectus supplements.</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your series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16"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without Consent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44" w:lineRule="exact"/>
        <w:rPr>
          <w:sz w:val="20"/>
          <w:szCs w:val="20"/>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in any provisions of the governing unit agreement that differ from those described below;</w:t>
      </w:r>
    </w:p>
    <w:p>
      <w:pPr>
        <w:spacing w:after="0" w:line="15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5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5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with Consent</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81" w:lineRule="exact"/>
        <w:rPr>
          <w:sz w:val="20"/>
          <w:szCs w:val="20"/>
          <w:color w:val="auto"/>
        </w:rPr>
      </w:pPr>
    </w:p>
    <w:p>
      <w:pPr>
        <w:ind w:left="980" w:hanging="324"/>
        <w:spacing w:after="0" w:line="282" w:lineRule="auto"/>
        <w:tabs>
          <w:tab w:leader="none" w:pos="9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3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44" w:lineRule="exact"/>
        <w:rPr>
          <w:sz w:val="20"/>
          <w:szCs w:val="20"/>
          <w:color w:val="auto"/>
        </w:rPr>
      </w:pPr>
    </w:p>
    <w:p>
      <w:pPr>
        <w:ind w:left="980" w:hanging="324"/>
        <w:spacing w:after="0" w:line="282" w:lineRule="auto"/>
        <w:tabs>
          <w:tab w:leader="none" w:pos="9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94" w:lineRule="exact"/>
        <w:rPr>
          <w:rFonts w:ascii="Times New Roman" w:cs="Times New Roman" w:eastAsia="Times New Roman" w:hAnsi="Times New Roman"/>
          <w:sz w:val="18"/>
          <w:szCs w:val="18"/>
          <w:color w:val="auto"/>
        </w:rPr>
      </w:pPr>
    </w:p>
    <w:p>
      <w:pPr>
        <w:ind w:left="980" w:hanging="324"/>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9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Agreements Will Not Be Qualified under Trust Indenture Act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holders of units issued under unit agreements will not have the protections of the Trust Indenture Act with respect to their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1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Mergers and Similar Transactions Permitted; No Restrictive Covenants or Events of Default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including our interests in our subsidiaries, nor will they restrict our ability to sell our assets. The unit agreements also will not provide for any events of default or remedies upon the occurrence of any events of default.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 Exchange and Transfer</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158" w:lineRule="exact"/>
        <w:rPr>
          <w:sz w:val="20"/>
          <w:szCs w:val="20"/>
          <w:color w:val="auto"/>
        </w:rPr>
      </w:pPr>
    </w:p>
    <w:p>
      <w:pPr>
        <w:jc w:val="both"/>
        <w:ind w:left="1300" w:right="20" w:hanging="136"/>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94" w:lineRule="exact"/>
        <w:rPr>
          <w:sz w:val="20"/>
          <w:szCs w:val="20"/>
          <w:color w:val="auto"/>
        </w:rPr>
      </w:pPr>
    </w:p>
    <w:p>
      <w:pPr>
        <w:ind w:left="1300" w:hanging="97"/>
        <w:spacing w:after="0" w:line="282" w:lineRule="auto"/>
        <w:rPr>
          <w:sz w:val="20"/>
          <w:szCs w:val="20"/>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81" w:lineRule="exact"/>
        <w:rPr>
          <w:sz w:val="20"/>
          <w:szCs w:val="20"/>
          <w:color w:val="auto"/>
        </w:rPr>
      </w:pPr>
    </w:p>
    <w:p>
      <w:pPr>
        <w:jc w:val="both"/>
        <w:ind w:left="1300" w:hanging="134"/>
        <w:spacing w:after="0" w:line="261"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112" w:lineRule="exact"/>
        <w:rPr>
          <w:sz w:val="20"/>
          <w:szCs w:val="20"/>
          <w:color w:val="auto"/>
        </w:rPr>
      </w:pPr>
    </w:p>
    <w:p>
      <w:pPr>
        <w:jc w:val="both"/>
        <w:ind w:left="1300" w:hanging="136"/>
        <w:spacing w:after="0" w:line="256" w:lineRule="auto"/>
        <w:rPr>
          <w:sz w:val="20"/>
          <w:szCs w:val="20"/>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20" w:lineRule="exact"/>
        <w:rPr>
          <w:sz w:val="20"/>
          <w:szCs w:val="20"/>
          <w:color w:val="auto"/>
        </w:rPr>
      </w:pPr>
    </w:p>
    <w:p>
      <w:pPr>
        <w:ind w:right="1740" w:firstLine="648"/>
        <w:spacing w:after="0" w:line="414" w:lineRule="auto"/>
        <w:rPr>
          <w:sz w:val="20"/>
          <w:szCs w:val="20"/>
          <w:color w:val="auto"/>
        </w:rPr>
      </w:pPr>
      <w:r>
        <w:rPr>
          <w:rFonts w:ascii="Times New Roman" w:cs="Times New Roman" w:eastAsia="Times New Roman" w:hAnsi="Times New Roman"/>
          <w:sz w:val="18"/>
          <w:szCs w:val="18"/>
          <w:color w:val="auto"/>
        </w:rPr>
        <w:t xml:space="preserve">Only the depositary will be entitled to transfer or exchange a unit in global form, since it will be the sole holder of the unit. </w:t>
      </w:r>
      <w:r>
        <w:rPr>
          <w:rFonts w:ascii="Times New Roman" w:cs="Times New Roman" w:eastAsia="Times New Roman" w:hAnsi="Times New Roman"/>
          <w:sz w:val="18"/>
          <w:szCs w:val="18"/>
          <w:i w:val="1"/>
          <w:iCs w:val="1"/>
          <w:color w:val="auto"/>
        </w:rPr>
        <w:t>Payments and Notices</w:t>
      </w:r>
    </w:p>
    <w:p>
      <w:pPr>
        <w:spacing w:after="0" w:line="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18" w:right="339" w:bottom="1440" w:gutter="0" w:footer="0" w:header="0"/>
        </w:sectPr>
      </w:pPr>
    </w:p>
    <w:bookmarkStart w:id="33" w:name="page34"/>
    <w:bookmarkEnd w:id="33"/>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sell securities from time to time pursuant to underwritten public offering, negotiated transactions, block trades or a combination of these methods in the United States through underwriters or dealers, directly to purchasers or through agents or in ordinary brokerage transactions and transactions in which the broker-dealer solicits purchasers. The securities may be distributed from time to time in one or more transactions:</w:t>
      </w:r>
    </w:p>
    <w:p>
      <w:pPr>
        <w:spacing w:after="0" w:line="108" w:lineRule="exact"/>
        <w:rPr>
          <w:sz w:val="20"/>
          <w:szCs w:val="20"/>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 fixed price or prices, which may be changed;</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market prices prevailing at the time of sale;</w:t>
      </w:r>
    </w:p>
    <w:p>
      <w:pPr>
        <w:spacing w:after="0" w:line="14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prices related to such prevailing market prices; or</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negotiated prices.</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required by applicable law, a prospectus supplement will include the following information:</w:t>
      </w:r>
    </w:p>
    <w:p>
      <w:pPr>
        <w:spacing w:after="0" w:line="14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the offering;</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names of any underwriters or agents;</w:t>
      </w:r>
    </w:p>
    <w:p>
      <w:pPr>
        <w:spacing w:after="0" w:line="157"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91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the securities and, if the purchase price is not payable in U.S. dollars, the currency or composite currency in which the purchase price is payable;</w:t>
      </w:r>
    </w:p>
    <w:p>
      <w:pPr>
        <w:spacing w:after="0" w:line="80"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proceeds to us from the sale of the common stock;</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delayed delivery arrangements;</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44"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initial public offering price;</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57"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commissions paid to agents.</w:t>
      </w:r>
    </w:p>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w:t>
      </w:r>
    </w:p>
    <w:p>
      <w:pPr>
        <w:spacing w:after="0" w:line="11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34" w:name="page35"/>
    <w:bookmarkEnd w:id="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common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Inc., or FINRA, the maximum consideration or discount to be received by any FINRA member or independent broker dealer may not exceed 8% of the aggregate proceeds of the offering.</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securities will be passed upon for us by Baker, Donelson, Bearman, Caldwell &amp; Berkowitz, PC. Legal counsel to any underwriters may pass upon legal matters for such underwriters.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schedule of Cumberland Pharmaceuticals Inc. as of December 31, 2022 and 2021, and for each of the two years in the period ended December 31, 2022 incorporated by reference in this prospectus have been so incorporated in reliance on the reports of FORVIS, LLP (formerly BKD, LLP), an independent registered public accounting firm, incorporated herein by reference, given on the authority of said firm as expert in auditing and accounting.</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auto"/>
        </w:rPr>
        <w:t xml:space="preserve">). Our SEC filings are also available on our website located at </w:t>
      </w:r>
      <w:r>
        <w:rPr>
          <w:rFonts w:ascii="Times New Roman" w:cs="Times New Roman" w:eastAsia="Times New Roman" w:hAnsi="Times New Roman"/>
          <w:sz w:val="18"/>
          <w:szCs w:val="18"/>
          <w:i w:val="1"/>
          <w:iCs w:val="1"/>
          <w:color w:val="auto"/>
        </w:rPr>
        <w:t>www.cumberlandpharma.com</w:t>
      </w:r>
      <w:r>
        <w:rPr>
          <w:rFonts w:ascii="Times New Roman" w:cs="Times New Roman" w:eastAsia="Times New Roman" w:hAnsi="Times New Roman"/>
          <w:sz w:val="18"/>
          <w:szCs w:val="18"/>
          <w:color w:val="auto"/>
        </w:rPr>
        <w:t>. Information contained on our website is not incorporated by reference into this prospectus and, therefore, is not part of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972"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incorporating by reference in this prospectus the documents that we file with the SEC. This means that we are disclosing important information to you by referring to these filings. The information we incorporate by reference is considered a part of this prospectus, and subsequent information that we file with the SEC will automatically update and supersede this information.</w:t>
      </w:r>
    </w:p>
    <w:p>
      <w:pPr>
        <w:spacing w:after="0" w:line="9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other subsequently filed document that is considered to be incorporated by reference in this prospectus modifies or supersedes such statement.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incorporate by reference the following documents that we have filed with the SEC:</w:t>
      </w:r>
    </w:p>
    <w:p>
      <w:pPr>
        <w:spacing w:after="0" w:line="158" w:lineRule="exact"/>
        <w:rPr>
          <w:sz w:val="20"/>
          <w:szCs w:val="20"/>
          <w:color w:val="auto"/>
        </w:rPr>
      </w:pPr>
    </w:p>
    <w:p>
      <w:pPr>
        <w:ind w:left="1300" w:hanging="644"/>
        <w:spacing w:after="0" w:line="266" w:lineRule="auto"/>
        <w:tabs>
          <w:tab w:leader="none" w:pos="97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2022, filed on </w:t>
      </w:r>
      <w:hyperlink r:id="rId14">
        <w:r>
          <w:rPr>
            <w:rFonts w:ascii="Times New Roman" w:cs="Times New Roman" w:eastAsia="Times New Roman" w:hAnsi="Times New Roman"/>
            <w:sz w:val="18"/>
            <w:szCs w:val="18"/>
            <w:u w:val="single" w:color="auto"/>
            <w:color w:val="0000FF"/>
          </w:rPr>
          <w:t>March 13, 2023</w:t>
        </w:r>
      </w:hyperlink>
      <w:r>
        <w:rPr>
          <w:rFonts w:ascii="Times New Roman" w:cs="Times New Roman" w:eastAsia="Times New Roman" w:hAnsi="Times New Roman"/>
          <w:sz w:val="18"/>
          <w:szCs w:val="18"/>
          <w:color w:val="auto"/>
        </w:rPr>
        <w:t>, including information specifically incorporated by reference into our Form 10-K from our Proxy Statement for our Annual Meeting of Shareholders held on March 15, 2023;</w:t>
      </w:r>
    </w:p>
    <w:p>
      <w:pPr>
        <w:spacing w:after="0" w:line="94"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10-Q for the quarter ended March 31, 2023, filed on </w:t>
      </w:r>
      <w:hyperlink r:id="rId15">
        <w:r>
          <w:rPr>
            <w:rFonts w:ascii="Times New Roman" w:cs="Times New Roman" w:eastAsia="Times New Roman" w:hAnsi="Times New Roman"/>
            <w:sz w:val="18"/>
            <w:szCs w:val="18"/>
            <w:u w:val="single" w:color="auto"/>
            <w:color w:val="0000FF"/>
          </w:rPr>
          <w:t>May 12, 2023</w:t>
        </w:r>
      </w:hyperlink>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10-Q for the quarter ended June 30, 2023, filed on </w:t>
      </w:r>
      <w:hyperlink r:id="rId16">
        <w:r>
          <w:rPr>
            <w:rFonts w:ascii="Times New Roman" w:cs="Times New Roman" w:eastAsia="Times New Roman" w:hAnsi="Times New Roman"/>
            <w:sz w:val="18"/>
            <w:szCs w:val="18"/>
            <w:u w:val="single" w:color="auto"/>
            <w:color w:val="0000FF"/>
          </w:rPr>
          <w:t>August 11, 2023</w:t>
        </w:r>
      </w:hyperlink>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Form 10-Q for the quarter ended September 30, 2023, filed on </w:t>
      </w:r>
      <w:hyperlink r:id="rId17">
        <w:r>
          <w:rPr>
            <w:rFonts w:ascii="Times New Roman" w:cs="Times New Roman" w:eastAsia="Times New Roman" w:hAnsi="Times New Roman"/>
            <w:sz w:val="18"/>
            <w:szCs w:val="18"/>
            <w:u w:val="single" w:color="auto"/>
            <w:color w:val="0000FF"/>
          </w:rPr>
          <w:t>November 13, 2023</w:t>
        </w:r>
      </w:hyperlink>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ind w:left="1300" w:hanging="644"/>
        <w:spacing w:after="0" w:line="266" w:lineRule="auto"/>
        <w:tabs>
          <w:tab w:leader="none" w:pos="931" w:val="left"/>
        </w:tabs>
        <w:numPr>
          <w:ilvl w:val="0"/>
          <w:numId w:val="30"/>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Current </w:t>
      </w:r>
      <w:hyperlink r:id="rId18">
        <w:r>
          <w:rPr>
            <w:rFonts w:ascii="Times New Roman" w:cs="Times New Roman" w:eastAsia="Times New Roman" w:hAnsi="Times New Roman"/>
            <w:sz w:val="18"/>
            <w:szCs w:val="18"/>
            <w:color w:val="auto"/>
          </w:rPr>
          <w:t xml:space="preserve">Report on Form 8-K and 8-K/A filed with the SEC on </w:t>
        </w:r>
        <w:r>
          <w:rPr>
            <w:rFonts w:ascii="Times New Roman" w:cs="Times New Roman" w:eastAsia="Times New Roman" w:hAnsi="Times New Roman"/>
            <w:sz w:val="18"/>
            <w:szCs w:val="18"/>
            <w:u w:val="single" w:color="auto"/>
            <w:color w:val="0000FF"/>
          </w:rPr>
          <w:t>January 17,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March 15,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April 4,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April 17,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April 28,</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FF"/>
          </w:rPr>
          <w:t>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19">
        <w:r>
          <w:rPr>
            <w:rFonts w:ascii="Times New Roman" w:cs="Times New Roman" w:eastAsia="Times New Roman" w:hAnsi="Times New Roman"/>
            <w:sz w:val="18"/>
            <w:szCs w:val="18"/>
            <w:u w:val="single" w:color="auto"/>
            <w:color w:val="0000FF"/>
          </w:rPr>
          <w:t>May 16, 2023</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0">
        <w:r>
          <w:rPr>
            <w:rFonts w:ascii="Times New Roman" w:cs="Times New Roman" w:eastAsia="Times New Roman" w:hAnsi="Times New Roman"/>
            <w:sz w:val="18"/>
            <w:szCs w:val="18"/>
            <w:u w:val="single" w:color="auto"/>
            <w:color w:val="0000FF"/>
          </w:rPr>
          <w:t>May 24, 2023</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1">
        <w:r>
          <w:rPr>
            <w:rFonts w:ascii="Times New Roman" w:cs="Times New Roman" w:eastAsia="Times New Roman" w:hAnsi="Times New Roman"/>
            <w:sz w:val="18"/>
            <w:szCs w:val="18"/>
            <w:u w:val="single" w:color="auto"/>
            <w:color w:val="0000FF"/>
          </w:rPr>
          <w:t>June 2, 2023</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2">
        <w:r>
          <w:rPr>
            <w:rFonts w:ascii="Times New Roman" w:cs="Times New Roman" w:eastAsia="Times New Roman" w:hAnsi="Times New Roman"/>
            <w:sz w:val="18"/>
            <w:szCs w:val="18"/>
            <w:u w:val="single" w:color="auto"/>
            <w:color w:val="0000FF"/>
          </w:rPr>
          <w:t>June 7, 2023</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3">
        <w:r>
          <w:rPr>
            <w:rFonts w:ascii="Times New Roman" w:cs="Times New Roman" w:eastAsia="Times New Roman" w:hAnsi="Times New Roman"/>
            <w:sz w:val="18"/>
            <w:szCs w:val="18"/>
            <w:u w:val="single" w:color="auto"/>
            <w:color w:val="0000FF"/>
          </w:rPr>
          <w:t>June 22, 2023</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4">
        <w:r>
          <w:rPr>
            <w:rFonts w:ascii="Times New Roman" w:cs="Times New Roman" w:eastAsia="Times New Roman" w:hAnsi="Times New Roman"/>
            <w:sz w:val="18"/>
            <w:szCs w:val="18"/>
            <w:u w:val="single" w:color="auto"/>
            <w:color w:val="0000FF"/>
          </w:rPr>
          <w:t>June 30, 2023</w:t>
        </w:r>
      </w:hyperlink>
      <w:hyperlink r:id="rId1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25">
        <w:r>
          <w:rPr>
            <w:rFonts w:ascii="Times New Roman" w:cs="Times New Roman" w:eastAsia="Times New Roman" w:hAnsi="Times New Roman"/>
            <w:sz w:val="18"/>
            <w:szCs w:val="18"/>
            <w:u w:val="single" w:color="auto"/>
            <w:color w:val="0000FF"/>
          </w:rPr>
          <w:t>September 6, 2023</w:t>
        </w:r>
      </w:hyperlink>
      <w:hyperlink r:id="rId1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FF"/>
          </w:rPr>
          <w:t xml:space="preserve"> </w:t>
        </w:r>
      </w:hyperlink>
      <w:hyperlink r:id="rId26">
        <w:r>
          <w:rPr>
            <w:rFonts w:ascii="Times New Roman" w:cs="Times New Roman" w:eastAsia="Times New Roman" w:hAnsi="Times New Roman"/>
            <w:sz w:val="18"/>
            <w:szCs w:val="18"/>
            <w:u w:val="single" w:color="auto"/>
            <w:color w:val="0000FF"/>
          </w:rPr>
          <w:t>October 13, 2023</w:t>
        </w:r>
      </w:hyperlink>
      <w:hyperlink r:id="rId18">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08" w:lineRule="exact"/>
        <w:rPr>
          <w:rFonts w:ascii="Times New Roman" w:cs="Times New Roman" w:eastAsia="Times New Roman" w:hAnsi="Times New Roman"/>
          <w:sz w:val="18"/>
          <w:szCs w:val="18"/>
          <w:color w:val="0000FF"/>
        </w:rPr>
      </w:pPr>
    </w:p>
    <w:p>
      <w:pPr>
        <w:jc w:val="center"/>
        <w:ind w:left="1300" w:right="20" w:hanging="644"/>
        <w:spacing w:after="0" w:line="282" w:lineRule="auto"/>
        <w:tabs>
          <w:tab w:leader="none" w:pos="8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its registration statement on </w:t>
      </w:r>
      <w:hyperlink r:id="rId1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August 1, 2007, as amended on Form 8-A/A filed on </w:t>
      </w:r>
      <w:hyperlink r:id="rId13">
        <w:r>
          <w:rPr>
            <w:rFonts w:ascii="Times New Roman" w:cs="Times New Roman" w:eastAsia="Times New Roman" w:hAnsi="Times New Roman"/>
            <w:sz w:val="18"/>
            <w:szCs w:val="18"/>
            <w:u w:val="single" w:color="auto"/>
            <w:color w:val="0000FF"/>
          </w:rPr>
          <w:t>August 2, 2007</w:t>
        </w:r>
      </w:hyperlink>
      <w:r>
        <w:rPr>
          <w:rFonts w:ascii="Times New Roman" w:cs="Times New Roman" w:eastAsia="Times New Roman" w:hAnsi="Times New Roman"/>
          <w:sz w:val="18"/>
          <w:szCs w:val="18"/>
          <w:color w:val="auto"/>
        </w:rPr>
        <w:t>, and any amendment or report subsequently filed for the purpose of updating such description.</w:t>
      </w:r>
    </w:p>
    <w:p>
      <w:pPr>
        <w:spacing w:after="0" w:line="94" w:lineRule="exact"/>
        <w:rPr>
          <w:rFonts w:ascii="Times New Roman" w:cs="Times New Roman" w:eastAsia="Times New Roman" w:hAnsi="Times New Roman"/>
          <w:sz w:val="18"/>
          <w:szCs w:val="18"/>
          <w:b w:val="1"/>
          <w:bCs w:val="1"/>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incorporate by reference into this prospectus (i) all other reports filed pursuant to Section 13(a) or 15(d) of the Exchange Act since December 31, 2023, except for information furnished under Form 8-K which is not deemed filed and not incorporated herein by reference, (ii) all documents filed by us pursuant to Section 13(a), 13(c), 14 or 15(d) of the Exchange Act subsequent to the date of this prospectus and before we have sold all of the common stock to which the prospectus relates or the offering is otherwise terminated and (iii) all documents filed by us pursuant to the Exchange Act after the date of the initial registration statement and prior to effectiveness of the registration statement.</w:t>
      </w:r>
    </w:p>
    <w:p>
      <w:pPr>
        <w:spacing w:after="0" w:line="102" w:lineRule="exact"/>
        <w:rPr>
          <w:rFonts w:ascii="Times New Roman" w:cs="Times New Roman" w:eastAsia="Times New Roman" w:hAnsi="Times New Roman"/>
          <w:sz w:val="18"/>
          <w:szCs w:val="18"/>
          <w:b w:val="1"/>
          <w:bCs w:val="1"/>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or oral request, a copy of any or all of the information that has been incorporated in this prospectus by reference but not delivered with this prospectus. Requests for copies should be directed to Cumberland Pharmaceuticals Inc., ATTN: Investor Relations, 1600 West End Avenue, Suite 1300, Nashville, Tennessee 37203, telephone (615) 255-0068.</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10" w:lineRule="exact"/>
        <w:rPr>
          <w:rFonts w:ascii="Times New Roman" w:cs="Times New Roman" w:eastAsia="Times New Roman" w:hAnsi="Times New Roman"/>
          <w:sz w:val="18"/>
          <w:szCs w:val="18"/>
          <w:b w:val="1"/>
          <w:bCs w:val="1"/>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16"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$5,800,000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019"/>
          </w:cols>
          <w:pgMar w:left="1440" w:top="1440" w:right="1440"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March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5"/>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4"/>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decimal"/>
      <w:start w:val="2"/>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s://www.sec.gov/ix?doc=/Archives/edgar/data/1087294/000162828024010725/cpix-20231231.htm" TargetMode="External"/><Relationship Id="rId11" Type="http://schemas.openxmlformats.org/officeDocument/2006/relationships/hyperlink" Target="https://www.sec.gov/Archives/edgar/data/1087294/000162828024010960/0001628280-24-010960-index.htm" TargetMode="External"/><Relationship Id="rId12" Type="http://schemas.openxmlformats.org/officeDocument/2006/relationships/hyperlink" Target="https://www.sec.gov/Archives/edgar/data/1087294/000095014407007080/g06286abe8va12b.htm" TargetMode="External"/><Relationship Id="rId13" Type="http://schemas.openxmlformats.org/officeDocument/2006/relationships/hyperlink" Target="https://www.sec.gov/Archives/edgar/data/1087294/000095014407007143/g06286r8e8va12bza.htm" TargetMode="External"/><Relationship Id="rId14" Type="http://schemas.openxmlformats.org/officeDocument/2006/relationships/hyperlink" Target="https://www.sec.gov/ix?doc=/Archives/edgar/data/1087294/000162828023007727/cpix-20221231.htm" TargetMode="External"/><Relationship Id="rId15" Type="http://schemas.openxmlformats.org/officeDocument/2006/relationships/hyperlink" Target="https://www.sec.gov/ix?doc=/Archives/edgar/data/1087294/000162828023017951/cpix-20230331.htm" TargetMode="External"/><Relationship Id="rId16" Type="http://schemas.openxmlformats.org/officeDocument/2006/relationships/hyperlink" Target="https://www.sec.gov/ix?doc=/Archives/edgar/data/1087294/000162828023029112/cpix-20230630.htm" TargetMode="External"/><Relationship Id="rId17" Type="http://schemas.openxmlformats.org/officeDocument/2006/relationships/hyperlink" Target="https://www.sec.gov/ix?doc=/Archives/edgar/data/1087294/000162828023038418/cpix-20230930.htm" TargetMode="External"/><Relationship Id="rId18" Type="http://schemas.openxmlformats.org/officeDocument/2006/relationships/hyperlink" Target="https://www.sec.gov/ix?doc=/Archives/edgar/data/1087294/000162828023014265/cpix-20230425.htm" TargetMode="External"/><Relationship Id="rId19" Type="http://schemas.openxmlformats.org/officeDocument/2006/relationships/hyperlink" Target="https://www.sec.gov/ix?doc=/Archives/edgar/data/1087294/000162828023018467/cpix-20230516.htm" TargetMode="External"/><Relationship Id="rId20" Type="http://schemas.openxmlformats.org/officeDocument/2006/relationships/hyperlink" Target="https://www.sec.gov/ix?doc=/Archives/edgar/data/1087294/000162828023019604/cpix-20230524.htm" TargetMode="External"/><Relationship Id="rId21" Type="http://schemas.openxmlformats.org/officeDocument/2006/relationships/hyperlink" Target="https://www.sec.gov/ix?doc=/Archives/edgar/data/1087294/000162828023020697/cpix-20230530.htm" TargetMode="External"/><Relationship Id="rId22" Type="http://schemas.openxmlformats.org/officeDocument/2006/relationships/hyperlink" Target="https://www.sec.gov/ix?doc=/Archives/edgar/data/1087294/000162828023021318/cpix-20230602.htm" TargetMode="External"/><Relationship Id="rId23" Type="http://schemas.openxmlformats.org/officeDocument/2006/relationships/hyperlink" Target="https://www.sec.gov/ix?doc=/Archives/edgar/data/1087294/000162828023022935/cpix-20230616.htm" TargetMode="External"/><Relationship Id="rId24" Type="http://schemas.openxmlformats.org/officeDocument/2006/relationships/hyperlink" Target="https://www.sec.gov/ix?doc=/Archives/edgar/data/1087294/000162828023024065/cpix-20230626.htm" TargetMode="External"/><Relationship Id="rId25" Type="http://schemas.openxmlformats.org/officeDocument/2006/relationships/hyperlink" Target="https://www.sec.gov/ix?doc=/Archives/edgar/data/1087294/000162828023031458/cpix-20230905.htm" TargetMode="External"/><Relationship Id="rId26" Type="http://schemas.openxmlformats.org/officeDocument/2006/relationships/hyperlink" Target="https://www.sec.gov/ix?doc=/Archives/edgar/data/1087294/000162828023034316/cpix-2023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2024-03-20T16:29:26Z</dcterms:created>
  <dcterms:modified xsi:type="dcterms:W3CDTF">2024-03-20T16:29:26Z</dcterms:modified>
</cp:coreProperties>
</file>