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August 11, 2020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0"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August 11, 2020, Cumberland Pharmaceuticals Inc. (the "Company") issued a press release which provided a company update and the financial results for the three and six months ended June 30, 2020.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8"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4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513"/>
        </w:trPr>
        <w:tc>
          <w:tcPr>
            <w:tcW w:w="172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1120" w:type="dxa"/>
            <w:vAlign w:val="bottom"/>
          </w:tcPr>
          <w:p>
            <w:pPr>
              <w:spacing w:after="0"/>
              <w:rPr>
                <w:sz w:val="24"/>
                <w:szCs w:val="24"/>
                <w:color w:val="auto"/>
              </w:rPr>
            </w:pPr>
          </w:p>
        </w:tc>
        <w:tc>
          <w:tcPr>
            <w:tcW w:w="576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11, 2020</w:t>
              </w:r>
            </w:hyperlink>
          </w:p>
        </w:tc>
      </w:tr>
    </w:tbl>
    <w:p>
      <w:pPr>
        <w:sectPr>
          <w:pgSz w:w="11900" w:h="16838" w:orient="portrait"/>
          <w:cols w:equalWidth="0" w:num="1">
            <w:col w:w="11240"/>
          </w:cols>
          <w:pgMar w:left="320" w:top="75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August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174"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500380</wp:posOffset>
            </wp:positionV>
            <wp:extent cx="349758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REPORTS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2020 FINANCIAL RESULTS &amp; COMPANY UPDATE</w:t>
      </w:r>
    </w:p>
    <w:p>
      <w:pPr>
        <w:spacing w:after="0" w:line="200" w:lineRule="exact"/>
        <w:rPr>
          <w:sz w:val="20"/>
          <w:szCs w:val="20"/>
          <w:color w:val="auto"/>
        </w:rPr>
      </w:pP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NASHVILLE, TN (Tuesday, August 11, 2020) - Cumberland Pharmaceuticals Inc. (NASDAQ: CPIX)</w:t>
      </w:r>
      <w:r>
        <w:rPr>
          <w:rFonts w:ascii="Arial" w:cs="Arial" w:eastAsia="Arial" w:hAnsi="Arial"/>
          <w:sz w:val="21"/>
          <w:szCs w:val="21"/>
          <w:color w:val="auto"/>
        </w:rPr>
        <w:t>, a specialty</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 company focused on hospital acute care and gastroenterology today provided a company update and announced second quarter 2020 financial results. Net revenues from continuing operations during the quarter were $9.6 million. Combined revenues from continued and discontinued operations were $10.3 million, as the company recorded an additional $750,000 in revenue in the second quarter associated with divested product rights.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Company's financial position included $98 million in total assets, $49 million of total liabilities, and over $48 million of shareholders’ equity at the end of the quarter.</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"As the world continues to adapt to a new way of life during the pandemic, we are working hard to manage our business, secure our supply chain and ensure the ongoing delivery of our products to support patient care during these unprecedented times," said A.J. Kazimi, Chief Executive Officer of Cumberland Pharmaceuticals. "Our facilities have remained open, and we have continued to operate our business, while working to maintain compliance with the many laws and regulations we fall under as a publicly traded, pharmaceutical company. We continue to make progress toward our goal of building a specialty pharmaceutical business that delivers sustained growth, profitable operations, and long-term value."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Acute Care Product Supply Arrangements</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auto"/>
        </w:rPr>
        <w:t>During the second quarter, Cumberland implemented three national initiatives to help medical facilities treat patients with conditions associated with COVID-19 infections including high fevers, electrolyte imbalances and pneumonia. These initiatives included the availability of special supply and financial arrangements for the three acute care brands - Caldolor</w:t>
      </w:r>
      <w:r>
        <w:rPr>
          <w:rFonts w:ascii="Arial" w:cs="Arial" w:eastAsia="Arial" w:hAnsi="Arial"/>
          <w:sz w:val="28"/>
          <w:szCs w:val="28"/>
          <w:color w:val="auto"/>
          <w:vertAlign w:val="superscript"/>
        </w:rPr>
        <w:t>®</w:t>
      </w:r>
      <w:r>
        <w:rPr>
          <w:rFonts w:ascii="Arial" w:cs="Arial" w:eastAsia="Arial" w:hAnsi="Arial"/>
          <w:sz w:val="22"/>
          <w:szCs w:val="22"/>
          <w:color w:val="auto"/>
        </w:rPr>
        <w:t>, Vaprisol</w:t>
      </w:r>
      <w:r>
        <w:rPr>
          <w:rFonts w:ascii="Arial" w:cs="Arial" w:eastAsia="Arial" w:hAnsi="Arial"/>
          <w:sz w:val="28"/>
          <w:szCs w:val="28"/>
          <w:color w:val="auto"/>
          <w:vertAlign w:val="superscript"/>
        </w:rPr>
        <w:t>®</w:t>
      </w:r>
      <w:r>
        <w:rPr>
          <w:rFonts w:ascii="Arial" w:cs="Arial" w:eastAsia="Arial" w:hAnsi="Arial"/>
          <w:sz w:val="22"/>
          <w:szCs w:val="22"/>
          <w:color w:val="auto"/>
        </w:rPr>
        <w:t>, and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during this healthcare emergency.</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the Company also sponsored a national program with infectious disease experts to provide information on the management of complicated respiratory infections resulting from COVID-19.</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 Clinical Manuscripts</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During the second quarter, the Company announced a new study published in </w:t>
      </w:r>
      <w:r>
        <w:rPr>
          <w:rFonts w:ascii="Arial" w:cs="Arial" w:eastAsia="Arial" w:hAnsi="Arial"/>
          <w:sz w:val="22"/>
          <w:szCs w:val="22"/>
          <w:i w:val="1"/>
          <w:iCs w:val="1"/>
          <w:color w:val="auto"/>
        </w:rPr>
        <w:t>Drugs - Real World Outcomes</w:t>
      </w:r>
      <w:r>
        <w:rPr>
          <w:rFonts w:ascii="Arial" w:cs="Arial" w:eastAsia="Arial" w:hAnsi="Arial"/>
          <w:sz w:val="22"/>
          <w:szCs w:val="22"/>
          <w:color w:val="auto"/>
        </w:rPr>
        <w:t>, detailing the positive clinical outcomes that resulted from treating patients with bacteremia or endocarditis with Vibativ. This publication is a sub analysis of the Telavancin Observational Use Registry (TOUR</w:t>
      </w:r>
      <w:r>
        <w:rPr>
          <w:rFonts w:ascii="Arial" w:cs="Arial" w:eastAsia="Arial" w:hAnsi="Arial"/>
          <w:sz w:val="28"/>
          <w:szCs w:val="28"/>
          <w:color w:val="auto"/>
          <w:vertAlign w:val="superscript"/>
        </w:rPr>
        <w:t>TM</w:t>
      </w:r>
      <w:r>
        <w:rPr>
          <w:rFonts w:ascii="Arial" w:cs="Arial" w:eastAsia="Arial" w:hAnsi="Arial"/>
          <w:sz w:val="22"/>
          <w:szCs w:val="22"/>
          <w:color w:val="auto"/>
        </w:rPr>
        <w:t>), a study conducted to record population characteristics, prescription information, and real-world clinical outcomes of patients with Gram-positive infections treated with Vibativ. The analysis suggests Vibativ is a promising and viable option for patients with bacteremia or endocarditis, including those with MRSA or another S. aureus pathogen.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7" w:lineRule="auto"/>
        <w:rPr>
          <w:sz w:val="20"/>
          <w:szCs w:val="20"/>
          <w:color w:val="auto"/>
        </w:rPr>
      </w:pPr>
      <w:r>
        <w:rPr>
          <w:rFonts w:ascii="Arial" w:cs="Arial" w:eastAsia="Arial" w:hAnsi="Arial"/>
          <w:sz w:val="19"/>
          <w:szCs w:val="19"/>
          <w:color w:val="auto"/>
        </w:rPr>
        <w:t>Additionally, Cumberland announced the publication of two studies confirming the continued in vitro potency of telavancin. Both publications were part of continued surveillance of telavancin activity since 2011. The first publication tested a global collection of 24,408 Gram-positive clinical isolates, and the second publication tested a U.S. collection of 15,882 S. aureus isolates. Both studies documented the sustained in vitro antimicrobial activity and spectrum of telavancin-many years after its clinical approval-against Gram-positive clinical isolates collected worldwide over 7 years, from 2011 through 2017.</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 Activities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April 2020, Cumberland released its inaugural Sustainability Report. This report describes the Company’s activities pertaining to Environmental, Social and Governance matters, otherwise known as corporate sustainability. It includes details about Cumberland’s community involvement, ethical marketing, and drug safety.</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report notes that, during 2019, Cumberland provided nearly 4 million patient doses of products, safely disposed of over 9,700 pounds of expired and damaged products and had no product recalls. The Company also had no product listings on the FDA’s Safety Alerts Database and no products identified in the FDA Adverse Event Reporting System during 2019.</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Cumberland's board appointed Caroline R. Young, former president of the Nashville Health Care Council, as the company’s first ESG board director.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Paycheck Protection Program</w:t>
      </w:r>
    </w:p>
    <w:p>
      <w:pPr>
        <w:spacing w:after="0" w:line="25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At the beginning of the second quarter, Cumberland received the funding of a loan from Pinnacle Bank pursuant to the Paycheck Protection Program (the “PPP”) under the Federal Coronavirus Aid, Relief, and Economic Security Act ("CARES Act").</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Cumberland applied for this loan after carefully considering the eligibility criteria to participate in this program and determining that the Company met these criteria. Under the terms of the PPP, certain amounts of the loan may be forgiven if they are used for qualifying expenses as described in the CARES Act. The Company intends to use the loan amount for such qualifying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Cumberland has not laid off or furloughed any employees as a result of the COVID-19 pandemic and, due to assistance from the</w:t>
      </w:r>
    </w:p>
    <w:p>
      <w:pPr>
        <w:spacing w:after="0" w:line="56" w:lineRule="exact"/>
        <w:rPr>
          <w:sz w:val="20"/>
          <w:szCs w:val="20"/>
          <w:color w:val="auto"/>
        </w:rPr>
      </w:pPr>
    </w:p>
    <w:p>
      <w:pPr>
        <w:ind w:firstLine="8"/>
        <w:spacing w:after="0" w:line="323" w:lineRule="auto"/>
        <w:tabs>
          <w:tab w:leader="none" w:pos="420" w:val="left"/>
        </w:tabs>
        <w:numPr>
          <w:ilvl w:val="0"/>
          <w:numId w:val="2"/>
        </w:numPr>
        <w:rPr>
          <w:rFonts w:ascii="Arial" w:cs="Arial" w:eastAsia="Arial" w:hAnsi="Arial"/>
          <w:sz w:val="19"/>
          <w:szCs w:val="19"/>
          <w:color w:val="auto"/>
        </w:rPr>
      </w:pPr>
      <w:r>
        <w:rPr>
          <w:rFonts w:ascii="Arial" w:cs="Arial" w:eastAsia="Arial" w:hAnsi="Arial"/>
          <w:sz w:val="19"/>
          <w:szCs w:val="19"/>
          <w:color w:val="auto"/>
        </w:rPr>
        <w:t>loan, the Company does not foresee doing so. Cumberland will continue to monitor and evaluate changes to this program as they emerge and will take appropriate action, if necessary.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Ifetroban Phase II Clinical Programs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Enrollment in Cumberland's clinical studies declined during the second quarter due to the COVID-19 pandemic. While enrollment of new patients is currently limited, the Company is working to ensure that patients already entered into a trial continue to receive their study drug.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Cumberland has completed a pilot Phase II study involving ifetroban in patients suffering from aspirin-exacerbated respiratory disease, a severe form of asthma. A follow-up Phase II study is currently underway for this asthma indication.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is also currently evaluating ifetroban in two pilot Phase II studies in 1) patients with systemic sclerosis or scleroderma, a debilitating autoimmune disorder characterized by diffuse fibrosis of the skin and</w:t>
      </w:r>
    </w:p>
    <w:p>
      <w:pPr>
        <w:sectPr>
          <w:pgSz w:w="11900" w:h="16838" w:orient="portrait"/>
          <w:cols w:equalWidth="0" w:num="1">
            <w:col w:w="11240"/>
          </w:cols>
          <w:pgMar w:left="320" w:top="672"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22"/>
          <w:szCs w:val="22"/>
          <w:color w:val="auto"/>
        </w:rPr>
        <w:t>internal organs and 2) patients with cardiomyopathy associated with Duchenne Muscular Dystrophy. This rare, fatal, genetic neuromuscular disease results in deterioration of the skeletal, heart and lung muscles.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is awaiting further study results before deciding on the best path for approval for ifetroban, its first new chemical entity.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34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Net Revenues: </w:t>
      </w:r>
      <w:r>
        <w:rPr>
          <w:rFonts w:ascii="Arial" w:cs="Arial" w:eastAsia="Arial" w:hAnsi="Arial"/>
          <w:sz w:val="19"/>
          <w:szCs w:val="19"/>
          <w:color w:val="auto"/>
        </w:rPr>
        <w:t>For the three months ended June 30, 2020, net revenues from ongoing operations were $9.6 million, compared to</w:t>
      </w:r>
      <w:r>
        <w:rPr>
          <w:rFonts w:ascii="Arial" w:cs="Arial" w:eastAsia="Arial" w:hAnsi="Arial"/>
          <w:sz w:val="19"/>
          <w:szCs w:val="19"/>
          <w:b w:val="1"/>
          <w:bCs w:val="1"/>
          <w:color w:val="auto"/>
        </w:rPr>
        <w:t xml:space="preserve"> </w:t>
      </w:r>
      <w:r>
        <w:rPr>
          <w:rFonts w:ascii="Arial" w:cs="Arial" w:eastAsia="Arial" w:hAnsi="Arial"/>
          <w:sz w:val="19"/>
          <w:szCs w:val="19"/>
          <w:color w:val="auto"/>
        </w:rPr>
        <w:t>$9.4 million for the prior year period. Combined revenues from continued and discontinued operations during the quarter were $10.3 million as another $750,000 in revenue was recorded associated with product rights that have been divested.</w:t>
      </w:r>
    </w:p>
    <w:p>
      <w:pPr>
        <w:spacing w:after="0" w:line="174"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Net revenue by product for the three months ended June 30, 2020, included $3.5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$3.3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$1.2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$0.6 million for Acetadote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(including the brand and Company's Authorized Generic), $0.2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 and $0.01 million for Omeclamox</w:t>
      </w:r>
      <w:r>
        <w:rPr>
          <w:rFonts w:ascii="Arial" w:cs="Arial" w:eastAsia="Arial" w:hAnsi="Arial"/>
          <w:sz w:val="28"/>
          <w:szCs w:val="28"/>
          <w:color w:val="auto"/>
          <w:vertAlign w:val="superscript"/>
        </w:rPr>
        <w:t>®</w:t>
      </w:r>
      <w:r>
        <w:rPr>
          <w:rFonts w:ascii="Arial" w:cs="Arial" w:eastAsia="Arial" w:hAnsi="Arial"/>
          <w:sz w:val="22"/>
          <w:szCs w:val="22"/>
          <w:color w:val="auto"/>
        </w:rPr>
        <w:t>-Pak.</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June 30, 2020 were $11.2 million, compared to $10.8</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during the prior year period.</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income (loss) for the second quarter 2020 was $(0.9) million or $(0.06) a share, compared to $(0.5)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$(0.04) a share for the prior year period.</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Adjusted Earnings for the second quarter were $1.2 million or $0.08 per diluted share, compared to $0.8 million or $0.05 per diluted share for the prior year period. The definition and reconciliation of Adjusted Earnings to net income is provided in this release.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June 30, 2020, Cumberland had $97.5 million in total assets including $27.4 million in cash and marketable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Total liabilities were $49.1 million, including $17.0 million outstanding on the Company's revolving line of credit, resulting in total shareholder's equity of $48.5 million.</w:t>
      </w:r>
    </w:p>
    <w:p>
      <w:pPr>
        <w:sectPr>
          <w:pgSz w:w="11900" w:h="16838" w:orient="portrait"/>
          <w:cols w:equalWidth="0" w:num="1">
            <w:col w:w="11240"/>
          </w:cols>
          <w:pgMar w:left="320" w:top="6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and Webcast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A conference call and live Internet webcast will be held on Tuesday, August 11,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2247089. The live webcast and rebroadcast can be accessed via Cumberland’s website at </w:t>
      </w:r>
      <w:r>
        <w:rPr>
          <w:rFonts w:ascii="Arial" w:cs="Arial" w:eastAsia="Arial" w:hAnsi="Arial"/>
          <w:sz w:val="21"/>
          <w:szCs w:val="21"/>
          <w:u w:val="single" w:color="auto"/>
          <w:color w:val="0000FF"/>
        </w:rPr>
        <w:t>http://investor.shareholder.com/cpix/events.cfm</w:t>
      </w:r>
      <w:r>
        <w:rPr>
          <w:rFonts w:ascii="Arial" w:cs="Arial" w:eastAsia="Arial" w:hAnsi="Arial"/>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Pharmaceuticals Inc. is a specialty pharmaceutical company focused on the delivery of high quality prescription brands to improve patient care. The Company develops, acquires and commercializes brands for the hospital acute care, gastroenterology and oncology market segments. These medical specialties are categorized by moderately concentrated prescriber bases that the Company believes can be penetrated effectively by targeted sales forces. The Company’s portfolio of FDA-approved brands includes:</w:t>
      </w:r>
    </w:p>
    <w:p>
      <w:pPr>
        <w:spacing w:after="0" w:line="177" w:lineRule="exact"/>
        <w:rPr>
          <w:sz w:val="20"/>
          <w:szCs w:val="20"/>
          <w:color w:val="auto"/>
        </w:rPr>
      </w:pPr>
    </w:p>
    <w:p>
      <w:pPr>
        <w:ind w:left="580" w:hanging="329"/>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150" w:lineRule="exact"/>
        <w:rPr>
          <w:rFonts w:ascii="Arial" w:cs="Arial" w:eastAsia="Arial" w:hAnsi="Arial"/>
          <w:sz w:val="18"/>
          <w:szCs w:val="18"/>
          <w:color w:val="auto"/>
        </w:rPr>
      </w:pPr>
    </w:p>
    <w:p>
      <w:pPr>
        <w:ind w:left="580" w:hanging="329"/>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150" w:lineRule="exact"/>
        <w:rPr>
          <w:rFonts w:ascii="Arial" w:cs="Arial" w:eastAsia="Arial" w:hAnsi="Arial"/>
          <w:sz w:val="18"/>
          <w:szCs w:val="18"/>
          <w:color w:val="auto"/>
        </w:rPr>
      </w:pPr>
    </w:p>
    <w:p>
      <w:pPr>
        <w:ind w:left="580" w:hanging="329"/>
        <w:spacing w:after="0"/>
        <w:tabs>
          <w:tab w:leader="none" w:pos="580" w:val="left"/>
        </w:tabs>
        <w:numPr>
          <w:ilvl w:val="1"/>
          <w:numId w:val="3"/>
        </w:numPr>
        <w:rPr>
          <w:rFonts w:ascii="Arial" w:cs="Arial" w:eastAsia="Arial" w:hAnsi="Arial"/>
          <w:sz w:val="17"/>
          <w:szCs w:val="17"/>
          <w:color w:val="auto"/>
        </w:rPr>
      </w:pPr>
      <w:r>
        <w:rPr>
          <w:rFonts w:ascii="Arial" w:cs="Arial" w:eastAsia="Arial" w:hAnsi="Arial"/>
          <w:sz w:val="20"/>
          <w:szCs w:val="20"/>
          <w:b w:val="1"/>
          <w:bCs w:val="1"/>
          <w:color w:val="auto"/>
        </w:rPr>
        <w:t>Kristalose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pacing w:after="0" w:line="173" w:lineRule="exact"/>
        <w:rPr>
          <w:rFonts w:ascii="Arial" w:cs="Arial" w:eastAsia="Arial" w:hAnsi="Arial"/>
          <w:sz w:val="17"/>
          <w:szCs w:val="17"/>
          <w:color w:val="auto"/>
        </w:rPr>
      </w:pPr>
    </w:p>
    <w:p>
      <w:pPr>
        <w:ind w:left="580" w:hanging="329"/>
        <w:spacing w:after="0" w:line="227"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 infection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related duodenal ulcer disease;</w:t>
      </w:r>
    </w:p>
    <w:p>
      <w:pPr>
        <w:spacing w:after="0" w:line="185" w:lineRule="exact"/>
        <w:rPr>
          <w:rFonts w:ascii="Arial" w:cs="Arial" w:eastAsia="Arial" w:hAnsi="Arial"/>
          <w:sz w:val="18"/>
          <w:szCs w:val="18"/>
          <w:color w:val="auto"/>
        </w:rPr>
      </w:pPr>
    </w:p>
    <w:p>
      <w:pPr>
        <w:ind w:left="580" w:hanging="329"/>
        <w:spacing w:after="0" w:line="227"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w:t>
      </w:r>
    </w:p>
    <w:p>
      <w:pPr>
        <w:spacing w:after="0" w:line="185" w:lineRule="exact"/>
        <w:rPr>
          <w:rFonts w:ascii="Arial" w:cs="Arial" w:eastAsia="Arial" w:hAnsi="Arial"/>
          <w:sz w:val="18"/>
          <w:szCs w:val="18"/>
          <w:color w:val="auto"/>
        </w:rPr>
      </w:pPr>
    </w:p>
    <w:p>
      <w:pPr>
        <w:ind w:left="560" w:hanging="323"/>
        <w:spacing w:after="0" w:line="237" w:lineRule="auto"/>
        <w:tabs>
          <w:tab w:leader="none" w:pos="560" w:val="left"/>
        </w:tabs>
        <w:numPr>
          <w:ilvl w:val="0"/>
          <w:numId w:val="3"/>
        </w:numPr>
        <w:rPr>
          <w:rFonts w:ascii="Arial" w:cs="Arial" w:eastAsia="Arial" w:hAnsi="Arial"/>
          <w:sz w:val="17"/>
          <w:szCs w:val="17"/>
          <w:color w:val="auto"/>
        </w:rPr>
      </w:pPr>
      <w:r>
        <w:rPr>
          <w:rFonts w:ascii="Arial" w:cs="Arial" w:eastAsia="Arial" w:hAnsi="Arial"/>
          <w:sz w:val="21"/>
          <w:szCs w:val="21"/>
          <w:b w:val="1"/>
          <w:bCs w:val="1"/>
          <w:color w:val="auto"/>
        </w:rPr>
        <w:t>Vibativ</w:t>
      </w:r>
      <w:r>
        <w:rPr>
          <w:rFonts w:ascii="Arial" w:cs="Arial" w:eastAsia="Arial" w:hAnsi="Arial"/>
          <w:sz w:val="27"/>
          <w:szCs w:val="27"/>
          <w:b w:val="1"/>
          <w:bCs w:val="1"/>
          <w:color w:val="auto"/>
          <w:vertAlign w:val="superscript"/>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telavancin</w:t>
      </w:r>
      <w:r>
        <w:rPr>
          <w:rFonts w:ascii="Arial" w:cs="Arial" w:eastAsia="Arial" w:hAnsi="Arial"/>
          <w:sz w:val="21"/>
          <w:szCs w:val="21"/>
          <w:color w:val="auto"/>
        </w:rPr>
        <w:t>) Injection, for the treatment of certain serious bacterial infections including hospital-acquired and</w:t>
      </w:r>
      <w:r>
        <w:rPr>
          <w:rFonts w:ascii="Arial" w:cs="Arial" w:eastAsia="Arial" w:hAnsi="Arial"/>
          <w:sz w:val="21"/>
          <w:szCs w:val="21"/>
          <w:b w:val="1"/>
          <w:bCs w:val="1"/>
          <w:color w:val="auto"/>
        </w:rPr>
        <w:t xml:space="preserve"> </w:t>
      </w:r>
      <w:r>
        <w:rPr>
          <w:rFonts w:ascii="Arial" w:cs="Arial" w:eastAsia="Arial" w:hAnsi="Arial"/>
          <w:sz w:val="21"/>
          <w:szCs w:val="21"/>
          <w:color w:val="auto"/>
        </w:rPr>
        <w:t>ventilator-associated bacterial pneumonia, as well as complicated skin and skin structure infections.</w:t>
      </w:r>
    </w:p>
    <w:p>
      <w:pPr>
        <w:spacing w:after="0" w:line="183" w:lineRule="exact"/>
        <w:rPr>
          <w:rFonts w:ascii="Arial" w:cs="Arial" w:eastAsia="Arial" w:hAnsi="Arial"/>
          <w:sz w:val="17"/>
          <w:szCs w:val="17"/>
          <w:color w:val="auto"/>
        </w:rPr>
      </w:pPr>
    </w:p>
    <w:p>
      <w:pPr>
        <w:ind w:left="560" w:right="700" w:hanging="323"/>
        <w:spacing w:after="0" w:line="22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0000FF"/>
        </w:rPr>
        <w:t>www.acetadote.com</w:t>
      </w:r>
      <w:r>
        <w:rPr>
          <w:rFonts w:ascii="Arial" w:cs="Arial" w:eastAsia="Arial" w:hAnsi="Arial"/>
          <w:sz w:val="19"/>
          <w:szCs w:val="19"/>
          <w:color w:val="auto"/>
        </w:rPr>
        <w:t>.</w:t>
      </w:r>
    </w:p>
    <w:p>
      <w:pPr>
        <w:sectPr>
          <w:pgSz w:w="11900" w:h="16838" w:orient="portrait"/>
          <w:cols w:equalWidth="0" w:num="1">
            <w:col w:w="11240"/>
          </w:cols>
          <w:pgMar w:left="320" w:top="612"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0000FF"/>
        </w:rPr>
        <w:t>www.caldolor.com</w:t>
      </w:r>
      <w:r>
        <w:rPr>
          <w:rFonts w:ascii="Arial" w:cs="Arial" w:eastAsia="Arial" w:hAnsi="Arial"/>
          <w:sz w:val="21"/>
          <w:szCs w:val="21"/>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0000FF"/>
        </w:rPr>
        <w:t>www.kristalose.com</w:t>
      </w:r>
      <w:r>
        <w:rPr>
          <w:rFonts w:ascii="Arial" w:cs="Arial" w:eastAsia="Arial" w:hAnsi="Arial"/>
          <w:sz w:val="19"/>
          <w:szCs w:val="19"/>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206"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0563C1"/>
        </w:rPr>
        <w:t>www.vibativ.com.</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0000FF"/>
        </w:rPr>
        <w:t>www.omeclamox.com</w:t>
      </w:r>
      <w:r>
        <w:rPr>
          <w:rFonts w:ascii="Arial" w:cs="Arial" w:eastAsia="Arial" w:hAnsi="Arial"/>
          <w:sz w:val="22"/>
          <w:szCs w:val="22"/>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0563C1"/>
        </w:rPr>
        <w:t>www.vaprisol.com</w:t>
      </w:r>
      <w:r>
        <w:rPr>
          <w:rFonts w:ascii="Arial" w:cs="Arial" w:eastAsia="Arial" w:hAnsi="Arial"/>
          <w:sz w:val="22"/>
          <w:szCs w:val="22"/>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Cumberland Emerging Technologies, Inc. (</w:t>
      </w:r>
      <w:r>
        <w:rPr>
          <w:rFonts w:ascii="Arial" w:cs="Arial" w:eastAsia="Arial" w:hAnsi="Arial"/>
          <w:sz w:val="22"/>
          <w:szCs w:val="22"/>
          <w:u w:val="single" w:color="auto"/>
          <w:color w:val="0000FF"/>
        </w:rPr>
        <w:t>www.cet-fund.com</w:t>
      </w:r>
      <w:r>
        <w:rPr>
          <w:rFonts w:ascii="Arial" w:cs="Arial" w:eastAsia="Arial" w:hAnsi="Arial"/>
          <w:sz w:val="22"/>
          <w:szCs w:val="22"/>
          <w:color w:val="auto"/>
        </w:rPr>
        <w:t>) is a joint initiative between Cumberland Pharmaceuticals Inc., Vanderbilt University, LaunchTN, and WinHealth. The mission of CET is to advance</w:t>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22"/>
          <w:szCs w:val="22"/>
          <w:color w:val="auto"/>
        </w:rPr>
        <w:t>biomedical technologies and products conceived at Vanderbilt University and other regional research centers towards the marketplace.</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press release may contain statements that are "forward-looking" within the meaning of Section 27A of the Securities Act of 1933, as amended, and Section 21E of the Securities Exchange Act of 1934, as amended, pursuant to the safe harbor provisions of the Private Securities Litigation Reform Act of 1995. Forward-looking statements are based on certain assumptions and can include future expectations, future plans and strategies, financial and operating projections or other information. Such forward-looking statements reflect management’s current beliefs and are based on information currently available to management. Because forward-looking statements relate to future events, they are subject to inherent uncertainties, risks and changes in circumstances that are difficult to predict and many of which are outside of Cumberland’s control. Thus, Cumberland’s actual results and financial condition may differ materially due to: market conditions, competition, an inability of manufacturers to supply Cumberland's products, maintaining an effective sales and marketing infrastructure, availability of additional debt and equity capital required to finance the business, our ability to continue to acquire brands, management of our growth and integration of our acquisitions, impacts on our business, as well as national and international markets and economies resulting from the 2020 COVID-19 pandemic, and the other factors described in the section entitled "Risk Factors" in the Company's Annual Report on Form 10-K for the year ended December 31, 2019, and the Company’s other filings with the SEC. Readers are cautioned not to place undue reliance on any forward-looking statements, and Cumberland undertakes no obligation to update them, whether as a result of new information, future developments, or otherwise, except as may be required by law.</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Media Contacts:</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Erin Gull</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Jeff Bradford</w:t>
            </w: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Molly Aggas</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Corporate Relations</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the Bradford Group</w:t>
            </w: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the Bradford Group</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(615) 255-0068</w:t>
            </w:r>
          </w:p>
        </w:tc>
        <w:tc>
          <w:tcPr>
            <w:tcW w:w="1560" w:type="dxa"/>
            <w:vAlign w:val="bottom"/>
          </w:tcPr>
          <w:p>
            <w:pPr>
              <w:ind w:left="114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515-4880 office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(615)</w:t>
            </w:r>
          </w:p>
        </w:tc>
        <w:tc>
          <w:tcPr>
            <w:tcW w:w="1260" w:type="dxa"/>
            <w:vAlign w:val="bottom"/>
          </w:tcPr>
          <w:p>
            <w:pPr>
              <w:ind w:left="40"/>
              <w:spacing w:after="0"/>
              <w:rPr>
                <w:sz w:val="20"/>
                <w:szCs w:val="20"/>
                <w:color w:val="auto"/>
              </w:rPr>
            </w:pPr>
            <w:r>
              <w:rPr>
                <w:rFonts w:ascii="Arial" w:cs="Arial" w:eastAsia="Arial" w:hAnsi="Arial"/>
                <w:sz w:val="18"/>
                <w:szCs w:val="18"/>
                <w:color w:val="auto"/>
                <w:w w:val="96"/>
              </w:rPr>
              <w:t>515-4882 office</w:t>
            </w:r>
          </w:p>
        </w:tc>
      </w:tr>
      <w:tr>
        <w:trPr>
          <w:trHeight w:val="270"/>
        </w:trPr>
        <w:tc>
          <w:tcPr>
            <w:tcW w:w="2600" w:type="dxa"/>
            <w:vAlign w:val="bottom"/>
          </w:tcPr>
          <w:p>
            <w:pPr>
              <w:spacing w:after="0"/>
              <w:rPr>
                <w:sz w:val="23"/>
                <w:szCs w:val="23"/>
                <w:color w:val="auto"/>
              </w:rPr>
            </w:pPr>
          </w:p>
        </w:tc>
        <w:tc>
          <w:tcPr>
            <w:tcW w:w="1560" w:type="dxa"/>
            <w:vAlign w:val="bottom"/>
          </w:tcPr>
          <w:p>
            <w:pPr>
              <w:ind w:left="114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337-0964 mobile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(704)</w:t>
            </w:r>
          </w:p>
        </w:tc>
        <w:tc>
          <w:tcPr>
            <w:tcW w:w="1260" w:type="dxa"/>
            <w:vAlign w:val="bottom"/>
          </w:tcPr>
          <w:p>
            <w:pPr>
              <w:ind w:left="40"/>
              <w:spacing w:after="0"/>
              <w:rPr>
                <w:sz w:val="20"/>
                <w:szCs w:val="20"/>
                <w:color w:val="auto"/>
              </w:rPr>
            </w:pPr>
            <w:r>
              <w:rPr>
                <w:rFonts w:ascii="Arial" w:cs="Arial" w:eastAsia="Arial" w:hAnsi="Arial"/>
                <w:sz w:val="18"/>
                <w:szCs w:val="18"/>
                <w:color w:val="auto"/>
                <w:w w:val="89"/>
              </w:rPr>
              <w:t>641-6641 mobile</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MORE -</w:t>
      </w:r>
    </w:p>
    <w:p>
      <w:pPr>
        <w:sectPr>
          <w:pgSz w:w="11900" w:h="16838" w:orient="portrait"/>
          <w:cols w:equalWidth="0" w:num="1">
            <w:col w:w="11240"/>
          </w:cols>
          <w:pgMar w:left="320" w:top="5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7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27,373,737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28,212,635</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7,924,338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7,843,917</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7,627,270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8,871,254</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Current assets of discontinued operations</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744,403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2,477,813</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2,085,230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2,757,456</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45,754,978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50,163,075</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15,640,060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15,554,992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631,534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747,796</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29,151,228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30,920,324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882,000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882,000</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2,502,850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2,960,569</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2,939,003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3,298,725</w:t>
            </w:r>
          </w:p>
        </w:tc>
      </w:tr>
      <w:tr>
        <w:trPr>
          <w:trHeight w:val="237"/>
        </w:trPr>
        <w:tc>
          <w:tcPr>
            <w:tcW w:w="754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97,523,455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104,549,283</w:t>
            </w:r>
          </w:p>
        </w:tc>
      </w:tr>
      <w:tr>
        <w:trPr>
          <w:trHeight w:val="67"/>
        </w:trPr>
        <w:tc>
          <w:tcPr>
            <w:tcW w:w="75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10,829,982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9,993,578</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Current liabilities of discontinued operations</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1,918,868</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lease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920,431</w:t>
            </w: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10,866,765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11,317,358</w:t>
            </w:r>
          </w:p>
        </w:tc>
      </w:tr>
      <w:tr>
        <w:trPr>
          <w:trHeight w:val="27"/>
        </w:trPr>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22,664,403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24,150,235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Revolving line of credit</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17,000,000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18,500,000</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lease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2,076,472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7,867,679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8,737,323</w:t>
            </w:r>
          </w:p>
        </w:tc>
      </w:tr>
      <w:tr>
        <w:trPr>
          <w:trHeight w:val="27"/>
        </w:trPr>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49,112,285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53,464,030</w:t>
            </w:r>
          </w:p>
        </w:tc>
      </w:tr>
      <w:tr>
        <w:trPr>
          <w:trHeight w:val="223"/>
        </w:trPr>
        <w:tc>
          <w:tcPr>
            <w:tcW w:w="75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40"/>
        </w:trPr>
        <w:tc>
          <w:tcPr>
            <w:tcW w:w="7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75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shd w:val="clear" w:color="auto" w:fill="CCEEFF"/>
              </w:rPr>
              <w:t>Common stock—no par value; 100,000,000 shares authorized; 15,181,276 and 15,263,555</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6"/>
        </w:trPr>
        <w:tc>
          <w:tcPr>
            <w:tcW w:w="7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7"/>
                <w:shd w:val="clear" w:color="auto" w:fill="CCEEFF"/>
              </w:rPr>
              <w:t>shares issued and outstanding as of June 30, 2020 and December 31, 2019,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49,246,129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49,914,478</w:t>
            </w:r>
          </w:p>
        </w:tc>
      </w:tr>
      <w:tr>
        <w:trPr>
          <w:trHeight w:val="243"/>
        </w:trPr>
        <w:tc>
          <w:tcPr>
            <w:tcW w:w="7540" w:type="dxa"/>
            <w:vAlign w:val="bottom"/>
          </w:tcPr>
          <w:p>
            <w:pPr>
              <w:ind w:left="600"/>
              <w:spacing w:after="0"/>
              <w:rPr>
                <w:sz w:val="20"/>
                <w:szCs w:val="20"/>
                <w:color w:val="auto"/>
              </w:rPr>
            </w:pPr>
            <w:r>
              <w:rPr>
                <w:rFonts w:ascii="Arial" w:cs="Arial" w:eastAsia="Arial" w:hAnsi="Arial"/>
                <w:sz w:val="18"/>
                <w:szCs w:val="18"/>
                <w:color w:val="auto"/>
              </w:rPr>
              <w:t>Retained earnings (deficit)</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(765,500)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1,208,395</w:t>
            </w:r>
          </w:p>
        </w:tc>
      </w:tr>
      <w:tr>
        <w:trPr>
          <w:trHeight w:val="27"/>
        </w:trPr>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48,480,629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51,122,873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(37,620)</w:t>
            </w:r>
          </w:p>
        </w:tc>
      </w:tr>
      <w:tr>
        <w:trPr>
          <w:trHeight w:val="27"/>
        </w:trPr>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48,411,170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51,085,253</w:t>
            </w:r>
          </w:p>
        </w:tc>
      </w:tr>
      <w:tr>
        <w:trPr>
          <w:trHeight w:val="236"/>
        </w:trPr>
        <w:tc>
          <w:tcPr>
            <w:tcW w:w="754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97,523,455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104,549,283</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6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9,598,177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9,417,443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17,928,911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18,147,303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products sold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4,244,163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3,451,082</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3,865,406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3,982,379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7,573,082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7,419,311</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1,716,169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3,115,856</w:t>
            </w: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2,190,764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2,270,318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4,227,048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4,807,057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1,091,485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1,029,708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2,167,524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2,051,353</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11,179,139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10,790,867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21,355,874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20,844,659</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(1,580,962)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(3,426,963)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(2,697,356)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130,565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58,549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246,426</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(152,111)</w:t>
            </w:r>
          </w:p>
        </w:tc>
      </w:tr>
      <w:tr>
        <w:trPr>
          <w:trHeight w:val="209"/>
        </w:trPr>
        <w:tc>
          <w:tcPr>
            <w:tcW w:w="4620" w:type="dxa"/>
            <w:vAlign w:val="bottom"/>
          </w:tcPr>
          <w:p>
            <w:pPr>
              <w:ind w:left="380"/>
              <w:spacing w:after="0"/>
              <w:rPr>
                <w:sz w:val="20"/>
                <w:szCs w:val="20"/>
                <w:color w:val="auto"/>
              </w:rPr>
            </w:pPr>
            <w:r>
              <w:rPr>
                <w:rFonts w:ascii="Arial" w:cs="Arial" w:eastAsia="Arial" w:hAnsi="Arial"/>
                <w:sz w:val="18"/>
                <w:szCs w:val="18"/>
                <w:color w:val="auto"/>
                <w:w w:val="94"/>
              </w:rPr>
              <w:t>Income (loss) from continuing operations before income</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4620" w:type="dxa"/>
            <w:vAlign w:val="bottom"/>
          </w:tcPr>
          <w:p>
            <w:pPr>
              <w:ind w:left="380"/>
              <w:spacing w:after="0"/>
              <w:rPr>
                <w:sz w:val="20"/>
                <w:szCs w:val="20"/>
                <w:color w:val="auto"/>
              </w:rPr>
            </w:pPr>
            <w:r>
              <w:rPr>
                <w:rFonts w:ascii="Arial" w:cs="Arial" w:eastAsia="Arial" w:hAnsi="Arial"/>
                <w:sz w:val="18"/>
                <w:szCs w:val="18"/>
                <w:color w:val="auto"/>
              </w:rPr>
              <w:t>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(1,671,756)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(1,334,059)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(3,520,934)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(2,603,041)</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76,966</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(1,679,211)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(1,338,521)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(3,562,629)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(2,526,075)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771,709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1,556,895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1,918,845</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(940,589)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(2,005,734)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(607,230)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(income) loss at subsidiary attributable to noncontrolling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(16,155)</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w w:val="96"/>
              </w:rPr>
              <w:t>Net income (loss) attributable to common shareholders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(918,275)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(549,507)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(1,973,895)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(623,385)</w:t>
            </w:r>
          </w:p>
        </w:tc>
      </w:tr>
      <w:tr>
        <w:trPr>
          <w:trHeight w:val="67"/>
        </w:trPr>
        <w:tc>
          <w:tcPr>
            <w:tcW w:w="46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0"/>
        </w:trPr>
        <w:tc>
          <w:tcPr>
            <w:tcW w:w="4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1"/>
              </w:rPr>
              <w:t>Earnings (loss) per share attributable to common shareholders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 Continuing operations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Discontinued operations - basic</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r>
      <w:tr>
        <w:trPr>
          <w:trHeight w:val="237"/>
        </w:trPr>
        <w:tc>
          <w:tcPr>
            <w:tcW w:w="46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 Continuing operations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Discontinued operations - diluted</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r>
      <w:tr>
        <w:trPr>
          <w:trHeight w:val="237"/>
        </w:trPr>
        <w:tc>
          <w:tcPr>
            <w:tcW w:w="46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 basic</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15,241,463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15,523,628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15,241,020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15,497,989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diluted</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15,241,463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15,523,628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15,241,020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15,497,989</w:t>
            </w:r>
          </w:p>
        </w:tc>
      </w:tr>
      <w:tr>
        <w:trPr>
          <w:trHeight w:val="27"/>
        </w:trPr>
        <w:tc>
          <w:tcPr>
            <w:tcW w:w="4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55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left="691"/>
              <w:spacing w:after="0"/>
              <w:rPr>
                <w:sz w:val="20"/>
                <w:szCs w:val="20"/>
                <w:color w:val="auto"/>
              </w:rPr>
            </w:pPr>
            <w:r>
              <w:rPr>
                <w:rFonts w:ascii="Arial" w:cs="Arial" w:eastAsia="Arial" w:hAnsi="Arial"/>
                <w:sz w:val="14"/>
                <w:szCs w:val="14"/>
                <w:b w:val="1"/>
                <w:bCs w:val="1"/>
                <w:color w:val="auto"/>
                <w:w w:val="90"/>
              </w:rPr>
              <w:t>Six months ended June 30,</w:t>
            </w:r>
          </w:p>
        </w:tc>
        <w:tc>
          <w:tcPr>
            <w:tcW w:w="1200" w:type="dxa"/>
            <w:vAlign w:val="bottom"/>
            <w:tcBorders>
              <w:bottom w:val="single" w:sz="8" w:color="auto"/>
            </w:tcBorders>
          </w:tcPr>
          <w:p>
            <w:pPr>
              <w:spacing w:after="0"/>
              <w:rPr>
                <w:sz w:val="16"/>
                <w:szCs w:val="16"/>
                <w:color w:val="auto"/>
              </w:rPr>
            </w:pPr>
          </w:p>
        </w:tc>
      </w:tr>
      <w:tr>
        <w:trPr>
          <w:trHeight w:val="263"/>
        </w:trPr>
        <w:tc>
          <w:tcPr>
            <w:tcW w:w="68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(2,005,734)</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(607,230)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1,556,895</w:t>
            </w:r>
          </w:p>
        </w:tc>
        <w:tc>
          <w:tcPr>
            <w:tcW w:w="14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1,918,845</w:t>
            </w:r>
          </w:p>
        </w:tc>
      </w:tr>
      <w:tr>
        <w:trPr>
          <w:trHeight w:val="237"/>
        </w:trPr>
        <w:tc>
          <w:tcPr>
            <w:tcW w:w="6820" w:type="dxa"/>
            <w:vAlign w:val="bottom"/>
          </w:tcPr>
          <w:p>
            <w:pPr>
              <w:ind w:left="380"/>
              <w:spacing w:after="0"/>
              <w:rPr>
                <w:sz w:val="20"/>
                <w:szCs w:val="20"/>
                <w:color w:val="auto"/>
              </w:rPr>
            </w:pPr>
            <w:r>
              <w:rPr>
                <w:rFonts w:ascii="Arial" w:cs="Arial" w:eastAsia="Arial" w:hAnsi="Arial"/>
                <w:sz w:val="18"/>
                <w:szCs w:val="18"/>
                <w:color w:val="auto"/>
              </w:rPr>
              <w:t>Net income(loss)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(3,562,629)</w:t>
            </w:r>
          </w:p>
        </w:tc>
        <w:tc>
          <w:tcPr>
            <w:tcW w:w="88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(2,526,075)</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Adjustments to reconcile net income (loss) from continuing operations to net cash</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provided by (used in) operating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82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2,334,669</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2,174,397</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43,605</w:t>
            </w:r>
          </w:p>
        </w:tc>
      </w:tr>
      <w:tr>
        <w:trPr>
          <w:trHeight w:val="243"/>
        </w:trPr>
        <w:tc>
          <w:tcPr>
            <w:tcW w:w="682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542,923</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760,982</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non-cash 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(645,571)</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(321,894)</w:t>
            </w:r>
          </w:p>
        </w:tc>
      </w:tr>
      <w:tr>
        <w:trPr>
          <w:trHeight w:val="243"/>
        </w:trPr>
        <w:tc>
          <w:tcPr>
            <w:tcW w:w="682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22,973</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28,111</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investment gains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(125,804)</w:t>
            </w:r>
          </w:p>
        </w:tc>
      </w:tr>
      <w:tr>
        <w:trPr>
          <w:trHeight w:val="243"/>
        </w:trPr>
        <w:tc>
          <w:tcPr>
            <w:tcW w:w="6820" w:type="dxa"/>
            <w:vAlign w:val="bottom"/>
          </w:tcPr>
          <w:p>
            <w:pPr>
              <w:ind w:left="7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(80,421)</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(652,652)</w:t>
            </w:r>
          </w:p>
        </w:tc>
      </w:tr>
      <w:tr>
        <w:trPr>
          <w:trHeight w:val="243"/>
        </w:trPr>
        <w:tc>
          <w:tcPr>
            <w:tcW w:w="682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1,158,916</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883,545</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assets and 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1,017,650</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141,577</w:t>
            </w:r>
          </w:p>
        </w:tc>
      </w:tr>
      <w:tr>
        <w:trPr>
          <w:trHeight w:val="243"/>
        </w:trPr>
        <w:tc>
          <w:tcPr>
            <w:tcW w:w="6820" w:type="dxa"/>
            <w:vAlign w:val="bottom"/>
          </w:tcPr>
          <w:p>
            <w:pPr>
              <w:ind w:left="114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2,413,768</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(163,530)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(869,644)</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(342,940)</w:t>
            </w:r>
          </w:p>
        </w:tc>
      </w:tr>
      <w:tr>
        <w:trPr>
          <w:trHeight w:val="237"/>
        </w:trPr>
        <w:tc>
          <w:tcPr>
            <w:tcW w:w="6820" w:type="dxa"/>
            <w:vAlign w:val="bottom"/>
          </w:tcPr>
          <w:p>
            <w:pPr>
              <w:ind w:left="720"/>
              <w:spacing w:after="0"/>
              <w:rPr>
                <w:sz w:val="20"/>
                <w:szCs w:val="20"/>
                <w:color w:val="auto"/>
              </w:rPr>
            </w:pPr>
            <w:r>
              <w:rPr>
                <w:rFonts w:ascii="Arial" w:cs="Arial" w:eastAsia="Arial" w:hAnsi="Arial"/>
                <w:sz w:val="18"/>
                <w:szCs w:val="18"/>
                <w:color w:val="auto"/>
                <w:w w:val="98"/>
              </w:rPr>
              <w:t>Net cash provided by (used in) operating activities from continuing operations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2,332,634</w:t>
            </w:r>
          </w:p>
        </w:tc>
        <w:tc>
          <w:tcPr>
            <w:tcW w:w="8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(100,678)</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1,371,437</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1,565,604</w:t>
            </w:r>
          </w:p>
        </w:tc>
      </w:tr>
      <w:tr>
        <w:trPr>
          <w:trHeight w:val="237"/>
        </w:trPr>
        <w:tc>
          <w:tcPr>
            <w:tcW w:w="682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3,704,071</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3,704,071</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1,464,926</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Additions to property and equipment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(50,883)</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(89,070)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(9,627,191)</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8,563,988</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Additions to intangibles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(722,131)</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(395,005)</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(773,014)</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(6,547,278)</w:t>
            </w:r>
          </w:p>
        </w:tc>
      </w:tr>
      <w:tr>
        <w:trPr>
          <w:trHeight w:val="223"/>
        </w:trPr>
        <w:tc>
          <w:tcPr>
            <w:tcW w:w="68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0"/>
        </w:trPr>
        <w:tc>
          <w:tcPr>
            <w:tcW w:w="6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on line of credit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35,500,000</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36,000,000</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Repayments on line of credit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(37,000,000)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(36,000,000)</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 of 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(260,735)</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(684,738)</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Repurchase of subsidiary shares to noncontrolling interest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shares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(1,209,220)</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(1,220,690)</w:t>
            </w:r>
          </w:p>
        </w:tc>
      </w:tr>
      <w:tr>
        <w:trPr>
          <w:trHeight w:val="237"/>
        </w:trPr>
        <w:tc>
          <w:tcPr>
            <w:tcW w:w="682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(3,769,955)</w:t>
            </w:r>
          </w:p>
        </w:tc>
        <w:tc>
          <w:tcPr>
            <w:tcW w:w="8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(1,905,428)</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(838,898)</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(6,987,780)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28,212,635</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27,938,960</w:t>
            </w:r>
          </w:p>
        </w:tc>
      </w:tr>
      <w:tr>
        <w:trPr>
          <w:trHeight w:val="27"/>
        </w:trPr>
        <w:tc>
          <w:tcPr>
            <w:tcW w:w="6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27,373,737</w:t>
            </w:r>
          </w:p>
        </w:tc>
        <w:tc>
          <w:tcPr>
            <w:tcW w:w="14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20,951,180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12" w:name="page13"/>
    <w:bookmarkEnd w:id="12"/>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800" w:type="dxa"/>
            <w:vAlign w:val="bottom"/>
            <w:gridSpan w:val="5"/>
          </w:tcPr>
          <w:p>
            <w:pPr>
              <w:ind w:left="80"/>
              <w:spacing w:after="0"/>
              <w:rPr>
                <w:sz w:val="20"/>
                <w:szCs w:val="20"/>
                <w:color w:val="auto"/>
              </w:rPr>
            </w:pPr>
            <w:r>
              <w:rPr>
                <w:rFonts w:ascii="Arial" w:cs="Arial" w:eastAsia="Arial" w:hAnsi="Arial"/>
                <w:sz w:val="18"/>
                <w:szCs w:val="18"/>
                <w:b w:val="1"/>
                <w:bCs w:val="1"/>
                <w:color w:val="auto"/>
                <w:w w:val="90"/>
              </w:rPr>
              <w:t>Three months ended June 30, 2020</w:t>
            </w:r>
          </w:p>
        </w:tc>
        <w:tc>
          <w:tcPr>
            <w:tcW w:w="120" w:type="dxa"/>
            <w:vAlign w:val="bottom"/>
          </w:tcPr>
          <w:p>
            <w:pPr>
              <w:spacing w:after="0"/>
              <w:rPr>
                <w:sz w:val="20"/>
                <w:szCs w:val="20"/>
                <w:color w:val="auto"/>
              </w:rPr>
            </w:pPr>
          </w:p>
        </w:tc>
        <w:tc>
          <w:tcPr>
            <w:tcW w:w="2800" w:type="dxa"/>
            <w:vAlign w:val="bottom"/>
            <w:gridSpan w:val="5"/>
          </w:tcPr>
          <w:p>
            <w:pPr>
              <w:ind w:left="80"/>
              <w:spacing w:after="0"/>
              <w:rPr>
                <w:sz w:val="20"/>
                <w:szCs w:val="20"/>
                <w:color w:val="auto"/>
              </w:rPr>
            </w:pPr>
            <w:r>
              <w:rPr>
                <w:rFonts w:ascii="Arial" w:cs="Arial" w:eastAsia="Arial" w:hAnsi="Arial"/>
                <w:sz w:val="18"/>
                <w:szCs w:val="18"/>
                <w:b w:val="1"/>
                <w:bCs w:val="1"/>
                <w:color w:val="auto"/>
                <w:w w:val="90"/>
              </w:rPr>
              <w:t>Three months ended June 30, 2019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Earnings per</w:t>
            </w:r>
          </w:p>
        </w:tc>
        <w:tc>
          <w:tcPr>
            <w:tcW w:w="120" w:type="dxa"/>
            <w:vAlign w:val="bottom"/>
          </w:tcPr>
          <w:p>
            <w:pPr>
              <w:spacing w:after="0"/>
              <w:rPr>
                <w:sz w:val="19"/>
                <w:szCs w:val="1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Earnings per</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loss at subsidiary attributable to noncontrolling</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738,622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771,709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Adjustments to net income (loss) from continuing operations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1,182,607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1,098,151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Impact of Vibativ cost of product sold (b)</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1,270,350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684,601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119,455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Adjusted Earnings (loss) from continuing operations and Adjusted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1,150,344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805,876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from continuing operations Per Share</w:t>
            </w: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15,405,203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15,860,561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1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340" w:type="dxa"/>
            <w:vAlign w:val="bottom"/>
            <w:tcBorders>
              <w:bottom w:val="single" w:sz="8" w:color="auto"/>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2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360" w:type="dxa"/>
            <w:vAlign w:val="bottom"/>
            <w:tcBorders>
              <w:bottom w:val="single" w:sz="8" w:color="auto"/>
            </w:tcBorders>
            <w:gridSpan w:val="2"/>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88"/>
              </w:rPr>
              <w:t>Six months ended June 30, 2020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89"/>
              </w:rPr>
              <w:t>Six months ended June 30, 2019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Earnings per</w:t>
            </w:r>
          </w:p>
        </w:tc>
        <w:tc>
          <w:tcPr>
            <w:tcW w:w="120" w:type="dxa"/>
            <w:vAlign w:val="bottom"/>
          </w:tcPr>
          <w:p>
            <w:pPr>
              <w:spacing w:after="0"/>
              <w:rPr>
                <w:sz w:val="19"/>
                <w:szCs w:val="1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w w:val="92"/>
              </w:rPr>
              <w:t>Earnings per</w:t>
            </w: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share impact</w:t>
            </w:r>
          </w:p>
        </w:tc>
        <w:tc>
          <w:tcPr>
            <w:tcW w:w="1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share impact</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loss at subsidiary attributable to noncontrolling</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1,556,895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1,918,845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Adjustments to net income (loss) from continuing operations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2,334,669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2,174,397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(a)</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Impact of Vibativ cost of product sold (b)</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1,871,041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1,236,095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Adjusted Earnings (loss) from continuing operations and Adjusted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1,321,670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1,474,118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1"/>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from continuing operations Per Share</w:t>
            </w: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15,491,738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15,875,765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25" w:right="339" w:bottom="1440" w:gutter="0" w:footer="0" w:header="0"/>
        </w:sectPr>
      </w:pPr>
    </w:p>
    <w:bookmarkStart w:id="13" w:name="page14"/>
    <w:bookmarkEnd w:id="13"/>
    <w:p>
      <w:pPr>
        <w:ind w:right="180"/>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ind w:left="660" w:hanging="328"/>
        <w:spacing w:after="0" w:line="34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Adjusted Earnings (loss): </w:t>
      </w:r>
      <w:r>
        <w:rPr>
          <w:rFonts w:ascii="Arial" w:cs="Arial" w:eastAsia="Arial" w:hAnsi="Arial"/>
          <w:sz w:val="19"/>
          <w:szCs w:val="19"/>
          <w:color w:val="auto"/>
        </w:rPr>
        <w:t>net income (loss) adjusted for the impact of income taxes, depreciation and amortization</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share-based compensation, Vibativ cost of product sold and interest income and interest expense.</w:t>
      </w:r>
    </w:p>
    <w:p>
      <w:pPr>
        <w:spacing w:after="0" w:line="140" w:lineRule="exact"/>
        <w:rPr>
          <w:rFonts w:ascii="Arial" w:cs="Arial" w:eastAsia="Arial" w:hAnsi="Arial"/>
          <w:sz w:val="19"/>
          <w:szCs w:val="19"/>
          <w:color w:val="auto"/>
        </w:rPr>
      </w:pPr>
    </w:p>
    <w:p>
      <w:pPr>
        <w:ind w:left="1600" w:hanging="296"/>
        <w:spacing w:after="0"/>
        <w:tabs>
          <w:tab w:leader="none" w:pos="1600" w:val="left"/>
        </w:tabs>
        <w:numPr>
          <w:ilvl w:val="1"/>
          <w:numId w:val="4"/>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60" w:lineRule="exact"/>
        <w:rPr>
          <w:rFonts w:ascii="Arial" w:cs="Arial" w:eastAsia="Arial" w:hAnsi="Arial"/>
          <w:sz w:val="22"/>
          <w:szCs w:val="22"/>
          <w:color w:val="auto"/>
        </w:rPr>
      </w:pPr>
    </w:p>
    <w:p>
      <w:pPr>
        <w:jc w:val="both"/>
        <w:ind w:left="660" w:firstLine="644"/>
        <w:spacing w:after="0" w:line="312" w:lineRule="auto"/>
        <w:tabs>
          <w:tab w:leader="none" w:pos="1616" w:val="left"/>
        </w:tabs>
        <w:numPr>
          <w:ilvl w:val="1"/>
          <w:numId w:val="4"/>
        </w:numPr>
        <w:rPr>
          <w:rFonts w:ascii="Arial" w:cs="Arial" w:eastAsia="Arial" w:hAnsi="Arial"/>
          <w:sz w:val="19"/>
          <w:szCs w:val="19"/>
          <w:color w:val="auto"/>
        </w:rPr>
      </w:pPr>
      <w:r>
        <w:rPr>
          <w:rFonts w:ascii="Arial" w:cs="Arial" w:eastAsia="Arial" w:hAnsi="Arial"/>
          <w:sz w:val="19"/>
          <w:szCs w:val="19"/>
          <w:color w:val="auto"/>
        </w:rPr>
        <w:t>Represents the non-cash impact of the Vibativ cost of products sold. Cumberland has elected to add these costs back in the calculation of adjusted earnings as all the Vibativ inventory was transferred to Cumberland as part of the transaction with Theravance at no additional cost to the consideration agreed for the product acquisition.</w:t>
      </w:r>
    </w:p>
    <w:p>
      <w:pPr>
        <w:spacing w:after="0" w:line="167" w:lineRule="exact"/>
        <w:rPr>
          <w:rFonts w:ascii="Arial" w:cs="Arial" w:eastAsia="Arial" w:hAnsi="Arial"/>
          <w:sz w:val="19"/>
          <w:szCs w:val="19"/>
          <w:color w:val="auto"/>
        </w:rPr>
      </w:pPr>
    </w:p>
    <w:p>
      <w:pPr>
        <w:ind w:left="660" w:right="20" w:hanging="328"/>
        <w:spacing w:after="0" w:line="269" w:lineRule="auto"/>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upperLetter"/>
      <w:start w:val="68"/>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2020-08-11T16:17:46Z</dcterms:created>
  <dcterms:modified xsi:type="dcterms:W3CDTF">2020-08-11T16:17:46Z</dcterms:modified>
</cp:coreProperties>
</file>