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March 8, 2022 (March 8,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4" w:lineRule="exact"/>
        <w:rPr>
          <w:sz w:val="20"/>
          <w:szCs w:val="20"/>
          <w:color w:val="auto"/>
        </w:rPr>
      </w:pPr>
    </w:p>
    <w:p>
      <w:pPr>
        <w:jc w:val="both"/>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On March 8, 2022, Cumberland Pharmaceuticals Inc. (the "Company") issued a press release which provided a company update and the financial results for the three months and year ended December 31, 2021. A copy of the press release is attached as </w:t>
      </w:r>
      <w:hyperlink w:anchor="page4">
        <w:r>
          <w:rPr>
            <w:rFonts w:ascii="Arial" w:cs="Arial" w:eastAsia="Arial" w:hAnsi="Arial"/>
            <w:sz w:val="20"/>
            <w:szCs w:val="20"/>
            <w:u w:val="single" w:color="auto"/>
            <w:color w:val="0000FF"/>
          </w:rPr>
          <w:t>Exhibit 99.1</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this Current Report on Form 8-K and is incorporated by reference into this Item 2.02.</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140" w:type="dxa"/>
            <w:vAlign w:val="bottom"/>
          </w:tcPr>
          <w:p>
            <w:pPr>
              <w:spacing w:after="0"/>
              <w:rPr>
                <w:sz w:val="24"/>
                <w:szCs w:val="24"/>
                <w:color w:val="auto"/>
              </w:rPr>
            </w:pPr>
          </w:p>
        </w:tc>
        <w:tc>
          <w:tcPr>
            <w:tcW w:w="7080" w:type="dxa"/>
            <w:vAlign w:val="bottom"/>
            <w:gridSpan w:val="4"/>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March 8, 2022</w:t>
              </w:r>
            </w:hyperlink>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top w:val="single" w:sz="8" w:color="0000FF"/>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6880" w:type="dxa"/>
            <w:vAlign w:val="bottom"/>
            <w:gridSpan w:val="2"/>
          </w:tcPr>
          <w:p>
            <w:pPr>
              <w:ind w:left="270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280" w:type="dxa"/>
            <w:vAlign w:val="bottom"/>
          </w:tcPr>
          <w:p>
            <w:pPr>
              <w:spacing w:after="0"/>
              <w:rPr>
                <w:sz w:val="20"/>
                <w:szCs w:val="20"/>
                <w:color w:val="auto"/>
              </w:rPr>
            </w:pPr>
            <w:r>
              <w:rPr>
                <w:rFonts w:ascii="Arial" w:cs="Arial" w:eastAsia="Arial" w:hAnsi="Arial"/>
                <w:sz w:val="18"/>
                <w:szCs w:val="18"/>
                <w:color w:val="auto"/>
              </w:rPr>
              <w:t>Dated: March 8, 2022</w:t>
            </w:r>
          </w:p>
        </w:tc>
        <w:tc>
          <w:tcPr>
            <w:tcW w:w="4060" w:type="dxa"/>
            <w:vAlign w:val="bottom"/>
          </w:tcPr>
          <w:p>
            <w:pPr>
              <w:ind w:left="270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2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93"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2188210</wp:posOffset>
            </wp:positionH>
            <wp:positionV relativeFrom="page">
              <wp:posOffset>474980</wp:posOffset>
            </wp:positionV>
            <wp:extent cx="317182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1718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CUMBERLAND PHARMACEUTICALS REPORTS</w:t>
      </w:r>
    </w:p>
    <w:p>
      <w:pPr>
        <w:spacing w:after="0" w:line="139"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2021 FINANCIAL RESULTS &amp; COMPANY UPDATE</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22"/>
          <w:szCs w:val="22"/>
          <w:i w:val="1"/>
          <w:iCs w:val="1"/>
          <w:color w:val="auto"/>
        </w:rPr>
        <w:t>2021 highlights include agreement to acquire Sancuso</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and</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i w:val="1"/>
          <w:iCs w:val="1"/>
          <w:color w:val="auto"/>
        </w:rPr>
        <w:t>FDA approval for Caldolor</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administration prior to surgery</w:t>
      </w: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NASHVILLE, TENNESSEE (Tuesday, March 8, 2022) - Cumberland Pharmaceuticals Inc. (NASDAQ: CPIX)</w:t>
      </w:r>
      <w:r>
        <w:rPr>
          <w:rFonts w:ascii="Arial" w:cs="Arial" w:eastAsia="Arial" w:hAnsi="Arial"/>
          <w:sz w:val="22"/>
          <w:szCs w:val="22"/>
          <w:color w:val="auto"/>
        </w:rPr>
        <w:t>, a specialty</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company today announced full year 2021 financial results and provided a company update. Net revenues totaled $36 million, resulting in $6 million in cash flow from operations.</w:t>
      </w:r>
    </w:p>
    <w:p>
      <w:pPr>
        <w:spacing w:after="0" w:line="10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As of December 31, 2021, the company's total assets were $84 million, including $27 million in cash. Total liabilities were $42 million, including $15 million on its credit facility and total shareholders' equity was $43 million.</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“Despite the continued challenges of operating during a pandemic, our diversified product portfolio of FDA-approved brands has helped mitigate its negative effects and allowed us to deliver another steady performance in 2021,” said A.J. Kazimi, CEO of Cumberland Pharmaceuticals. “We closed out the year announcing our acquisition of Sancuso, an oncology-support drug that we believe will be favorable to our financial performance and provide significant benefits to oncology patients being treated for their cancers. We look forward to the year ahead and welcome the return to a more traditional operating environment.”</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Cumberland acquired the U.S rights to Sancuso</w:t>
      </w:r>
      <w:r>
        <w:rPr>
          <w:rFonts w:ascii="Arial" w:cs="Arial" w:eastAsia="Arial" w:hAnsi="Arial"/>
          <w:sz w:val="11"/>
          <w:szCs w:val="11"/>
          <w:color w:val="auto"/>
        </w:rPr>
        <w:t>®</w:t>
      </w:r>
      <w:r>
        <w:rPr>
          <w:rFonts w:ascii="Arial" w:cs="Arial" w:eastAsia="Arial" w:hAnsi="Arial"/>
          <w:sz w:val="22"/>
          <w:szCs w:val="22"/>
          <w:color w:val="auto"/>
        </w:rPr>
        <w:t xml:space="preserve"> from the U.S. subsidiary of Kyowa Kirin, a specialty pharmaceutical company based in Japan. Sancuso is the first and only FDA-approved prescription patch for the prevention of nausea and vomiting in cancer patients receiving certain types of chemotherapy treatment.</w:t>
      </w:r>
    </w:p>
    <w:p>
      <w:pPr>
        <w:spacing w:after="0" w:line="11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 day and night – to deliver the same therapeutic doses.</w:t>
      </w:r>
    </w:p>
    <w:p>
      <w:pPr>
        <w:spacing w:after="0" w:line="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Ahead of today’s earnings call, Cumberland announced the launch of </w:t>
      </w:r>
      <w:r>
        <w:rPr>
          <w:rFonts w:ascii="Arial" w:cs="Arial" w:eastAsia="Arial" w:hAnsi="Arial"/>
          <w:sz w:val="19"/>
          <w:szCs w:val="19"/>
          <w:i w:val="1"/>
          <w:iCs w:val="1"/>
          <w:color w:val="auto"/>
        </w:rPr>
        <w:t>Cumberland Oncology</w:t>
      </w:r>
      <w:r>
        <w:rPr>
          <w:rFonts w:ascii="Arial" w:cs="Arial" w:eastAsia="Arial" w:hAnsi="Arial"/>
          <w:sz w:val="19"/>
          <w:szCs w:val="19"/>
          <w:color w:val="auto"/>
        </w:rPr>
        <w:t>, a new division that will support Sansuco, and potentially other oncology products. In the fourth quarter of 2021, Cumberland extended its bank line of credit for a new three-year term and expanded the facility to provide up to $20 million in capital to fund the Sancuso acquisition.</w:t>
      </w:r>
    </w:p>
    <w:p>
      <w:pPr>
        <w:spacing w:after="0" w:line="5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In November 2021, Cumberland received FDA approval of expanded labeling for its Caldolor</w:t>
      </w:r>
      <w:r>
        <w:rPr>
          <w:rFonts w:ascii="Arial" w:cs="Arial" w:eastAsia="Arial" w:hAnsi="Arial"/>
          <w:sz w:val="11"/>
          <w:szCs w:val="11"/>
          <w:color w:val="auto"/>
        </w:rPr>
        <w:t>®</w:t>
      </w:r>
      <w:r>
        <w:rPr>
          <w:rFonts w:ascii="Arial" w:cs="Arial" w:eastAsia="Arial" w:hAnsi="Arial"/>
          <w:sz w:val="20"/>
          <w:szCs w:val="20"/>
          <w:color w:val="auto"/>
        </w:rPr>
        <w:t xml:space="preserve"> product. The intravenously delivered formulation of ibuprofen is now approved for use prior to surgery. Orthopedic surgeon Dr. Stephen Southworth, who has published extensively on intravenous ibuprofen, supported this development stating that “when administered immediately prior to surgery, patients given Caldolor experience less postoperative pain and a decrease in their opioid use.”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2"/>
          <w:szCs w:val="22"/>
          <w:color w:val="auto"/>
        </w:rPr>
        <w:t>Also during 2021, Cumberland implemented the national launch of RediTrex</w:t>
      </w:r>
      <w:r>
        <w:rPr>
          <w:rFonts w:ascii="Arial" w:cs="Arial" w:eastAsia="Arial" w:hAnsi="Arial"/>
          <w:sz w:val="11"/>
          <w:szCs w:val="11"/>
          <w:color w:val="auto"/>
        </w:rPr>
        <w:t>®</w:t>
      </w:r>
      <w:r>
        <w:rPr>
          <w:rFonts w:ascii="Arial" w:cs="Arial" w:eastAsia="Arial" w:hAnsi="Arial"/>
          <w:sz w:val="22"/>
          <w:szCs w:val="22"/>
          <w:color w:val="auto"/>
        </w:rPr>
        <w:t>, its FDA-approved line of injectable methotrexate products. RediTrex features an innovative delivery system for easy handling and dosing accuracy. It is approved for patients with severe, active rheumatoid arthritis and polyarticular juvenile idiopathic arthritis who have difficulty tolerating or responding to orally delivered methotrexate.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highlights from the year:</w:t>
      </w:r>
    </w:p>
    <w:p>
      <w:pPr>
        <w:spacing w:after="0" w:line="185" w:lineRule="exact"/>
        <w:rPr>
          <w:sz w:val="20"/>
          <w:szCs w:val="20"/>
          <w:color w:val="auto"/>
        </w:rPr>
      </w:pPr>
    </w:p>
    <w:p>
      <w:pPr>
        <w:jc w:val="both"/>
        <w:ind w:left="660" w:hanging="328"/>
        <w:spacing w:after="0" w:line="279" w:lineRule="auto"/>
        <w:tabs>
          <w:tab w:leader="none" w:pos="655" w:val="left"/>
        </w:tabs>
        <w:numPr>
          <w:ilvl w:val="0"/>
          <w:numId w:val="2"/>
        </w:numPr>
        <w:rPr>
          <w:rFonts w:ascii="Arial" w:cs="Arial" w:eastAsia="Arial" w:hAnsi="Arial"/>
          <w:sz w:val="20"/>
          <w:szCs w:val="20"/>
          <w:color w:val="auto"/>
        </w:rPr>
      </w:pPr>
      <w:r>
        <w:rPr>
          <w:rFonts w:ascii="Arial" w:cs="Arial" w:eastAsia="Arial" w:hAnsi="Arial"/>
          <w:sz w:val="20"/>
          <w:szCs w:val="20"/>
          <w:color w:val="auto"/>
        </w:rPr>
        <w:t>Cumberland signed an agreement with Verity Pharmaceuticals to license and commercialize Vibativ</w:t>
      </w:r>
      <w:r>
        <w:rPr>
          <w:rFonts w:ascii="Arial" w:cs="Arial" w:eastAsia="Arial" w:hAnsi="Arial"/>
          <w:sz w:val="11"/>
          <w:szCs w:val="11"/>
          <w:color w:val="auto"/>
        </w:rPr>
        <w:t>®</w:t>
      </w:r>
      <w:r>
        <w:rPr>
          <w:rFonts w:ascii="Arial" w:cs="Arial" w:eastAsia="Arial" w:hAnsi="Arial"/>
          <w:sz w:val="20"/>
          <w:szCs w:val="20"/>
          <w:color w:val="auto"/>
        </w:rPr>
        <w:t xml:space="preserve"> in Puerto Rico. Verity has a strong presence in Puerto Rico, which is in need of a product with Vibativ’s features, as it has a large number of residents living with chronic diseases, like diabetes, that increase the risk of hospitalization and infections. Vibativ is a patented, FDA-approved injectable anti-infective for the treatment of certain serious bacterial infections, including hospital-acquired and ventilator-associated bacterial pneumonia and complicated skin infections.</w:t>
      </w:r>
    </w:p>
    <w:p>
      <w:pPr>
        <w:spacing w:after="0" w:line="94" w:lineRule="exact"/>
        <w:rPr>
          <w:rFonts w:ascii="Arial" w:cs="Arial" w:eastAsia="Arial" w:hAnsi="Arial"/>
          <w:sz w:val="20"/>
          <w:szCs w:val="20"/>
          <w:color w:val="auto"/>
        </w:rPr>
      </w:pPr>
    </w:p>
    <w:p>
      <w:pPr>
        <w:jc w:val="both"/>
        <w:ind w:left="660" w:hanging="328"/>
        <w:spacing w:after="0" w:line="25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SciClone Pharmaceuticals, which has licensed Cumberland’s Vibativ product for China, submitted an application for the product’s approval in that market in early 2021. In September, the submission was accepted for review, which is expected to occur over a 12-month period.</w:t>
      </w:r>
    </w:p>
    <w:p>
      <w:pPr>
        <w:spacing w:after="0" w:line="117" w:lineRule="exact"/>
        <w:rPr>
          <w:rFonts w:ascii="Arial" w:cs="Arial" w:eastAsia="Arial" w:hAnsi="Arial"/>
          <w:sz w:val="22"/>
          <w:szCs w:val="22"/>
          <w:color w:val="auto"/>
        </w:rPr>
      </w:pPr>
    </w:p>
    <w:p>
      <w:pPr>
        <w:jc w:val="both"/>
        <w:ind w:left="660" w:hanging="328"/>
        <w:spacing w:after="0" w:line="302" w:lineRule="auto"/>
        <w:tabs>
          <w:tab w:leader="none" w:pos="655"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Enrollment in Cumberland’s clinical studies resumed after interruption due to the pandemic. Cumberland is sponsoring three Phase II clinical programs evaluating its ifetroban product candidates. These studies involve patients with cardiomyopathy associated with 1) </w:t>
      </w:r>
      <w:r>
        <w:rPr>
          <w:rFonts w:ascii="Arial" w:cs="Arial" w:eastAsia="Arial" w:hAnsi="Arial"/>
          <w:sz w:val="19"/>
          <w:szCs w:val="19"/>
          <w:i w:val="1"/>
          <w:iCs w:val="1"/>
          <w:color w:val="auto"/>
        </w:rPr>
        <w:t>Duchenne Muscular Dystrophy,</w:t>
      </w:r>
      <w:r>
        <w:rPr>
          <w:rFonts w:ascii="Arial" w:cs="Arial" w:eastAsia="Arial" w:hAnsi="Arial"/>
          <w:sz w:val="19"/>
          <w:szCs w:val="19"/>
          <w:color w:val="auto"/>
        </w:rPr>
        <w:t xml:space="preserve"> a fatal, genetic neuromuscular disease; 2) </w:t>
      </w:r>
      <w:r>
        <w:rPr>
          <w:rFonts w:ascii="Arial" w:cs="Arial" w:eastAsia="Arial" w:hAnsi="Arial"/>
          <w:sz w:val="19"/>
          <w:szCs w:val="19"/>
          <w:i w:val="1"/>
          <w:iCs w:val="1"/>
          <w:color w:val="auto"/>
        </w:rPr>
        <w:t>Systemic</w:t>
      </w:r>
      <w:r>
        <w:rPr>
          <w:rFonts w:ascii="Arial" w:cs="Arial" w:eastAsia="Arial" w:hAnsi="Arial"/>
          <w:sz w:val="19"/>
          <w:szCs w:val="19"/>
          <w:color w:val="auto"/>
        </w:rPr>
        <w:t xml:space="preserve"> </w:t>
      </w:r>
      <w:r>
        <w:rPr>
          <w:rFonts w:ascii="Arial" w:cs="Arial" w:eastAsia="Arial" w:hAnsi="Arial"/>
          <w:sz w:val="19"/>
          <w:szCs w:val="19"/>
          <w:i w:val="1"/>
          <w:iCs w:val="1"/>
          <w:color w:val="auto"/>
        </w:rPr>
        <w:t>Sclerosis</w:t>
      </w:r>
      <w:r>
        <w:rPr>
          <w:rFonts w:ascii="Arial" w:cs="Arial" w:eastAsia="Arial" w:hAnsi="Arial"/>
          <w:sz w:val="19"/>
          <w:szCs w:val="19"/>
          <w:color w:val="auto"/>
        </w:rPr>
        <w:t>, a debilitating autoimmune disorder; and 3)</w:t>
      </w:r>
      <w:r>
        <w:rPr>
          <w:rFonts w:ascii="Arial" w:cs="Arial" w:eastAsia="Arial" w:hAnsi="Arial"/>
          <w:sz w:val="19"/>
          <w:szCs w:val="19"/>
          <w:i w:val="1"/>
          <w:iCs w:val="1"/>
          <w:color w:val="auto"/>
        </w:rPr>
        <w:t xml:space="preserve"> Aspirin-Exacerbated Respiratory Disease</w:t>
      </w:r>
      <w:r>
        <w:rPr>
          <w:rFonts w:ascii="Arial" w:cs="Arial" w:eastAsia="Arial" w:hAnsi="Arial"/>
          <w:sz w:val="19"/>
          <w:szCs w:val="19"/>
          <w:color w:val="auto"/>
        </w:rPr>
        <w:t>, a severe form of asthma.</w:t>
      </w:r>
    </w:p>
    <w:p>
      <w:pPr>
        <w:spacing w:after="0" w:line="61" w:lineRule="exact"/>
        <w:rPr>
          <w:rFonts w:ascii="Arial" w:cs="Arial" w:eastAsia="Arial" w:hAnsi="Arial"/>
          <w:sz w:val="19"/>
          <w:szCs w:val="19"/>
          <w:color w:val="auto"/>
        </w:rPr>
      </w:pPr>
    </w:p>
    <w:p>
      <w:pPr>
        <w:jc w:val="both"/>
        <w:ind w:left="660" w:hanging="328"/>
        <w:spacing w:after="0" w:line="261" w:lineRule="auto"/>
        <w:tabs>
          <w:tab w:leader="none" w:pos="655" w:val="left"/>
        </w:tabs>
        <w:numPr>
          <w:ilvl w:val="0"/>
          <w:numId w:val="2"/>
        </w:numPr>
        <w:rPr>
          <w:rFonts w:ascii="Arial" w:cs="Arial" w:eastAsia="Arial" w:hAnsi="Arial"/>
          <w:sz w:val="21"/>
          <w:szCs w:val="21"/>
          <w:color w:val="auto"/>
        </w:rPr>
      </w:pPr>
      <w:r>
        <w:rPr>
          <w:rFonts w:ascii="Arial" w:cs="Arial" w:eastAsia="Arial" w:hAnsi="Arial"/>
          <w:sz w:val="21"/>
          <w:szCs w:val="21"/>
          <w:color w:val="auto"/>
        </w:rPr>
        <w:t>Cumberland issued its second annual Sustainability Report, which details the company’s activities pertaining to its environmental, social and governance matters. The 2020 Sustainability Report notes that Cumberland provided nearly 2.5 million patient doses of its products, safely disposed of over 4,000 pounds of expired and damaged products, and had no product recalls. Cumberland also had no company brands listed on the FDA’s MedWatch Safety Alerts for Human Medical Products, no company product issues identified by FDA from its Adverse Event Reporting System and no clinical trials terminated due to failure to practice good clinical standards.</w:t>
      </w:r>
    </w:p>
    <w:p>
      <w:pPr>
        <w:spacing w:after="0" w:line="111" w:lineRule="exact"/>
        <w:rPr>
          <w:rFonts w:ascii="Arial" w:cs="Arial" w:eastAsia="Arial" w:hAnsi="Arial"/>
          <w:sz w:val="21"/>
          <w:szCs w:val="21"/>
          <w:color w:val="auto"/>
        </w:rPr>
      </w:pPr>
    </w:p>
    <w:p>
      <w:pPr>
        <w:jc w:val="both"/>
        <w:ind w:left="660"/>
        <w:spacing w:after="0" w:line="265" w:lineRule="auto"/>
        <w:rPr>
          <w:rFonts w:ascii="Arial" w:cs="Arial" w:eastAsia="Arial" w:hAnsi="Arial"/>
          <w:sz w:val="21"/>
          <w:szCs w:val="21"/>
          <w:color w:val="auto"/>
        </w:rPr>
      </w:pPr>
      <w:r>
        <w:rPr>
          <w:rFonts w:ascii="Arial" w:cs="Arial" w:eastAsia="Arial" w:hAnsi="Arial"/>
          <w:sz w:val="21"/>
          <w:szCs w:val="21"/>
          <w:color w:val="auto"/>
        </w:rPr>
        <w:t>The 2020 Sustainability Report also highlights several initiatives Cumberland implemented as part of its commitment to delivering high-quality pharmaceutical products to improve patient care. For example, the company continued a program to serialize all commercial products sold in the U.S., allowing it to track every unit distributed, which helps to prevent counterfeit drugs from entering the market under the Cumberland brand.</w:t>
      </w:r>
    </w:p>
    <w:p>
      <w:pPr>
        <w:spacing w:after="0" w:line="107" w:lineRule="exact"/>
        <w:rPr>
          <w:rFonts w:ascii="Arial" w:cs="Arial" w:eastAsia="Arial" w:hAnsi="Arial"/>
          <w:sz w:val="21"/>
          <w:szCs w:val="21"/>
          <w:color w:val="auto"/>
        </w:rPr>
      </w:pPr>
    </w:p>
    <w:p>
      <w:pPr>
        <w:jc w:val="both"/>
        <w:ind w:left="660" w:hanging="328"/>
        <w:spacing w:after="0" w:line="250"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also announced its upcoming move to the new Broadwest campus in Nashville’s West End/Vanderbilt corridor. The new location will keep Cumberland close to the internationally recognized Vanderbilt Medical Center, with whom it regularly collaborates. It will also provide Cumberland a long-term home with increased efficiency and convenience for its overall operations.</w:t>
      </w:r>
    </w:p>
    <w:p>
      <w:pPr>
        <w:spacing w:after="0" w:line="106" w:lineRule="exact"/>
        <w:rPr>
          <w:rFonts w:ascii="Arial" w:cs="Arial" w:eastAsia="Arial" w:hAnsi="Arial"/>
          <w:sz w:val="22"/>
          <w:szCs w:val="22"/>
          <w:color w:val="auto"/>
        </w:rPr>
      </w:pPr>
    </w:p>
    <w:p>
      <w:pPr>
        <w:ind w:left="660" w:hanging="328"/>
        <w:spacing w:after="0" w:line="287" w:lineRule="auto"/>
        <w:tabs>
          <w:tab w:leader="none" w:pos="655" w:val="left"/>
        </w:tabs>
        <w:numPr>
          <w:ilvl w:val="0"/>
          <w:numId w:val="2"/>
        </w:numPr>
        <w:rPr>
          <w:rFonts w:ascii="Arial" w:cs="Arial" w:eastAsia="Arial" w:hAnsi="Arial"/>
          <w:sz w:val="21"/>
          <w:szCs w:val="21"/>
          <w:color w:val="auto"/>
        </w:rPr>
      </w:pPr>
      <w:r>
        <w:rPr>
          <w:rFonts w:ascii="Arial" w:cs="Arial" w:eastAsia="Arial" w:hAnsi="Arial"/>
          <w:sz w:val="21"/>
          <w:szCs w:val="21"/>
          <w:color w:val="auto"/>
        </w:rPr>
        <w:t>Cumberland also announced several publications in support of its products as well as a series of patient case studies outlining real-world instances in which Vibativ was used to effectively and safely treat COVID-19 patients.</w:t>
      </w:r>
    </w:p>
    <w:p>
      <w:pPr>
        <w:sectPr>
          <w:pgSz w:w="11900" w:h="16838" w:orient="portrait"/>
          <w:cols w:equalWidth="0" w:num="1">
            <w:col w:w="11240"/>
          </w:cols>
          <w:pgMar w:left="320" w:top="126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Net Revenue: </w:t>
      </w:r>
      <w:r>
        <w:rPr>
          <w:rFonts w:ascii="Arial" w:cs="Arial" w:eastAsia="Arial" w:hAnsi="Arial"/>
          <w:sz w:val="22"/>
          <w:szCs w:val="22"/>
          <w:color w:val="auto"/>
        </w:rPr>
        <w:t>For the three months ended December 31, 2021, net revenues from continuing operations were $8.3 million.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also recorded an additional $0.5 million in revenue during the fourth quarter associated with divested rights to products that the company no longer distributes.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color w:val="auto"/>
        </w:rPr>
        <w:t>Annual net revenues were $36.0 million, with an additional $2.0 million in revenue associated with divested product rights.</w:t>
      </w:r>
    </w:p>
    <w:p>
      <w:pPr>
        <w:spacing w:after="0" w:line="260"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Net revenue by product for the fourth quarter of 2021 included $3.7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$2.9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$1.2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 $0.2 million for Acetadote</w:t>
      </w:r>
      <w:r>
        <w:rPr>
          <w:rFonts w:ascii="Arial" w:cs="Arial" w:eastAsia="Arial" w:hAnsi="Arial"/>
          <w:sz w:val="28"/>
          <w:szCs w:val="28"/>
          <w:color w:val="auto"/>
          <w:vertAlign w:val="superscript"/>
        </w:rPr>
        <w:t>®</w:t>
      </w:r>
      <w:r>
        <w:rPr>
          <w:rFonts w:ascii="Arial" w:cs="Arial" w:eastAsia="Arial" w:hAnsi="Arial"/>
          <w:sz w:val="22"/>
          <w:szCs w:val="22"/>
          <w:color w:val="auto"/>
        </w:rPr>
        <w:t>, $0.1 million for Omeclamox</w:t>
      </w:r>
      <w:r>
        <w:rPr>
          <w:rFonts w:ascii="Arial" w:cs="Arial" w:eastAsia="Arial" w:hAnsi="Arial"/>
          <w:sz w:val="28"/>
          <w:szCs w:val="28"/>
          <w:color w:val="auto"/>
          <w:vertAlign w:val="superscript"/>
        </w:rPr>
        <w:t>®</w:t>
      </w:r>
      <w:r>
        <w:rPr>
          <w:rFonts w:ascii="Arial" w:cs="Arial" w:eastAsia="Arial" w:hAnsi="Arial"/>
          <w:sz w:val="22"/>
          <w:szCs w:val="22"/>
          <w:color w:val="auto"/>
        </w:rPr>
        <w:t>, $0.1 million for RediTrex</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a break-even point for Vaprisol</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136"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Annual net revenue by product included $16.0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$11.7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$5.0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 $1.9 million for Vaprisol</w:t>
      </w:r>
      <w:r>
        <w:rPr>
          <w:rFonts w:ascii="Arial" w:cs="Arial" w:eastAsia="Arial" w:hAnsi="Arial"/>
          <w:sz w:val="28"/>
          <w:szCs w:val="28"/>
          <w:color w:val="auto"/>
          <w:vertAlign w:val="superscript"/>
        </w:rPr>
        <w:t>®</w:t>
      </w:r>
      <w:r>
        <w:rPr>
          <w:rFonts w:ascii="Arial" w:cs="Arial" w:eastAsia="Arial" w:hAnsi="Arial"/>
          <w:sz w:val="22"/>
          <w:szCs w:val="22"/>
          <w:color w:val="auto"/>
        </w:rPr>
        <w:t>, $0.9 million for Acetadote</w:t>
      </w:r>
      <w:r>
        <w:rPr>
          <w:rFonts w:ascii="Arial" w:cs="Arial" w:eastAsia="Arial" w:hAnsi="Arial"/>
          <w:sz w:val="28"/>
          <w:szCs w:val="28"/>
          <w:color w:val="auto"/>
          <w:vertAlign w:val="superscript"/>
        </w:rPr>
        <w:t>®</w:t>
      </w:r>
      <w:r>
        <w:rPr>
          <w:rFonts w:ascii="Arial" w:cs="Arial" w:eastAsia="Arial" w:hAnsi="Arial"/>
          <w:sz w:val="22"/>
          <w:szCs w:val="22"/>
          <w:color w:val="auto"/>
        </w:rPr>
        <w:t>, $0.1 million for RediTrex</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Omeclamox</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reporting current year deductions over sales.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Operating Expenses: </w:t>
      </w:r>
      <w:r>
        <w:rPr>
          <w:rFonts w:ascii="Arial" w:cs="Arial" w:eastAsia="Arial" w:hAnsi="Arial"/>
          <w:sz w:val="19"/>
          <w:szCs w:val="19"/>
          <w:color w:val="auto"/>
        </w:rPr>
        <w:t>Total operating expenses for the fourth quarter were $12.7 million and $43.7 million for the full year 2021.</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Adjusted Earnings: </w:t>
      </w:r>
      <w:r>
        <w:rPr>
          <w:rFonts w:ascii="Arial" w:cs="Arial" w:eastAsia="Arial" w:hAnsi="Arial"/>
          <w:sz w:val="22"/>
          <w:szCs w:val="22"/>
          <w:color w:val="auto"/>
        </w:rPr>
        <w:t>Adjusted earnings for the fourth quarter of 2021 were $(1.9) million compared to a net loss of $(4.4)</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For the full year, adjusted earnings were $(1.2) million, or $(0.08) per share compared to a net loss of $(5.6) million, or $(0.37) per share.</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annual 2021 adjusted earnings calculation does not include the benefit of the $2.0 million in payments received for the two products returned. It also does not include the benefit of the $3.4 million of Vibativ cost of goods associated with sales of the product during the year, which was received with the product acquisition. Cumberland recorded an additional $1.1 million in a one-time write-off of expired inventory, also received as part of the acquisition.</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Cash flow from operations for the year ended December 31, 2021 was $6.3 million.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December 31, 2021, Cumberland had $84 million in total assets, including $27.0 million in cash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Total liabilities were $42 million, including $15 million outstanding on the Company's revolving line of credit. Total shareholders' equity was $43 million.</w:t>
      </w:r>
    </w:p>
    <w:p>
      <w:pPr>
        <w:sectPr>
          <w:pgSz w:w="11900" w:h="16838" w:orient="portrait"/>
          <w:cols w:equalWidth="0" w:num="1">
            <w:col w:w="11240"/>
          </w:cols>
          <w:pgMar w:left="320" w:top="787"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CONFERENCE CALL &amp; WEBCAST</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 conference call and live Internet webcast will be held today March 8, 2022 at 4:30 p.m. Eastern Time to discuss the results. To participate in the call, please dial (877) 303-1298 (for U.S. callers) or (253) 237-1032 (for international callers). A rebroadcast of the teleconference will be available for one week and can be accessed by dialing (855) 859-2056 (for U.S. callers) or (404) 537-3406 (for international callers). The Conference ID for the rebroadcast is 1497637. Both the live webcast and rebroadcast can be accessed via Cumberland's website at http://investor.cumberlandpharma.com/events-calendar.</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193"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Cumberland Pharmaceuticals Inc. </w:t>
      </w:r>
      <w:r>
        <w:rPr>
          <w:rFonts w:ascii="Arial" w:cs="Arial" w:eastAsia="Arial" w:hAnsi="Arial"/>
          <w:sz w:val="19"/>
          <w:szCs w:val="19"/>
          <w:color w:val="auto"/>
        </w:rPr>
        <w:t>is the largest biopharmaceutical company founded and headquartered in the Mid-South and</w:t>
      </w:r>
      <w:r>
        <w:rPr>
          <w:rFonts w:ascii="Arial" w:cs="Arial" w:eastAsia="Arial" w:hAnsi="Arial"/>
          <w:sz w:val="19"/>
          <w:szCs w:val="19"/>
          <w:b w:val="1"/>
          <w:bCs w:val="1"/>
          <w:color w:val="auto"/>
        </w:rPr>
        <w:t xml:space="preserve"> </w:t>
      </w:r>
      <w:r>
        <w:rPr>
          <w:rFonts w:ascii="Arial" w:cs="Arial" w:eastAsia="Arial" w:hAnsi="Arial"/>
          <w:sz w:val="19"/>
          <w:szCs w:val="19"/>
          <w:color w:val="auto"/>
        </w:rPr>
        <w:t>is focused on the delivery of high-quality, prescription brands designed to improve patient care. The company develops, acquires, and commercializes products for the hospital acute care, gastroenterology, rheumatology and oncology market segments.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Cumberland’s portfolio of FDA-approved brands includes:</w:t>
      </w:r>
    </w:p>
    <w:p>
      <w:pPr>
        <w:spacing w:after="0" w:line="17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Acetadote</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Caldolor</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Kristalose</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lactulose</w:t>
      </w:r>
      <w:r>
        <w:rPr>
          <w:rFonts w:ascii="Arial" w:cs="Arial" w:eastAsia="Arial" w:hAnsi="Arial"/>
          <w:sz w:val="22"/>
          <w:szCs w:val="22"/>
          <w:color w:val="auto"/>
        </w:rPr>
        <w:t>) for oral solution, a prescription laxative, for the treatment of constipation;</w:t>
      </w:r>
    </w:p>
    <w:p>
      <w:pPr>
        <w:spacing w:after="0" w:line="246" w:lineRule="exact"/>
        <w:rPr>
          <w:rFonts w:ascii="Arial" w:cs="Arial" w:eastAsia="Arial" w:hAnsi="Arial"/>
          <w:sz w:val="22"/>
          <w:szCs w:val="22"/>
          <w:color w:val="auto"/>
        </w:rPr>
      </w:pPr>
    </w:p>
    <w:p>
      <w:pPr>
        <w:ind w:left="660" w:right="820" w:hanging="328"/>
        <w:spacing w:after="0" w:line="26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Omeclamox</w:t>
      </w:r>
      <w:r>
        <w:rPr>
          <w:rFonts w:ascii="Arial" w:cs="Arial" w:eastAsia="Arial" w:hAnsi="Arial"/>
          <w:sz w:val="11"/>
          <w:szCs w:val="11"/>
          <w:b w:val="1"/>
          <w:bCs w:val="1"/>
          <w:color w:val="auto"/>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188" w:lineRule="exact"/>
        <w:rPr>
          <w:rFonts w:ascii="Arial" w:cs="Arial" w:eastAsia="Arial" w:hAnsi="Arial"/>
          <w:sz w:val="22"/>
          <w:szCs w:val="22"/>
          <w:color w:val="auto"/>
        </w:rPr>
      </w:pPr>
    </w:p>
    <w:p>
      <w:pPr>
        <w:ind w:left="660" w:hanging="328"/>
        <w:spacing w:after="0" w:line="26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RediTrex</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188" w:lineRule="exact"/>
        <w:rPr>
          <w:rFonts w:ascii="Arial" w:cs="Arial" w:eastAsia="Arial" w:hAnsi="Arial"/>
          <w:sz w:val="22"/>
          <w:szCs w:val="22"/>
          <w:color w:val="auto"/>
        </w:rPr>
      </w:pPr>
    </w:p>
    <w:p>
      <w:pPr>
        <w:ind w:left="660" w:right="20" w:hanging="328"/>
        <w:spacing w:after="0" w:line="26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granisetron)</w:t>
      </w:r>
      <w:r>
        <w:rPr>
          <w:rFonts w:ascii="Arial" w:cs="Arial" w:eastAsia="Arial" w:hAnsi="Arial"/>
          <w:sz w:val="22"/>
          <w:szCs w:val="22"/>
          <w:b w:val="1"/>
          <w:bCs w:val="1"/>
          <w:color w:val="auto"/>
        </w:rPr>
        <w:t xml:space="preserve"> </w:t>
      </w:r>
      <w:r>
        <w:rPr>
          <w:rFonts w:ascii="Arial" w:cs="Arial" w:eastAsia="Arial" w:hAnsi="Arial"/>
          <w:sz w:val="22"/>
          <w:szCs w:val="22"/>
          <w:color w:val="auto"/>
        </w:rPr>
        <w:t>transdermal system, for the prevention of nausea and vomiting in patients receiving certain types</w:t>
      </w:r>
      <w:r>
        <w:rPr>
          <w:rFonts w:ascii="Arial" w:cs="Arial" w:eastAsia="Arial" w:hAnsi="Arial"/>
          <w:sz w:val="22"/>
          <w:szCs w:val="22"/>
          <w:b w:val="1"/>
          <w:bCs w:val="1"/>
          <w:color w:val="auto"/>
        </w:rPr>
        <w:t xml:space="preserve"> </w:t>
      </w:r>
      <w:r>
        <w:rPr>
          <w:rFonts w:ascii="Arial" w:cs="Arial" w:eastAsia="Arial" w:hAnsi="Arial"/>
          <w:sz w:val="22"/>
          <w:szCs w:val="22"/>
          <w:color w:val="auto"/>
        </w:rPr>
        <w:t>of chemotherapy treatment;</w:t>
      </w:r>
    </w:p>
    <w:p>
      <w:pPr>
        <w:spacing w:after="0" w:line="188" w:lineRule="exact"/>
        <w:rPr>
          <w:rFonts w:ascii="Arial" w:cs="Arial" w:eastAsia="Arial" w:hAnsi="Arial"/>
          <w:sz w:val="22"/>
          <w:szCs w:val="22"/>
          <w:color w:val="auto"/>
        </w:rPr>
      </w:pPr>
    </w:p>
    <w:p>
      <w:pPr>
        <w:ind w:left="660" w:hanging="328"/>
        <w:spacing w:after="0" w:line="26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Vaprisol</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 hypervolemic</w:t>
      </w:r>
      <w:r>
        <w:rPr>
          <w:rFonts w:ascii="Arial" w:cs="Arial" w:eastAsia="Arial" w:hAnsi="Arial"/>
          <w:sz w:val="22"/>
          <w:szCs w:val="22"/>
          <w:b w:val="1"/>
          <w:bCs w:val="1"/>
          <w:color w:val="auto"/>
        </w:rPr>
        <w:t xml:space="preserve"> </w:t>
      </w:r>
      <w:r>
        <w:rPr>
          <w:rFonts w:ascii="Arial" w:cs="Arial" w:eastAsia="Arial" w:hAnsi="Arial"/>
          <w:sz w:val="22"/>
          <w:szCs w:val="22"/>
          <w:color w:val="auto"/>
        </w:rPr>
        <w:t>hyponatremia; and</w:t>
      </w:r>
    </w:p>
    <w:p>
      <w:pPr>
        <w:spacing w:after="0" w:line="188" w:lineRule="exact"/>
        <w:rPr>
          <w:rFonts w:ascii="Arial" w:cs="Arial" w:eastAsia="Arial" w:hAnsi="Arial"/>
          <w:sz w:val="22"/>
          <w:szCs w:val="22"/>
          <w:color w:val="auto"/>
        </w:rPr>
      </w:pPr>
    </w:p>
    <w:p>
      <w:pPr>
        <w:ind w:left="660" w:hanging="328"/>
        <w:spacing w:after="0" w:line="320" w:lineRule="auto"/>
        <w:tabs>
          <w:tab w:leader="none" w:pos="655"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Vibativ</w:t>
      </w:r>
      <w:r>
        <w:rPr>
          <w:rFonts w:ascii="Arial" w:cs="Arial" w:eastAsia="Arial" w:hAnsi="Arial"/>
          <w:sz w:val="11"/>
          <w:szCs w:val="1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certain serious bacterial infections including hospital-acquired and</w:t>
      </w:r>
      <w:r>
        <w:rPr>
          <w:rFonts w:ascii="Arial" w:cs="Arial" w:eastAsia="Arial" w:hAnsi="Arial"/>
          <w:sz w:val="20"/>
          <w:szCs w:val="20"/>
          <w:b w:val="1"/>
          <w:bCs w:val="1"/>
          <w:color w:val="auto"/>
        </w:rPr>
        <w:t xml:space="preserve"> </w:t>
      </w:r>
      <w:r>
        <w:rPr>
          <w:rFonts w:ascii="Arial" w:cs="Arial" w:eastAsia="Arial" w:hAnsi="Arial"/>
          <w:sz w:val="20"/>
          <w:szCs w:val="20"/>
          <w:color w:val="auto"/>
        </w:rPr>
        <w:t>ventilator-associated bacterial pneumonia, as well as complicated skin and skin structure infections.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also has a series of Phase II clinical programs underway evaluating its ifetroban product candidate in patients with cardiomyopathy associated with Duchenne Muscular Dystrophy (DMD), Systemic Sclerosis (SSc) and Aspirin-Exacerbated Respiratory Disease (AERD).</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more information on Cumberland’s approved products, including full prescribing information, please visit links to the individual product websites, which can be found on the company’s website at www.cumberlandpharma.com.</w:t>
      </w:r>
    </w:p>
    <w:p>
      <w:pPr>
        <w:sectPr>
          <w:pgSz w:w="11900" w:h="16838" w:orient="portrait"/>
          <w:cols w:equalWidth="0" w:num="1">
            <w:col w:w="11240"/>
          </w:cols>
          <w:pgMar w:left="320" w:top="1044"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Arial" w:cs="Arial" w:eastAsia="Arial" w:hAnsi="Arial"/>
          <w:sz w:val="19"/>
          <w:szCs w:val="19"/>
          <w:u w:val="single" w:color="auto"/>
          <w:color w:val="auto"/>
        </w:rPr>
        <w:t>www.acetadote.com</w:t>
      </w:r>
      <w:r>
        <w:rPr>
          <w:rFonts w:ascii="Arial" w:cs="Arial" w:eastAsia="Arial" w:hAnsi="Arial"/>
          <w:sz w:val="19"/>
          <w:szCs w:val="19"/>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Arial" w:cs="Arial" w:eastAsia="Arial" w:hAnsi="Arial"/>
          <w:sz w:val="21"/>
          <w:szCs w:val="21"/>
          <w:u w:val="single" w:color="auto"/>
          <w:color w:val="auto"/>
        </w:rPr>
        <w:t>www.caldolor.com</w:t>
      </w:r>
      <w:r>
        <w:rPr>
          <w:rFonts w:ascii="Arial" w:cs="Arial" w:eastAsia="Arial" w:hAnsi="Arial"/>
          <w:sz w:val="21"/>
          <w:szCs w:val="21"/>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Arial" w:cs="Arial" w:eastAsia="Arial" w:hAnsi="Arial"/>
          <w:sz w:val="19"/>
          <w:szCs w:val="19"/>
          <w:u w:val="single" w:color="auto"/>
          <w:color w:val="auto"/>
        </w:rPr>
        <w:t>www.kristalose.com</w:t>
      </w:r>
      <w:r>
        <w:rPr>
          <w:rFonts w:ascii="Arial" w:cs="Arial" w:eastAsia="Arial" w:hAnsi="Arial"/>
          <w:sz w:val="19"/>
          <w:szCs w:val="19"/>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t>
      </w:r>
      <w:r>
        <w:rPr>
          <w:rFonts w:ascii="Arial" w:cs="Arial" w:eastAsia="Arial" w:hAnsi="Arial"/>
          <w:sz w:val="22"/>
          <w:szCs w:val="22"/>
          <w:u w:val="single" w:color="auto"/>
          <w:color w:val="auto"/>
        </w:rPr>
        <w:t>www.omeclamox.com</w:t>
      </w:r>
      <w:r>
        <w:rPr>
          <w:rFonts w:ascii="Arial" w:cs="Arial" w:eastAsia="Arial" w:hAnsi="Arial"/>
          <w:sz w:val="22"/>
          <w:szCs w:val="22"/>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(methotrexate) Injection</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RediTrex is a single-dose prefilled syringe containing prescription methotrexate. RediTrex is used to treat adults with severe, active rheumatoid arthritis and children with active polyarticular juvenile idiopathic arthritis, after treatment with other medicines including non-steroidal anti-inflammatory drugs (NSAIDS) have been used and did not work well. Methotrexate can control the symptoms of severe, resistant, disabling psoriasis in adults when other types of treatment have failed. For full prescribing and safety information, visit www.reditrex.com.</w:t>
      </w:r>
    </w:p>
    <w:p>
      <w:pPr>
        <w:sectPr>
          <w:pgSz w:w="11900" w:h="16838" w:orient="portrait"/>
          <w:cols w:equalWidth="0" w:num="1">
            <w:col w:w="11240"/>
          </w:cols>
          <w:pgMar w:left="320" w:top="107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Sancuso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granisetron) Transdermal System</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Sancuso is the only skin patch approved by the U.S. Food and Drug Administration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be worn for up to seven days in a row for chemotherapy regimens of up to five consecutive days. For full prescribing and safety information, visit www.sancuso.com.</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1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Arial" w:cs="Arial" w:eastAsia="Arial" w:hAnsi="Arial"/>
          <w:sz w:val="22"/>
          <w:szCs w:val="22"/>
          <w:u w:val="single" w:color="auto"/>
          <w:color w:val="auto"/>
        </w:rPr>
        <w:t>www.vaprisol.com</w:t>
      </w:r>
      <w:r>
        <w:rPr>
          <w:rFonts w:ascii="Arial" w:cs="Arial" w:eastAsia="Arial" w:hAnsi="Arial"/>
          <w:sz w:val="22"/>
          <w:szCs w:val="22"/>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12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Arial" w:cs="Arial" w:eastAsia="Arial" w:hAnsi="Arial"/>
          <w:sz w:val="19"/>
          <w:szCs w:val="19"/>
          <w:u w:val="single" w:color="auto"/>
          <w:color w:val="auto"/>
        </w:rPr>
        <w:t>www.vibativ.com.</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Cumberland Emerging Technologies (CET)</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Cumberland Emerging Technologies, Inc. (</w:t>
      </w:r>
      <w:r>
        <w:rPr>
          <w:rFonts w:ascii="Arial" w:cs="Arial" w:eastAsia="Arial" w:hAnsi="Arial"/>
          <w:sz w:val="21"/>
          <w:szCs w:val="21"/>
          <w:u w:val="single" w:color="auto"/>
          <w:color w:val="auto"/>
        </w:rPr>
        <w:t>www.cet-fund.com</w:t>
      </w:r>
      <w:r>
        <w:rPr>
          <w:rFonts w:ascii="Arial" w:cs="Arial" w:eastAsia="Arial" w:hAnsi="Arial"/>
          <w:sz w:val="21"/>
          <w:szCs w:val="21"/>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07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our intent, belief or expectations, and can be identified by the use of terminology such as “may,” “will,” “expect,” “believe,” “intend,” “plan,” “estimate,” “should,” “seek,” “anticipate” and other comparable terms or the negative thereof. As with any business, all phases of Cumberland’s operations are subject to factors outside of its control, and any one or combination of these factors could materially affect Cumberland’s operation results. These factors include market conditions,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10-K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ectPr>
          <w:pgSz w:w="11900" w:h="16838" w:orient="portrait"/>
          <w:cols w:equalWidth="0" w:num="1">
            <w:col w:w="11240"/>
          </w:cols>
          <w:pgMar w:left="320" w:top="1071" w:right="339" w:bottom="1440" w:gutter="0" w:footer="0" w:header="0"/>
        </w:sectPr>
      </w:pP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Shayla Simpson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Cumberland Pharmaceuticals Inc.</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(615) 255-0068</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Molly Aggas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Dalton Agency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(704) 641-6641</w:t>
      </w:r>
    </w:p>
    <w:p>
      <w:pPr>
        <w:spacing w:after="0" w:line="211" w:lineRule="exact"/>
        <w:rPr>
          <w:sz w:val="20"/>
          <w:szCs w:val="20"/>
          <w:color w:val="auto"/>
        </w:rPr>
      </w:pPr>
    </w:p>
    <w:p>
      <w:pPr>
        <w:sectPr>
          <w:pgSz w:w="11900" w:h="16838" w:orient="portrait"/>
          <w:cols w:equalWidth="0" w:num="2">
            <w:col w:w="5080" w:space="720"/>
            <w:col w:w="5440"/>
          </w:cols>
          <w:pgMar w:left="320" w:top="10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240"/>
          </w:cols>
          <w:pgMar w:left="320" w:top="1071" w:right="3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Balance Sheets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December 31, 2021 and 2020</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173"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r>
      <w:tr>
        <w:trPr>
          <w:trHeight w:val="145"/>
        </w:trPr>
        <w:tc>
          <w:tcPr>
            <w:tcW w:w="5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27,040,816</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24,753,796</w:t>
            </w: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6,877,346</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12,377,713</w:t>
            </w:r>
          </w:p>
        </w:tc>
      </w:tr>
      <w:tr>
        <w:trPr>
          <w:trHeight w:val="27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8,429,882</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10,638,157</w:t>
            </w:r>
          </w:p>
        </w:tc>
      </w:tr>
      <w:tr>
        <w:trPr>
          <w:trHeight w:val="270"/>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3,339,969</w:t>
            </w:r>
          </w:p>
        </w:tc>
        <w:tc>
          <w:tcPr>
            <w:tcW w:w="1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2,199,926</w:t>
            </w:r>
          </w:p>
        </w:tc>
      </w:tr>
      <w:tr>
        <w:trPr>
          <w:trHeight w:val="25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45,688,013</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49,969,592</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Non-current inventory</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9,048,567</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11,656,742</w:t>
            </w: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442,635</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574,169</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23,954,475</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28,118,316</w:t>
            </w: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882,000</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1,024,200</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2,028,148</w:t>
            </w: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3,419,908</w:t>
            </w:r>
          </w:p>
        </w:tc>
        <w:tc>
          <w:tcPr>
            <w:tcW w:w="1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3,234,338</w:t>
            </w:r>
          </w:p>
        </w:tc>
      </w:tr>
      <w:tr>
        <w:trPr>
          <w:trHeight w:val="223"/>
        </w:trPr>
        <w:tc>
          <w:tcPr>
            <w:tcW w:w="53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84,459,798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96,463,305</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4"/>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
        </w:trPr>
        <w:tc>
          <w:tcPr>
            <w:tcW w:w="5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9,640,980</w:t>
            </w:r>
          </w:p>
        </w:tc>
        <w:tc>
          <w:tcPr>
            <w:tcW w:w="1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13,396,286</w:t>
            </w:r>
          </w:p>
        </w:tc>
      </w:tr>
      <w:tr>
        <w:trPr>
          <w:trHeight w:val="27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969,677</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1,016,779</w:t>
            </w:r>
          </w:p>
        </w:tc>
      </w:tr>
      <w:tr>
        <w:trPr>
          <w:trHeight w:val="270"/>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8,668,303</w:t>
            </w:r>
          </w:p>
        </w:tc>
        <w:tc>
          <w:tcPr>
            <w:tcW w:w="1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11,254,381</w:t>
            </w:r>
          </w:p>
        </w:tc>
      </w:tr>
      <w:tr>
        <w:trPr>
          <w:trHeight w:val="25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19,278,960</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25,667,446</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Revolving line of credit</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15,000,000</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w:t>
            </w: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non-current liabilities</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90,016</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1,059,693</w:t>
            </w:r>
          </w:p>
        </w:tc>
      </w:tr>
      <w:tr>
        <w:trPr>
          <w:trHeight w:val="27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7,488,844</w:t>
            </w:r>
          </w:p>
        </w:tc>
        <w:tc>
          <w:tcPr>
            <w:tcW w:w="1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7,862,772</w:t>
            </w:r>
          </w:p>
        </w:tc>
      </w:tr>
      <w:tr>
        <w:trPr>
          <w:trHeight w:val="25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41,857,820</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49,589,911</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
        </w:trPr>
        <w:tc>
          <w:tcPr>
            <w:tcW w:w="5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
        </w:trPr>
        <w:tc>
          <w:tcPr>
            <w:tcW w:w="5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75"/>
        </w:trPr>
        <w:tc>
          <w:tcPr>
            <w:tcW w:w="5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 no par value; 100,000,000 shares authorized;</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5"/>
        </w:trPr>
        <w:tc>
          <w:tcPr>
            <w:tcW w:w="5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14,742,754 and 14,988,429 shares issued and outstanding as of</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83"/>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2021 and 2020, respectively</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48,452,906</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49,121,523</w:t>
            </w:r>
          </w:p>
        </w:tc>
      </w:tr>
      <w:tr>
        <w:trPr>
          <w:trHeight w:val="270"/>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 (deficit)</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(5,638,600)</w:t>
            </w:r>
          </w:p>
        </w:tc>
        <w:tc>
          <w:tcPr>
            <w:tcW w:w="1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(2,131,013)</w:t>
            </w:r>
          </w:p>
        </w:tc>
      </w:tr>
      <w:tr>
        <w:trPr>
          <w:trHeight w:val="25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42,814,306</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46,990,510</w:t>
            </w:r>
          </w:p>
        </w:tc>
      </w:tr>
      <w:tr>
        <w:trPr>
          <w:trHeight w:val="27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(212,328)</w:t>
            </w:r>
          </w:p>
        </w:tc>
        <w:tc>
          <w:tcPr>
            <w:tcW w:w="1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(117,116)</w:t>
            </w:r>
          </w:p>
        </w:tc>
      </w:tr>
      <w:tr>
        <w:trPr>
          <w:trHeight w:val="25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42,601,978</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46,873,394</w:t>
            </w:r>
          </w:p>
        </w:tc>
      </w:tr>
      <w:tr>
        <w:trPr>
          <w:trHeight w:val="223"/>
        </w:trPr>
        <w:tc>
          <w:tcPr>
            <w:tcW w:w="53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84,459,798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96,463,305</w:t>
            </w: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963" w:right="1440" w:bottom="1440" w:gutter="0" w:footer="0" w:header="0"/>
        </w:sectPr>
      </w:pPr>
    </w:p>
    <w:bookmarkStart w:id="11" w:name="page12"/>
    <w:bookmarkEnd w:id="11"/>
    <w:p>
      <w:pPr>
        <w:jc w:val="both"/>
        <w:ind w:left="1900" w:right="1900"/>
        <w:spacing w:after="0" w:line="366" w:lineRule="auto"/>
        <w:rPr>
          <w:sz w:val="20"/>
          <w:szCs w:val="20"/>
          <w:color w:val="auto"/>
        </w:rPr>
      </w:pPr>
      <w:r>
        <w:rPr>
          <w:rFonts w:ascii="Arial" w:cs="Arial" w:eastAsia="Arial" w:hAnsi="Arial"/>
          <w:sz w:val="19"/>
          <w:szCs w:val="19"/>
          <w:b w:val="1"/>
          <w:bCs w:val="1"/>
          <w:color w:val="auto"/>
        </w:rPr>
        <w:t xml:space="preserve">CUMBERLAND PHARMACEUTICALS INC. AND SUBSIDIARIES </w:t>
      </w:r>
      <w:r>
        <w:rPr>
          <w:rFonts w:ascii="Arial" w:cs="Arial" w:eastAsia="Arial" w:hAnsi="Arial"/>
          <w:sz w:val="19"/>
          <w:szCs w:val="19"/>
          <w:color w:val="auto"/>
        </w:rPr>
        <w:t>Consolidated Statements of Operations and Comprehensive Income (Loss)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(Unaudited)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302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auto"/>
                <w:w w:val="97"/>
              </w:rPr>
              <w:t>Three months ended December 31,</w:t>
            </w:r>
          </w:p>
        </w:tc>
        <w:tc>
          <w:tcPr>
            <w:tcW w:w="2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3020" w:type="dxa"/>
            <w:vAlign w:val="bottom"/>
            <w:gridSpan w:val="6"/>
            <w:vMerge w:val="continue"/>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20"/>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8,319,861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10,261,534</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35,985,043</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37,441,134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3,325,243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2,266,018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8,811,248</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8,653,020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3,305,979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3,604,541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15,015,424</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14,765,465</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1,612,827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1,399,433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5,684,465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5,773,825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3,587,977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9,780,026</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10,196,299</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1,017,220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1,149,511</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4,371,300</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4,434,120</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12,673,857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12,007,480</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43,662,463</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43,822,729</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(4,353,996)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(1,745,946)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(7,677,420)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(6,381,595)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26,081</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75,345</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2,187,140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(35,897)</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(98,031)</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(263,627)</w:t>
            </w:r>
          </w:p>
        </w:tc>
        <w:tc>
          <w:tcPr>
            <w:tcW w:w="0" w:type="dxa"/>
            <w:vAlign w:val="bottom"/>
          </w:tcPr>
          <w:p>
            <w:pPr>
              <w:spacing w:after="0"/>
              <w:rPr>
                <w:sz w:val="1"/>
                <w:szCs w:val="1"/>
                <w:color w:val="auto"/>
              </w:rPr>
            </w:pPr>
          </w:p>
        </w:tc>
      </w:tr>
      <w:tr>
        <w:trPr>
          <w:trHeight w:val="223"/>
        </w:trPr>
        <w:tc>
          <w:tcPr>
            <w:tcW w:w="432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(4,375,060)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(1,777,051)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(5,562,230)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(6,569,877)</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w:t>
            </w:r>
          </w:p>
        </w:tc>
        <w:tc>
          <w:tcPr>
            <w:tcW w:w="0" w:type="dxa"/>
            <w:vAlign w:val="bottom"/>
          </w:tcPr>
          <w:p>
            <w:pPr>
              <w:spacing w:after="0"/>
              <w:rPr>
                <w:sz w:val="1"/>
                <w:szCs w:val="1"/>
                <w:color w:val="auto"/>
              </w:rPr>
            </w:pPr>
          </w:p>
        </w:tc>
      </w:tr>
      <w:tr>
        <w:trPr>
          <w:trHeight w:val="223"/>
        </w:trPr>
        <w:tc>
          <w:tcPr>
            <w:tcW w:w="4320" w:type="dxa"/>
            <w:vAlign w:val="bottom"/>
          </w:tcPr>
          <w:p>
            <w:pPr>
              <w:ind w:left="22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(4,387,576)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(1,787,530)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(5,597,121)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(6,625,779)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872,064</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1,994,322</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3,206,875</w:t>
            </w:r>
          </w:p>
        </w:tc>
        <w:tc>
          <w:tcPr>
            <w:tcW w:w="0" w:type="dxa"/>
            <w:vAlign w:val="bottom"/>
          </w:tcPr>
          <w:p>
            <w:pPr>
              <w:spacing w:after="0"/>
              <w:rPr>
                <w:sz w:val="1"/>
                <w:szCs w:val="1"/>
                <w:color w:val="auto"/>
              </w:rPr>
            </w:pPr>
          </w:p>
        </w:tc>
      </w:tr>
      <w:tr>
        <w:trPr>
          <w:trHeight w:val="223"/>
        </w:trPr>
        <w:tc>
          <w:tcPr>
            <w:tcW w:w="43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(3,884,258)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(915,466)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(3,602,799)</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(3,418,904)</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at subsidiary attributable to noncontrolling</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31,690</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95,212</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79,496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20"/>
              <w:spacing w:after="0"/>
              <w:rPr>
                <w:sz w:val="20"/>
                <w:szCs w:val="20"/>
                <w:color w:val="auto"/>
              </w:rPr>
            </w:pPr>
            <w:r>
              <w:rPr>
                <w:rFonts w:ascii="Arial" w:cs="Arial" w:eastAsia="Arial" w:hAnsi="Arial"/>
                <w:sz w:val="18"/>
                <w:szCs w:val="18"/>
                <w:color w:val="auto"/>
                <w:w w:val="93"/>
              </w:rPr>
              <w:t>Net income (loss) attributable to common shareholders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(3,847,697)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(883,776)</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(3,507,587)</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(3,339,408)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rPr>
              <w:t>Earnings (loss) per share attributable to common</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-Discontinuing operations-basic</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-Discontinuing operations-diluted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15,031,942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14,904,834</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15,162,184</w:t>
            </w: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14,800,722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15,031,942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14,904,834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15,162,184</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820" w:top="963" w:right="819" w:bottom="1440" w:gutter="0" w:footer="0" w:header="0"/>
        </w:sectPr>
      </w:pPr>
    </w:p>
    <w:bookmarkStart w:id="12" w:name="page13"/>
    <w:bookmarkEnd w:id="12"/>
    <w:p>
      <w:pPr>
        <w:jc w:val="center"/>
        <w:ind w:left="960" w:right="1760"/>
        <w:spacing w:after="0" w:line="330" w:lineRule="auto"/>
        <w:rPr>
          <w:sz w:val="20"/>
          <w:szCs w:val="20"/>
          <w:color w:val="auto"/>
        </w:rPr>
      </w:pPr>
      <w:r>
        <w:rPr>
          <w:rFonts w:ascii="Arial" w:cs="Arial" w:eastAsia="Arial" w:hAnsi="Arial"/>
          <w:sz w:val="22"/>
          <w:szCs w:val="22"/>
          <w:b w:val="1"/>
          <w:bCs w:val="1"/>
          <w:color w:val="auto"/>
        </w:rPr>
        <w:t xml:space="preserve">CUMBERLAND PHARMACEUTICALS INC. AND SUBSIDIARIES </w:t>
      </w:r>
      <w:r>
        <w:rPr>
          <w:rFonts w:ascii="Arial" w:cs="Arial" w:eastAsia="Arial" w:hAnsi="Arial"/>
          <w:sz w:val="22"/>
          <w:szCs w:val="22"/>
          <w:color w:val="auto"/>
        </w:rPr>
        <w:t>Condensed Consolidated Statements of Cash Flows Years ended December 31, 2021 and 2020 (Unaudited)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2020</w:t>
            </w:r>
          </w:p>
        </w:tc>
      </w:tr>
      <w:tr>
        <w:trPr>
          <w:trHeight w:val="145"/>
        </w:trPr>
        <w:tc>
          <w:tcPr>
            <w:tcW w:w="6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(3,602,799)</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(3,418,904)</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1,994,322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3,206,875</w:t>
            </w:r>
          </w:p>
        </w:tc>
      </w:tr>
      <w:tr>
        <w:trPr>
          <w:trHeight w:val="223"/>
        </w:trPr>
        <w:tc>
          <w:tcPr>
            <w:tcW w:w="6740" w:type="dxa"/>
            <w:vAlign w:val="bottom"/>
          </w:tcPr>
          <w:p>
            <w:pPr>
              <w:ind w:left="14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(5,597,121)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(6,625,779)</w:t>
            </w:r>
          </w:p>
        </w:tc>
      </w:tr>
      <w:tr>
        <w:trPr>
          <w:trHeight w:val="175"/>
        </w:trPr>
        <w:tc>
          <w:tcPr>
            <w:tcW w:w="6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Adjustments to reconcile net income (loss) to net cash flows provided by operating</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4,606,366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4,748,565</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expense</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741,867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1,046,516</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non-cash contingent consideration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(1,147,750)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(1,160,202)</w:t>
            </w: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Write-off of deferred offering costs</w:t>
            </w:r>
          </w:p>
        </w:tc>
        <w:tc>
          <w:tcPr>
            <w:tcW w:w="3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440,091</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cash surrender value of life insurance policies over premiums paid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(154,611)</w:t>
            </w: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34,053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47,636</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forgiveness of debt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5,500,367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(4,518,707)</w:t>
            </w:r>
          </w:p>
        </w:tc>
      </w:tr>
      <w:tr>
        <w:trPr>
          <w:trHeight w:val="229"/>
        </w:trPr>
        <w:tc>
          <w:tcPr>
            <w:tcW w:w="67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4,816,450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2,131,347</w:t>
            </w:r>
          </w:p>
        </w:tc>
      </w:tr>
      <w:tr>
        <w:trPr>
          <w:trHeight w:val="23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 and other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1,210,489</w:t>
            </w:r>
          </w:p>
        </w:tc>
      </w:t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(757,591)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6,569,002</w:t>
            </w:r>
          </w:p>
        </w:tc>
      </w:tr>
      <w:tr>
        <w:trPr>
          <w:trHeight w:val="229"/>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(1,343,605)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(1,859,330)</w:t>
            </w:r>
          </w:p>
        </w:tc>
      </w:tr>
      <w:tr>
        <w:trPr>
          <w:trHeight w:val="223"/>
        </w:trPr>
        <w:tc>
          <w:tcPr>
            <w:tcW w:w="6740" w:type="dxa"/>
            <w:vAlign w:val="bottom"/>
          </w:tcPr>
          <w:p>
            <w:pPr>
              <w:ind w:left="54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4,348,121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1,896,819</w:t>
            </w:r>
          </w:p>
        </w:tc>
      </w:tr>
      <w:tr>
        <w:trPr>
          <w:trHeight w:val="230"/>
        </w:trPr>
        <w:tc>
          <w:tcPr>
            <w:tcW w:w="6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1,994,322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3,518,242</w:t>
            </w:r>
          </w:p>
        </w:tc>
      </w:tr>
      <w:tr>
        <w:trPr>
          <w:trHeight w:val="223"/>
        </w:trPr>
        <w:tc>
          <w:tcPr>
            <w:tcW w:w="67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6,342,443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5,415,061</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(103,532)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(140,817)</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surrender of life insurance policies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460,888</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Premiums paid for life insurance policies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(33,375)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(104,750)</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intangible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(250,930)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(1,973,110)</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Note receivable investment funding</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(501,893)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(1,757,789)</w:t>
            </w:r>
          </w:p>
        </w:tc>
      </w:tr>
    </w:tbl>
    <w:p>
      <w:pPr>
        <w:sectPr>
          <w:pgSz w:w="11900" w:h="16838" w:orient="portrait"/>
          <w:cols w:equalWidth="0" w:num="1">
            <w:col w:w="10120"/>
          </w:cols>
          <w:pgMar w:left="820" w:top="963" w:right="9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r>
      <w:tr>
        <w:trPr>
          <w:trHeight w:val="145"/>
        </w:trPr>
        <w:tc>
          <w:tcPr>
            <w:tcW w:w="67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Borrowings on line of credit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59,000,000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59,000,000</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line of credit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(59,000,000)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(62,500,000)</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Payments made in connection with repurchase of common shares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(1,386,849)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(1,851,526)</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settlement of contingent consideration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(2,166,681)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(819,180)</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Repurchase of subsidiary shares from noncontrolling interest</w:t>
            </w:r>
          </w:p>
        </w:tc>
        <w:tc>
          <w:tcPr>
            <w:tcW w:w="3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deferred equity offering costs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(135,405)</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Payments of deferred financing costs</w:t>
            </w:r>
          </w:p>
        </w:tc>
        <w:tc>
          <w:tcPr>
            <w:tcW w:w="3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6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(3,553,530)</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(7,116,111)</w:t>
            </w:r>
          </w:p>
        </w:tc>
      </w:tr>
      <w:tr>
        <w:trPr>
          <w:trHeight w:val="230"/>
        </w:trPr>
        <w:tc>
          <w:tcPr>
            <w:tcW w:w="6740" w:type="dxa"/>
            <w:vAlign w:val="bottom"/>
          </w:tcPr>
          <w:p>
            <w:pPr>
              <w:ind w:left="5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2,287,020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(3,458,839)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28,212,635</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Cash and cash equivalents,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27,040,816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24,753,796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20"/>
          </w:cols>
          <w:pgMar w:left="820" w:top="936" w:right="95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82" w:lineRule="exact"/>
        <w:rPr>
          <w:sz w:val="20"/>
          <w:szCs w:val="20"/>
          <w:color w:val="auto"/>
        </w:rPr>
      </w:pPr>
    </w:p>
    <w:p>
      <w:pPr>
        <w:jc w:val="center"/>
        <w:ind w:left="340" w:right="240"/>
        <w:spacing w:after="0" w:line="251" w:lineRule="auto"/>
        <w:rPr>
          <w:sz w:val="20"/>
          <w:szCs w:val="20"/>
          <w:color w:val="auto"/>
        </w:rPr>
      </w:pPr>
      <w:r>
        <w:rPr>
          <w:rFonts w:ascii="Arial" w:cs="Arial" w:eastAsia="Arial" w:hAnsi="Arial"/>
          <w:sz w:val="20"/>
          <w:szCs w:val="20"/>
          <w:color w:val="auto"/>
        </w:rPr>
        <w:t>Reconciliation of Net Income (Loss) Attributable to Common Shareholders to Adjusted Earnings (Loss) and Adjusted Diluted Earnings (Loss) Per Share</w:t>
      </w:r>
    </w:p>
    <w:p>
      <w:pPr>
        <w:jc w:val="center"/>
        <w:spacing w:after="0"/>
        <w:rPr>
          <w:sz w:val="20"/>
          <w:szCs w:val="20"/>
          <w:color w:val="auto"/>
        </w:rPr>
      </w:pPr>
      <w:r>
        <w:rPr>
          <w:rFonts w:ascii="Arial" w:cs="Arial" w:eastAsia="Arial" w:hAnsi="Arial"/>
          <w:sz w:val="22"/>
          <w:szCs w:val="22"/>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1"/>
              </w:rPr>
              <w:t>Three months ended December 31,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89"/>
              </w:rPr>
              <w:t>Three months ended December 31,</w:t>
            </w:r>
          </w:p>
        </w:tc>
        <w:tc>
          <w:tcPr>
            <w:tcW w:w="0" w:type="dxa"/>
            <w:vAlign w:val="bottom"/>
          </w:tcPr>
          <w:p>
            <w:pPr>
              <w:spacing w:after="0"/>
              <w:rPr>
                <w:sz w:val="1"/>
                <w:szCs w:val="1"/>
                <w:color w:val="auto"/>
              </w:rPr>
            </w:pPr>
          </w:p>
        </w:tc>
      </w:tr>
      <w:tr>
        <w:trPr>
          <w:trHeight w:val="222"/>
        </w:trPr>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48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6"/>
              </w:rPr>
              <w:t>Earnings per share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89"/>
              </w:rPr>
              <w:t>Earnings per share</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94"/>
        </w:trPr>
        <w:tc>
          <w:tcPr>
            <w:tcW w:w="5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(3,847,697)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(883,776)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Less: Net loss at subsidiary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(3,884,258)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(915,466)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872,064</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(4,387,576)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(1,787,530)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1,077,121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1,223,881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241,178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Write down of expired inventory </w:t>
            </w:r>
            <w:r>
              <w:rPr>
                <w:rFonts w:ascii="Arial" w:cs="Arial" w:eastAsia="Arial" w:hAnsi="Arial"/>
                <w:sz w:val="23"/>
                <w:szCs w:val="23"/>
                <w:color w:val="auto"/>
                <w:vertAlign w:val="superscript"/>
              </w:rPr>
              <w:t>(b)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1,135,833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Write-off of deferred offering costs expense </w:t>
            </w:r>
            <w:r>
              <w:rPr>
                <w:rFonts w:ascii="Arial" w:cs="Arial" w:eastAsia="Arial" w:hAnsi="Arial"/>
                <w:sz w:val="23"/>
                <w:szCs w:val="23"/>
                <w:color w:val="auto"/>
                <w:vertAlign w:val="superscript"/>
              </w:rPr>
              <w:t>(c)</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440,091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(4,792)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2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Adjusted Earnings (loss) from continuing operations and</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6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4"/>
              </w:rPr>
              <w:t>Adjusted Diluted Earnings (loss) from continuing operations Per</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(1,916,256)</w:t>
            </w:r>
          </w:p>
        </w:tc>
        <w:tc>
          <w:tcPr>
            <w:tcW w:w="12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159,204</w:t>
            </w:r>
          </w:p>
        </w:tc>
        <w:tc>
          <w:tcPr>
            <w:tcW w:w="16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w:t>
            </w: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14,800,722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15,031,942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63"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Year ended December 31,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60" w:type="dxa"/>
            <w:vAlign w:val="bottom"/>
            <w:gridSpan w:val="2"/>
          </w:tcPr>
          <w:p>
            <w:pPr>
              <w:ind w:left="20"/>
              <w:spacing w:after="0" w:line="169" w:lineRule="exact"/>
              <w:rPr>
                <w:sz w:val="20"/>
                <w:szCs w:val="20"/>
                <w:color w:val="auto"/>
              </w:rPr>
            </w:pPr>
            <w:r>
              <w:rPr>
                <w:rFonts w:ascii="Arial" w:cs="Arial" w:eastAsia="Arial" w:hAnsi="Arial"/>
                <w:sz w:val="18"/>
                <w:szCs w:val="18"/>
                <w:color w:val="auto"/>
                <w:w w:val="86"/>
              </w:rPr>
              <w:t>Earnings per share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89"/>
              </w:rPr>
              <w:t>Earnings per share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(3,507,587)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(3,339,408)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Less: Net loss at subsidiary attributable to noncontrolling interests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79,496</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(3,602,799)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(3,418,904)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1,994,322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3,206,875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(5,597,121)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(6,625,779)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4,606,366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4,748,565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1,046,516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Write down of expired inventory </w:t>
            </w:r>
            <w:r>
              <w:rPr>
                <w:rFonts w:ascii="Arial" w:cs="Arial" w:eastAsia="Arial" w:hAnsi="Arial"/>
                <w:sz w:val="23"/>
                <w:szCs w:val="23"/>
                <w:color w:val="auto"/>
                <w:vertAlign w:val="superscript"/>
              </w:rPr>
              <w:t>(b)</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1,135,833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Write-off of deferred offering costs expense </w:t>
            </w:r>
            <w:r>
              <w:rPr>
                <w:rFonts w:ascii="Arial" w:cs="Arial" w:eastAsia="Arial" w:hAnsi="Arial"/>
                <w:sz w:val="23"/>
                <w:szCs w:val="23"/>
                <w:color w:val="auto"/>
                <w:vertAlign w:val="superscript"/>
              </w:rPr>
              <w:t>(c)</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440,091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Gain on forgiveness of debt </w:t>
            </w:r>
            <w:r>
              <w:rPr>
                <w:rFonts w:ascii="Arial" w:cs="Arial" w:eastAsia="Arial" w:hAnsi="Arial"/>
                <w:sz w:val="23"/>
                <w:szCs w:val="23"/>
                <w:color w:val="auto"/>
                <w:vertAlign w:val="superscript"/>
              </w:rPr>
              <w:t>(d)</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(2,187,140)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263,627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56"/>
        </w:trPr>
        <w:tc>
          <w:tcPr>
            <w:tcW w:w="52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Adjusted Earnings (loss) from continuing operations and</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Adjusted Diluted Earnings (loss) from continuing operations Per</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(1,193,354)</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(146,423)</w:t>
            </w:r>
          </w:p>
        </w:tc>
        <w:tc>
          <w:tcPr>
            <w:tcW w:w="16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w:t>
            </w:r>
          </w:p>
        </w:tc>
        <w:tc>
          <w:tcPr>
            <w:tcW w:w="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14,904,834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15,162,184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ectPr>
          <w:pgSz w:w="11900" w:h="16838" w:orient="portrait"/>
          <w:cols w:equalWidth="0" w:num="1">
            <w:col w:w="11240"/>
          </w:cols>
          <w:pgMar w:left="320" w:top="945"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79" w:lineRule="exact"/>
        <w:rPr>
          <w:sz w:val="20"/>
          <w:szCs w:val="20"/>
          <w:color w:val="auto"/>
        </w:rPr>
      </w:pPr>
    </w:p>
    <w:p>
      <w:pPr>
        <w:jc w:val="both"/>
        <w:ind w:left="660" w:hanging="328"/>
        <w:spacing w:after="0" w:line="250"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Adjusted Earnings: </w:t>
      </w:r>
      <w:r>
        <w:rPr>
          <w:rFonts w:ascii="Arial" w:cs="Arial" w:eastAsia="Arial" w:hAnsi="Arial"/>
          <w:sz w:val="22"/>
          <w:szCs w:val="22"/>
          <w:color w:val="auto"/>
        </w:rPr>
        <w:t>net income (loss) adjusted for the impact of discontinued operations, income taxes, depreciation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amortization expense, share-based compensation, write down of expired inventory, write-off of deferred offering costs expense, loan forgiveness and other income and interest expense.</w:t>
      </w:r>
    </w:p>
    <w:p>
      <w:pPr>
        <w:spacing w:after="0" w:line="2" w:lineRule="exact"/>
        <w:rPr>
          <w:rFonts w:ascii="Arial" w:cs="Arial" w:eastAsia="Arial" w:hAnsi="Arial"/>
          <w:sz w:val="22"/>
          <w:szCs w:val="22"/>
          <w:color w:val="auto"/>
        </w:rPr>
      </w:pPr>
    </w:p>
    <w:p>
      <w:pPr>
        <w:ind w:left="1160" w:hanging="288"/>
        <w:spacing w:after="0"/>
        <w:tabs>
          <w:tab w:leader="none" w:pos="1160" w:val="left"/>
        </w:tabs>
        <w:numPr>
          <w:ilvl w:val="1"/>
          <w:numId w:val="4"/>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228" w:lineRule="exact"/>
        <w:rPr>
          <w:rFonts w:ascii="Arial" w:cs="Arial" w:eastAsia="Arial" w:hAnsi="Arial"/>
          <w:sz w:val="22"/>
          <w:szCs w:val="22"/>
          <w:color w:val="auto"/>
        </w:rPr>
      </w:pPr>
    </w:p>
    <w:p>
      <w:pPr>
        <w:ind w:left="1600" w:hanging="296"/>
        <w:spacing w:after="0"/>
        <w:tabs>
          <w:tab w:leader="none" w:pos="1600" w:val="left"/>
        </w:tabs>
        <w:numPr>
          <w:ilvl w:val="2"/>
          <w:numId w:val="4"/>
        </w:numPr>
        <w:rPr>
          <w:rFonts w:ascii="Arial" w:cs="Arial" w:eastAsia="Arial" w:hAnsi="Arial"/>
          <w:sz w:val="22"/>
          <w:szCs w:val="22"/>
          <w:color w:val="auto"/>
        </w:rPr>
      </w:pPr>
      <w:r>
        <w:rPr>
          <w:rFonts w:ascii="Arial" w:cs="Arial" w:eastAsia="Arial" w:hAnsi="Arial"/>
          <w:sz w:val="22"/>
          <w:szCs w:val="22"/>
          <w:color w:val="auto"/>
        </w:rPr>
        <w:t>Represents the write down of expired inventory.</w:t>
      </w:r>
    </w:p>
    <w:p>
      <w:pPr>
        <w:spacing w:after="0" w:line="246" w:lineRule="exact"/>
        <w:rPr>
          <w:rFonts w:ascii="Arial" w:cs="Arial" w:eastAsia="Arial" w:hAnsi="Arial"/>
          <w:sz w:val="22"/>
          <w:szCs w:val="22"/>
          <w:color w:val="auto"/>
        </w:rPr>
      </w:pPr>
    </w:p>
    <w:p>
      <w:pPr>
        <w:ind w:left="1600" w:hanging="296"/>
        <w:spacing w:after="0"/>
        <w:tabs>
          <w:tab w:leader="none" w:pos="1600" w:val="left"/>
        </w:tabs>
        <w:numPr>
          <w:ilvl w:val="2"/>
          <w:numId w:val="4"/>
        </w:numPr>
        <w:rPr>
          <w:rFonts w:ascii="Arial" w:cs="Arial" w:eastAsia="Arial" w:hAnsi="Arial"/>
          <w:sz w:val="22"/>
          <w:szCs w:val="22"/>
          <w:color w:val="auto"/>
        </w:rPr>
      </w:pPr>
      <w:r>
        <w:rPr>
          <w:rFonts w:ascii="Arial" w:cs="Arial" w:eastAsia="Arial" w:hAnsi="Arial"/>
          <w:sz w:val="22"/>
          <w:szCs w:val="22"/>
          <w:color w:val="auto"/>
        </w:rPr>
        <w:t>Represents the write-off of deferred offering costs associated with our previous S-3.</w:t>
      </w:r>
    </w:p>
    <w:p>
      <w:pPr>
        <w:spacing w:after="0" w:line="246" w:lineRule="exact"/>
        <w:rPr>
          <w:rFonts w:ascii="Arial" w:cs="Arial" w:eastAsia="Arial" w:hAnsi="Arial"/>
          <w:sz w:val="22"/>
          <w:szCs w:val="22"/>
          <w:color w:val="auto"/>
        </w:rPr>
      </w:pPr>
    </w:p>
    <w:p>
      <w:pPr>
        <w:ind w:left="1600" w:hanging="296"/>
        <w:spacing w:after="0"/>
        <w:tabs>
          <w:tab w:leader="none" w:pos="1600" w:val="left"/>
        </w:tabs>
        <w:numPr>
          <w:ilvl w:val="2"/>
          <w:numId w:val="4"/>
        </w:numPr>
        <w:rPr>
          <w:rFonts w:ascii="Arial" w:cs="Arial" w:eastAsia="Arial" w:hAnsi="Arial"/>
          <w:sz w:val="22"/>
          <w:szCs w:val="22"/>
          <w:color w:val="auto"/>
        </w:rPr>
      </w:pPr>
      <w:r>
        <w:rPr>
          <w:rFonts w:ascii="Arial" w:cs="Arial" w:eastAsia="Arial" w:hAnsi="Arial"/>
          <w:sz w:val="22"/>
          <w:szCs w:val="22"/>
          <w:color w:val="auto"/>
        </w:rPr>
        <w:t>Represents the forgiveness of the PPP Loan by the Small Business Administration.</w:t>
      </w:r>
    </w:p>
    <w:p>
      <w:pPr>
        <w:spacing w:after="0" w:line="240" w:lineRule="exact"/>
        <w:rPr>
          <w:rFonts w:ascii="Arial" w:cs="Arial" w:eastAsia="Arial" w:hAnsi="Arial"/>
          <w:sz w:val="22"/>
          <w:szCs w:val="22"/>
          <w:color w:val="auto"/>
        </w:rPr>
      </w:pPr>
    </w:p>
    <w:p>
      <w:pPr>
        <w:ind w:left="660" w:right="20" w:hanging="328"/>
        <w:spacing w:after="0" w:line="269" w:lineRule="auto"/>
        <w:tabs>
          <w:tab w:leader="none" w:pos="655"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Per Share: </w:t>
      </w:r>
      <w:r>
        <w:rPr>
          <w:rFonts w:ascii="Arial" w:cs="Arial" w:eastAsia="Arial" w:hAnsi="Arial"/>
          <w:sz w:val="22"/>
          <w:szCs w:val="22"/>
          <w:color w:val="auto"/>
        </w:rPr>
        <w:t>Adjusted Earnings (loss) divided by diluted weighted-average common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w:t>
      </w:r>
    </w:p>
    <w:sectPr>
      <w:pgSz w:w="11900" w:h="16838" w:orient="portrait"/>
      <w:cols w:equalWidth="0" w:num="1">
        <w:col w:w="11240"/>
      </w:cols>
      <w:pgMar w:left="320" w:top="9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2022-03-08T16:19:20Z</dcterms:created>
  <dcterms:modified xsi:type="dcterms:W3CDTF">2022-03-08T16:19:20Z</dcterms:modified>
</cp:coreProperties>
</file>