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November 18, 2025 (November 18, 2025)</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CUMBERLAND PHARMACEUTICALS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1600 West End Avenue, Suite 1300 Nashville, Tennessee 37203</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(615) 255-0068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18, 2025, Cumberland Pharmaceuticals Inc. (the “Company” or “Cumberland”) and Pinnacle Bank ("Pinnacle") fully executed the First Amendment to Amended and Restated Revolving Credit Note and Second Amendment to Amended and Restated Revolving Credit Loan Agreement (the "Amendment"). The original Pinnacle agreement was dated September 5, 2023. The Amendment provides for a principal available for borrowing of up to $15 million. The Company has the right to request an increase of up to an additional $10 million. The aggregate principal funding amount remains unchanged of up to $25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is subject to a financial covenant, maintenance of a Minimum Fixed Charge Coverage Ratio determined on a quarterly basis, along with Borrowing Base Requirements, as defined. The interest rate on funds borrowed is based on Benchmark Term SOFR plus 2.75%. Borrowings under the line of credit are collateralized by substantially all of the Company’s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Amendment extends the maturity date to October 1, 2027.</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1.01 of this Current Report on Form 8-K that relates to the creation of a direct financial obligation of the Company is incorporated by reference herein.</w:t>
      </w:r>
    </w:p>
    <w:p>
      <w:pPr>
        <w:pStyle w:val="TextBody"/>
        <w:bidi w:val="0"/>
        <w:spacing w:lineRule="auto" w:line="417" w:before="10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417" w:before="100" w:after="283"/>
        <w:jc w:val="left"/>
        <w:rPr>
          <w:color w:val="000000"/>
        </w:rPr>
      </w:pPr>
      <w:r>
        <w:rPr>
          <w:color w:val="000000"/>
        </w:rPr>
        <w:t>    </w:t>
      </w:r>
      <w:r>
        <w:rPr>
          <w:rFonts w:ascii="Times New Roman;serif" w:hAnsi="Times New Roman;serif"/>
          <w:b w:val="false"/>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318"/>
        <w:gridCol w:w="279"/>
        <w:gridCol w:w="280"/>
        <w:gridCol w:w="109"/>
        <w:gridCol w:w="109"/>
        <w:gridCol w:w="109"/>
        <w:gridCol w:w="2624"/>
        <w:gridCol w:w="2624"/>
        <w:gridCol w:w="3753"/>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umberlandpharm-1stamdtoar.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umberlandpharm-1stamdtoar.htm">
              <w:r>
                <w:rPr>
                  <w:rStyle w:val="InternetLink"/>
                  <w:rFonts w:ascii="Times New Roman;serif" w:hAnsi="Times New Roman;serif"/>
                  <w:b w:val="false"/>
                  <w:color w:val="0000FF"/>
                  <w:sz w:val="20"/>
                  <w:u w:val="single"/>
                </w:rPr>
                <w:t>First Amendment to Amended and Restated Revolving Credit Note and Second Amendment to Amended and Restated Revolving Credit Loan Agreement, dated as of November 12, 2025, by and between Cumberland Pharmaceuticals Inc. and Pinnacle Bank</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5"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25"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07" w:type="dxa"/>
        <w:jc w:val="center"/>
        <w:tblInd w:w="0" w:type="dxa"/>
        <w:tblLayout w:type="fixed"/>
        <w:tblCellMar>
          <w:top w:w="28" w:type="dxa"/>
          <w:left w:w="28" w:type="dxa"/>
          <w:bottom w:w="28" w:type="dxa"/>
          <w:right w:w="28" w:type="dxa"/>
        </w:tblCellMar>
      </w:tblPr>
      <w:tblGrid>
        <w:gridCol w:w="835"/>
        <w:gridCol w:w="734"/>
        <w:gridCol w:w="741"/>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Cumberland Pharmaceuticals Inc.</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November 21,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Hamm</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FIRST AMENDMENT TO AMENDED AND RESTATED REVOLVING CREDIT NOTE AND SECOND AMENDMENT TO AMENDED AND RESTATED</w:t>
      </w:r>
    </w:p>
    <w:p>
      <w:pPr>
        <w:pStyle w:val="TextBody"/>
        <w:bidi w:val="0"/>
        <w:spacing w:lineRule="auto" w:line="288" w:before="0" w:after="360"/>
        <w:jc w:val="center"/>
        <w:rPr>
          <w:rFonts w:ascii="Times New Roman;serif" w:hAnsi="Times New Roman;serif"/>
          <w:b/>
          <w:color w:val="000000"/>
          <w:sz w:val="22"/>
        </w:rPr>
      </w:pPr>
      <w:r>
        <w:rPr>
          <w:rFonts w:ascii="Times New Roman;serif" w:hAnsi="Times New Roman;serif"/>
          <w:b/>
          <w:color w:val="000000"/>
          <w:sz w:val="22"/>
        </w:rPr>
        <w:t>REVOLVING CREDIT LOAN AGREEMENT</w:t>
      </w:r>
    </w:p>
    <w:p>
      <w:pPr>
        <w:pStyle w:val="TextBody"/>
        <w:bidi w:val="0"/>
        <w:spacing w:lineRule="auto" w:line="288" w:before="360" w:after="240"/>
        <w:ind w:left="0" w:right="0" w:firstLine="720"/>
        <w:jc w:val="both"/>
        <w:rPr/>
      </w:pPr>
      <w:r>
        <w:rPr>
          <w:rFonts w:ascii="Times New Roman;serif" w:hAnsi="Times New Roman;serif"/>
          <w:b w:val="false"/>
          <w:color w:val="000000"/>
          <w:sz w:val="22"/>
        </w:rPr>
        <w:t>THIS FIRST AMENDMENT TO AMENDED AND RESTATED REVOLVING CREDIT NOTE AND SECOND AMENDMENT TO AMENDED AND RESTATED REVOLVING CREDIT LOAN AGREEMENT (this “</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 is entered into as of November 12, 2025, by and between CUMBERLAND PHARMACEUTICALS INC., a Tennessee corporation (“</w:t>
      </w:r>
      <w:r>
        <w:rPr>
          <w:rFonts w:ascii="Times New Roman;serif" w:hAnsi="Times New Roman;serif"/>
          <w:b/>
          <w:color w:val="000000"/>
          <w:sz w:val="22"/>
        </w:rPr>
        <w:t>Borrower</w:t>
      </w:r>
      <w:r>
        <w:rPr>
          <w:color w:val="000000"/>
        </w:rPr>
        <w:t>”</w:t>
      </w:r>
      <w:r>
        <w:rPr>
          <w:rFonts w:ascii="Times New Roman;serif" w:hAnsi="Times New Roman;serif"/>
          <w:b w:val="false"/>
          <w:color w:val="000000"/>
          <w:sz w:val="22"/>
        </w:rPr>
        <w:t>), and PINNACLE BANK, a Tennessee banking corporation (the “</w:t>
      </w:r>
      <w:r>
        <w:rPr>
          <w:rFonts w:ascii="Times New Roman;serif" w:hAnsi="Times New Roman;serif"/>
          <w:b/>
          <w:color w:val="000000"/>
          <w:sz w:val="22"/>
        </w:rPr>
        <w:t>Lender</w:t>
      </w:r>
      <w:r>
        <w:rPr>
          <w:color w:val="000000"/>
        </w:rPr>
        <w:t>”</w:t>
      </w:r>
      <w:r>
        <w:rPr>
          <w:rFonts w:ascii="Times New Roman;serif" w:hAnsi="Times New Roman;serif"/>
          <w:b w:val="false"/>
          <w:color w:val="000000"/>
          <w:sz w:val="22"/>
        </w:rPr>
        <w:t>).</w: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240" w:after="240"/>
        <w:ind w:left="0" w:right="0" w:firstLine="506"/>
        <w:jc w:val="both"/>
        <w:rPr/>
      </w:pPr>
      <w:r>
        <w:rPr>
          <w:rFonts w:ascii="Times New Roman;serif" w:hAnsi="Times New Roman;serif"/>
          <w:b w:val="false"/>
          <w:color w:val="000000"/>
          <w:sz w:val="22"/>
        </w:rPr>
        <w:t>A.</w:t>
      </w:r>
      <w:r>
        <w:rPr>
          <w:rFonts w:ascii="Times New Roman;serif" w:hAnsi="Times New Roman;serif"/>
          <w:b w:val="false"/>
          <w:color w:val="000000"/>
          <w:sz w:val="22"/>
        </w:rPr>
        <w:t>Borrower issued to the order of Lender that certain $20,000,000.00 Amended and Restated Revolving Credit Note dated as of September 5, 2023 (the “</w:t>
      </w:r>
      <w:r>
        <w:rPr>
          <w:rFonts w:ascii="Times New Roman;serif" w:hAnsi="Times New Roman;serif"/>
          <w:b/>
          <w:color w:val="000000"/>
          <w:sz w:val="22"/>
        </w:rPr>
        <w:t>Note</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firstLine="518"/>
        <w:jc w:val="both"/>
        <w:rPr/>
      </w:pPr>
      <w:r>
        <w:rPr>
          <w:rFonts w:ascii="Times New Roman;serif" w:hAnsi="Times New Roman;serif"/>
          <w:b w:val="false"/>
          <w:color w:val="000000"/>
          <w:sz w:val="22"/>
        </w:rPr>
        <w:t>B.</w:t>
      </w:r>
      <w:r>
        <w:rPr>
          <w:rFonts w:ascii="Times New Roman;serif" w:hAnsi="Times New Roman;serif"/>
          <w:b w:val="false"/>
          <w:color w:val="000000"/>
          <w:sz w:val="22"/>
        </w:rPr>
        <w:t>Borrower and Lender entered into that certain Amended and Restated Revolving Credit Loan Agreement dated as of September 5, 2023 (as amended, the “</w:t>
      </w:r>
      <w:r>
        <w:rPr>
          <w:rFonts w:ascii="Times New Roman;serif" w:hAnsi="Times New Roman;serif"/>
          <w:b/>
          <w:color w:val="000000"/>
          <w:sz w:val="22"/>
        </w:rPr>
        <w:t>Loan Agreement</w:t>
      </w:r>
      <w:r>
        <w:rPr>
          <w:color w:val="000000"/>
        </w:rPr>
        <w:t>”</w:t>
      </w:r>
      <w:r>
        <w:rPr>
          <w:rFonts w:ascii="Times New Roman;serif" w:hAnsi="Times New Roman;serif"/>
          <w:b w:val="false"/>
          <w:color w:val="000000"/>
          <w:sz w:val="22"/>
        </w:rPr>
        <w:t>), as amended by that certain First Amendment to Amended and Restated Revolving Credit Loan Agreement dated as of March 31, 2024 (the “</w:t>
      </w:r>
      <w:r>
        <w:rPr>
          <w:rFonts w:ascii="Times New Roman;serif" w:hAnsi="Times New Roman;serif"/>
          <w:b/>
          <w:color w:val="000000"/>
          <w:sz w:val="22"/>
        </w:rPr>
        <w:t>First Amendment</w:t>
      </w:r>
      <w:r>
        <w:rPr>
          <w:color w:val="000000"/>
        </w:rPr>
        <w:t>”</w:t>
      </w:r>
      <w:r>
        <w:rPr>
          <w:rFonts w:ascii="Times New Roman;serif" w:hAnsi="Times New Roman;serif"/>
          <w:b w:val="false"/>
          <w:color w:val="000000"/>
          <w:sz w:val="22"/>
        </w:rPr>
        <w:t>). Capitalized terms not otherwise defined herein shall have such meaning as set forth in the Loan Agreement.</w:t>
      </w:r>
    </w:p>
    <w:p>
      <w:pPr>
        <w:pStyle w:val="TextBody"/>
        <w:bidi w:val="0"/>
        <w:spacing w:lineRule="auto" w:line="288" w:before="240" w:after="240"/>
        <w:ind w:left="0" w:right="0" w:firstLine="518"/>
        <w:jc w:val="both"/>
        <w:rPr/>
      </w:pPr>
      <w:r>
        <w:rPr>
          <w:rFonts w:ascii="Times New Roman;serif" w:hAnsi="Times New Roman;serif"/>
          <w:b w:val="false"/>
          <w:color w:val="000000"/>
          <w:sz w:val="22"/>
        </w:rPr>
        <w:t>C.</w:t>
      </w:r>
      <w:r>
        <w:rPr>
          <w:rFonts w:ascii="Times New Roman;serif" w:hAnsi="Times New Roman;serif"/>
          <w:b w:val="false"/>
          <w:color w:val="000000"/>
          <w:sz w:val="22"/>
        </w:rPr>
        <w:t>Borrower and Lender desire to amend the Loan Agreement as provided herein.</w:t>
      </w:r>
    </w:p>
    <w:p>
      <w:pPr>
        <w:pStyle w:val="TextBody"/>
        <w:bidi w:val="0"/>
        <w:spacing w:lineRule="auto" w:line="288" w:before="240" w:after="240"/>
        <w:jc w:val="both"/>
        <w:rPr>
          <w:color w:val="000000"/>
        </w:rPr>
      </w:pPr>
      <w:r>
        <w:rPr>
          <w:color w:val="000000"/>
        </w:rPr>
        <w:t>    </w:t>
      </w:r>
      <w:r>
        <w:rPr>
          <w:rFonts w:ascii="Times New Roman;serif" w:hAnsi="Times New Roman;serif"/>
          <w:b w:val="false"/>
          <w:color w:val="000000"/>
          <w:sz w:val="22"/>
        </w:rPr>
        <w:t>NOW, THEREFORE, in consideration of the premises and for other good and valuable consideration, the receipt and adequacy of which is hereby acknowledged, the parties hereto agree as follows:</w:t>
      </w:r>
    </w:p>
    <w:p>
      <w:pPr>
        <w:pStyle w:val="TextBody"/>
        <w:bidi w:val="0"/>
        <w:spacing w:lineRule="auto" w:line="288" w:before="24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rPr>
        <w:t>The principal amount of the Note, as set forth in the first paragraph thereof, is hereby decreased by $5,000,000.00 from up to $20,000,000.00 to up to $15,000,000.00 (the “</w:t>
      </w:r>
      <w:r>
        <w:rPr>
          <w:rFonts w:ascii="Times New Roman;serif" w:hAnsi="Times New Roman;serif"/>
          <w:b/>
          <w:color w:val="000000"/>
          <w:sz w:val="22"/>
        </w:rPr>
        <w:t>Decrease</w:t>
      </w:r>
      <w:r>
        <w:rPr>
          <w:color w:val="000000"/>
        </w:rPr>
        <w:t>”</w:t>
      </w:r>
      <w:r>
        <w:rPr>
          <w:rFonts w:ascii="Times New Roman;serif" w:hAnsi="Times New Roman;serif"/>
          <w:b w:val="false"/>
          <w:color w:val="000000"/>
          <w:sz w:val="22"/>
        </w:rPr>
        <w:t xml:space="preserve">). The Loan Documents are generally amended to reflect the Decrease, including without limitation the following provisions of the Loan Agreement: </w:t>
      </w:r>
      <w:r>
        <w:rPr>
          <w:rFonts w:ascii="Times New Roman;serif" w:hAnsi="Times New Roman;serif"/>
          <w:b w:val="false"/>
          <w:color w:val="000000"/>
          <w:sz w:val="22"/>
          <w:u w:val="single"/>
        </w:rPr>
        <w:t>Section 1.1(a)</w:t>
      </w:r>
      <w:r>
        <w:rPr>
          <w:rFonts w:ascii="Times New Roman;serif" w:hAnsi="Times New Roman;serif"/>
          <w:b w:val="false"/>
          <w:color w:val="000000"/>
          <w:sz w:val="22"/>
        </w:rPr>
        <w:t>, the definition of “</w:t>
      </w:r>
      <w:r>
        <w:rPr>
          <w:rFonts w:ascii="Times New Roman;serif" w:hAnsi="Times New Roman;serif"/>
          <w:b/>
          <w:color w:val="000000"/>
          <w:sz w:val="22"/>
        </w:rPr>
        <w:t>Maximum Revolver Amount</w:t>
      </w:r>
      <w:r>
        <w:rPr>
          <w:color w:val="000000"/>
        </w:rPr>
        <w:t xml:space="preserve">” </w:t>
      </w:r>
      <w:r>
        <w:rPr>
          <w:rFonts w:ascii="Times New Roman;serif" w:hAnsi="Times New Roman;serif"/>
          <w:b w:val="false"/>
          <w:color w:val="000000"/>
          <w:sz w:val="22"/>
        </w:rPr>
        <w:t>set forth within the Borrowing Base Requirements, and the definition of “</w:t>
      </w:r>
      <w:r>
        <w:rPr>
          <w:rFonts w:ascii="Times New Roman;serif" w:hAnsi="Times New Roman;serif"/>
          <w:b/>
          <w:color w:val="000000"/>
          <w:sz w:val="22"/>
        </w:rPr>
        <w:t>Note</w:t>
      </w:r>
      <w:r>
        <w:rPr>
          <w:color w:val="000000"/>
        </w:rPr>
        <w:t xml:space="preserve">” </w:t>
      </w:r>
      <w:r>
        <w:rPr>
          <w:rFonts w:ascii="Times New Roman;serif" w:hAnsi="Times New Roman;serif"/>
          <w:b w:val="false"/>
          <w:color w:val="000000"/>
          <w:sz w:val="22"/>
        </w:rPr>
        <w:t xml:space="preserve">set forth within </w:t>
      </w:r>
      <w:r>
        <w:rPr>
          <w:rFonts w:ascii="Times New Roman;serif" w:hAnsi="Times New Roman;serif"/>
          <w:b w:val="false"/>
          <w:color w:val="000000"/>
          <w:sz w:val="22"/>
          <w:u w:val="single"/>
        </w:rPr>
        <w:t>Section 9.1</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rPr>
        <w:t>The fourth paragraph of the Note, regarding repayment, is hereby amended and restated as follows:</w:t>
      </w:r>
    </w:p>
    <w:p>
      <w:pPr>
        <w:pStyle w:val="TextBody"/>
        <w:bidi w:val="0"/>
        <w:spacing w:lineRule="auto" w:line="288" w:before="240" w:after="240"/>
        <w:ind w:left="0" w:right="0" w:firstLine="720"/>
        <w:jc w:val="both"/>
        <w:rPr/>
      </w:pPr>
      <w:r>
        <w:rPr>
          <w:rFonts w:ascii="Times New Roman;serif" w:hAnsi="Times New Roman;serif"/>
          <w:b w:val="false"/>
          <w:color w:val="000000"/>
          <w:sz w:val="22"/>
        </w:rPr>
        <w:t>This Note shall be payable as follows: (a) commencing on October 1, 2023 and continuing on the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day of each consecutive month thereafter through and including September 1, 2027, the Borrower shall pay to the Lender all accrued and unpaid interest; and (b) this Note shall mature on October 1, 2027 (the “</w:t>
      </w:r>
      <w:r>
        <w:rPr>
          <w:rFonts w:ascii="Times New Roman;serif" w:hAnsi="Times New Roman;serif"/>
          <w:b/>
          <w:color w:val="000000"/>
          <w:sz w:val="22"/>
        </w:rPr>
        <w:t>Maturity Date</w:t>
      </w:r>
      <w:r>
        <w:rPr>
          <w:color w:val="000000"/>
        </w:rPr>
        <w:t>”</w:t>
      </w:r>
      <w:r>
        <w:rPr>
          <w:rFonts w:ascii="Times New Roman;serif" w:hAnsi="Times New Roman;serif"/>
          <w:b w:val="false"/>
          <w:color w:val="000000"/>
          <w:sz w:val="22"/>
        </w:rPr>
        <w:t>), at which time the Borrower shall pay to the Lender an amount equal to all outstanding principal, plus all accrued and unpaid interest and any other outstanding fees and expenses due and payable under the Loan Documents.</w:t>
      </w:r>
    </w:p>
    <w:p>
      <w:pPr>
        <w:pStyle w:val="TextBody"/>
        <w:bidi w:val="0"/>
        <w:spacing w:lineRule="auto" w:line="288" w:before="24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Section 1.7</w:t>
      </w:r>
      <w:r>
        <w:rPr>
          <w:color w:val="000000"/>
        </w:rPr>
        <w:t xml:space="preserve"> </w:t>
      </w:r>
      <w:r>
        <w:rPr>
          <w:rFonts w:ascii="Times New Roman;serif" w:hAnsi="Times New Roman;serif"/>
          <w:b w:val="false"/>
          <w:color w:val="000000"/>
          <w:sz w:val="22"/>
        </w:rPr>
        <w:t>(Increase of Availability Under Note) of the Loan Agreement is hereby amended to increase the reference to $5,000,000.00 within the first paragraph thereof to $10,000,000.00.</w:t>
      </w:r>
    </w:p>
    <w:p>
      <w:pPr>
        <w:pStyle w:val="TextBody"/>
        <w:bidi w:val="0"/>
        <w:spacing w:before="240" w:after="24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rPr>
        <w:t xml:space="preserve">Within the First Amendment, Borrowing Base Requirements were added to the Loan Agreement, which were triggered upon the occurrence of a Leverage Default. On a going forward basis, the Borrowing Base Requirements are a permanent feature of, and limitation on, the Loan. Borrower hereby agrees to comply with the Borrowing Base Requirements hereafter, regardless of the existence of a Leverage Default. </w:t>
      </w:r>
    </w:p>
    <w:p>
      <w:pPr>
        <w:pStyle w:val="TextBody"/>
        <w:bidi w:val="0"/>
        <w:spacing w:lineRule="auto" w:line="288" w:before="24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Section 6.7</w:t>
      </w:r>
      <w:r>
        <w:rPr>
          <w:color w:val="000000"/>
        </w:rPr>
        <w:t xml:space="preserve"> </w:t>
      </w:r>
      <w:r>
        <w:rPr>
          <w:rFonts w:ascii="Times New Roman;serif" w:hAnsi="Times New Roman;serif"/>
          <w:b w:val="false"/>
          <w:color w:val="000000"/>
          <w:sz w:val="22"/>
        </w:rPr>
        <w:t>(Maximum Funded Debt Ratio), along with all related definitions, is hereby deleted and replaced with the following:</w:t>
      </w:r>
    </w:p>
    <w:p>
      <w:pPr>
        <w:pStyle w:val="TextBody"/>
        <w:bidi w:val="0"/>
        <w:spacing w:lineRule="auto" w:line="288" w:before="240" w:after="240"/>
        <w:ind w:left="0" w:right="0" w:firstLine="720"/>
        <w:jc w:val="both"/>
        <w:rPr/>
      </w:pPr>
      <w:r>
        <w:rPr>
          <w:rFonts w:ascii="Times New Roman;serif" w:hAnsi="Times New Roman;serif"/>
          <w:b w:val="false"/>
          <w:color w:val="000000"/>
          <w:sz w:val="22"/>
        </w:rPr>
        <w:t>6.7    </w:t>
      </w:r>
      <w:r>
        <w:rPr>
          <w:rFonts w:ascii="Times New Roman;serif" w:hAnsi="Times New Roman;serif"/>
          <w:b w:val="false"/>
          <w:color w:val="000000"/>
          <w:sz w:val="22"/>
          <w:u w:val="single"/>
        </w:rPr>
        <w:t>Minimum Fixed Charge Coverage Ratio</w:t>
      </w:r>
      <w:r>
        <w:rPr>
          <w:rFonts w:ascii="Times New Roman;serif" w:hAnsi="Times New Roman;serif"/>
          <w:b w:val="false"/>
          <w:color w:val="000000"/>
          <w:sz w:val="22"/>
        </w:rPr>
        <w:t>. Permit the Fixed Charge Coverage Ratio of Borrower, as calculated on a rolling four (4) quarter basis for Borrower and its Subsidiaries and measured as of each December 31</w:t>
      </w:r>
      <w:r>
        <w:rPr>
          <w:rFonts w:ascii="Times New Roman;serif" w:hAnsi="Times New Roman;serif"/>
          <w:b w:val="false"/>
          <w:color w:val="000000"/>
          <w:sz w:val="14"/>
        </w:rPr>
        <w:t>st</w:t>
      </w:r>
      <w:r>
        <w:rPr>
          <w:rFonts w:ascii="Times New Roman;serif" w:hAnsi="Times New Roman;serif"/>
          <w:b w:val="false"/>
          <w:color w:val="000000"/>
          <w:sz w:val="22"/>
        </w:rPr>
        <w:t>, March 31</w:t>
      </w:r>
      <w:r>
        <w:rPr>
          <w:rFonts w:ascii="Times New Roman;serif" w:hAnsi="Times New Roman;serif"/>
          <w:b w:val="false"/>
          <w:color w:val="000000"/>
          <w:sz w:val="14"/>
        </w:rPr>
        <w:t>st</w:t>
      </w:r>
      <w:r>
        <w:rPr>
          <w:rFonts w:ascii="Times New Roman;serif" w:hAnsi="Times New Roman;serif"/>
          <w:b w:val="false"/>
          <w:color w:val="000000"/>
          <w:sz w:val="22"/>
        </w:rPr>
        <w:t>, June 30</w:t>
      </w:r>
      <w:r>
        <w:rPr>
          <w:rFonts w:ascii="Times New Roman;serif" w:hAnsi="Times New Roman;serif"/>
          <w:b w:val="false"/>
          <w:color w:val="000000"/>
          <w:sz w:val="14"/>
        </w:rPr>
        <w:t>th</w:t>
      </w:r>
      <w:r>
        <w:rPr>
          <w:rFonts w:ascii="Times New Roman;serif" w:hAnsi="Times New Roman;serif"/>
          <w:b w:val="false"/>
          <w:color w:val="000000"/>
          <w:sz w:val="22"/>
        </w:rPr>
        <w:t>, and September 30</w:t>
      </w:r>
      <w:r>
        <w:rPr>
          <w:rFonts w:ascii="Times New Roman;serif" w:hAnsi="Times New Roman;serif"/>
          <w:b w:val="false"/>
          <w:color w:val="000000"/>
          <w:sz w:val="14"/>
        </w:rPr>
        <w:t>th</w:t>
      </w:r>
      <w:r>
        <w:rPr>
          <w:rFonts w:ascii="Times New Roman;serif" w:hAnsi="Times New Roman;serif"/>
          <w:b w:val="false"/>
          <w:color w:val="000000"/>
          <w:sz w:val="22"/>
        </w:rPr>
        <w:t>, to be less than 1.75 to 1.00.</w:t>
      </w:r>
    </w:p>
    <w:p>
      <w:pPr>
        <w:pStyle w:val="TextBody"/>
        <w:bidi w:val="0"/>
        <w:spacing w:lineRule="auto" w:line="288" w:before="24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Section 7.5</w:t>
      </w:r>
      <w:r>
        <w:rPr>
          <w:color w:val="000000"/>
        </w:rPr>
        <w:t xml:space="preserve"> </w:t>
      </w:r>
      <w:r>
        <w:rPr>
          <w:rFonts w:ascii="Times New Roman;serif" w:hAnsi="Times New Roman;serif"/>
          <w:b w:val="false"/>
          <w:color w:val="000000"/>
          <w:sz w:val="22"/>
        </w:rPr>
        <w:t>(Liquidity Cure) of the Loan Agreement is hereby deleted and replaced with the following:</w:t>
      </w:r>
    </w:p>
    <w:p>
      <w:pPr>
        <w:pStyle w:val="TextBody"/>
        <w:bidi w:val="0"/>
        <w:spacing w:lineRule="auto" w:line="288" w:before="240" w:after="240"/>
        <w:ind w:left="0" w:right="0" w:firstLine="630"/>
        <w:jc w:val="both"/>
        <w:rPr/>
      </w:pPr>
      <w:r>
        <w:rPr>
          <w:rFonts w:ascii="Times New Roman;serif" w:hAnsi="Times New Roman;serif"/>
          <w:b w:val="false"/>
          <w:color w:val="000000"/>
          <w:sz w:val="22"/>
        </w:rPr>
        <w:t>7.5    </w:t>
      </w:r>
      <w:r>
        <w:rPr>
          <w:rFonts w:ascii="Times New Roman;serif" w:hAnsi="Times New Roman;serif"/>
          <w:b w:val="false"/>
          <w:color w:val="000000"/>
          <w:sz w:val="22"/>
          <w:u w:val="single"/>
        </w:rPr>
        <w:t>Depository Cure</w:t>
      </w:r>
      <w:r>
        <w:rPr>
          <w:rFonts w:ascii="Times New Roman;serif" w:hAnsi="Times New Roman;serif"/>
          <w:b w:val="false"/>
          <w:color w:val="000000"/>
          <w:sz w:val="22"/>
        </w:rPr>
        <w:t xml:space="preserve">. Borrower may cure an Event of Default arising as a result of its breach of </w:t>
      </w:r>
      <w:r>
        <w:rPr>
          <w:rFonts w:ascii="Times New Roman;serif" w:hAnsi="Times New Roman;serif"/>
          <w:b w:val="false"/>
          <w:color w:val="000000"/>
          <w:sz w:val="22"/>
          <w:u w:val="single"/>
        </w:rPr>
        <w:t>Section 6.7</w:t>
      </w:r>
      <w:r>
        <w:rPr>
          <w:color w:val="000000"/>
        </w:rPr>
        <w:t xml:space="preserve"> </w:t>
      </w:r>
      <w:r>
        <w:rPr>
          <w:rFonts w:ascii="Times New Roman;serif" w:hAnsi="Times New Roman;serif"/>
          <w:b w:val="false"/>
          <w:color w:val="000000"/>
          <w:sz w:val="22"/>
        </w:rPr>
        <w:t xml:space="preserve">(Minimum Fixed Charge Coverage Ratio) hereof by depositing, and maintaining until the next measurement date, with Lender an amount equal to the outstanding principal balance of the Loan. Any such Event of Default shall be deemed to have occurred on the date on which the Compliance Certificate for such period is required to be delivered pursuant to </w:t>
      </w:r>
      <w:r>
        <w:rPr>
          <w:rFonts w:ascii="Times New Roman;serif" w:hAnsi="Times New Roman;serif"/>
          <w:b w:val="false"/>
          <w:color w:val="000000"/>
          <w:sz w:val="22"/>
          <w:u w:val="single"/>
        </w:rPr>
        <w:t>Section 5.1(c)</w:t>
      </w:r>
      <w:r>
        <w:rPr>
          <w:color w:val="000000"/>
        </w:rPr>
        <w:t xml:space="preserve"> </w:t>
      </w:r>
      <w:r>
        <w:rPr>
          <w:rFonts w:ascii="Times New Roman;serif" w:hAnsi="Times New Roman;serif"/>
          <w:b w:val="false"/>
          <w:color w:val="000000"/>
          <w:sz w:val="22"/>
        </w:rPr>
        <w:t xml:space="preserve">hereof, and such required depository cure shall occur within five (5) days of such occurrence. The depository cure described herein is only available to Borrower once during the term of the Loan with Borrower required to be in compliance with </w:t>
      </w:r>
      <w:r>
        <w:rPr>
          <w:rFonts w:ascii="Times New Roman;serif" w:hAnsi="Times New Roman;serif"/>
          <w:b w:val="false"/>
          <w:color w:val="000000"/>
          <w:sz w:val="22"/>
          <w:u w:val="single"/>
        </w:rPr>
        <w:t>Section 6.7</w:t>
      </w:r>
      <w:r>
        <w:rPr>
          <w:color w:val="000000"/>
        </w:rPr>
        <w:t xml:space="preserve"> </w:t>
      </w:r>
      <w:r>
        <w:rPr>
          <w:rFonts w:ascii="Times New Roman;serif" w:hAnsi="Times New Roman;serif"/>
          <w:b w:val="false"/>
          <w:color w:val="000000"/>
          <w:sz w:val="22"/>
        </w:rPr>
        <w:t>hereof as of the next measurement date after any such cure, regardless of deposits held with Lender.</w:t>
      </w:r>
    </w:p>
    <w:p>
      <w:pPr>
        <w:pStyle w:val="TextBody"/>
        <w:bidi w:val="0"/>
        <w:spacing w:lineRule="auto" w:line="288" w:before="24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rPr>
        <w:t xml:space="preserve">The following are hereby added as new definitions to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of the Loan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EBITDAR</w:t>
      </w:r>
      <w:r>
        <w:rPr>
          <w:color w:val="000000"/>
        </w:rPr>
        <w:t xml:space="preserve">” </w:t>
      </w:r>
      <w:r>
        <w:rPr>
          <w:rFonts w:ascii="Times New Roman;serif" w:hAnsi="Times New Roman;serif"/>
          <w:b w:val="false"/>
          <w:color w:val="000000"/>
          <w:sz w:val="22"/>
        </w:rPr>
        <w:t xml:space="preserve">means (a) Net Income Attributable to Borrower’s Shareholders,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(b) to the extent deducted in determining Net Income Attributable to Borrower’s Shareholders, and without duplication, the sum of (i) Interest Expense, (ii) income tax expense, (iii) depreciation expense, (iv) amortization expense, (v) rent expense, (vi) non-cash compensation expense, (vii) the non-cash cost of products sold associated with the Vibativ Acquisition provided that the inventory was acquired on the acquisition date, and (viii) as reasonably agreed to by Lender, any additional one-time non-cash adjustments as reported by the Borrower on the Borrower’s quarterly Reconciliation of Net Income (Loss) Attributable to Common Shareholders to Adjusted Earnings (Loss). In no event for any measurement date shall items (vii) above exceed twenty percent (20.0%) of EBITDAR. For purposes of calculating EBITDAR, EBITDAR shall only include EBITDAR arising from a permitted Acquisition (pursuant to the provisions of </w:t>
      </w:r>
      <w:r>
        <w:rPr>
          <w:rFonts w:ascii="Times New Roman;serif" w:hAnsi="Times New Roman;serif"/>
          <w:b w:val="false"/>
          <w:color w:val="000000"/>
          <w:sz w:val="22"/>
          <w:u w:val="single"/>
        </w:rPr>
        <w:t>Section 6.12</w:t>
      </w:r>
      <w:r>
        <w:rPr>
          <w:color w:val="000000"/>
        </w:rPr>
        <w:t xml:space="preserve"> </w:t>
      </w:r>
      <w:r>
        <w:rPr>
          <w:rFonts w:ascii="Times New Roman;serif" w:hAnsi="Times New Roman;serif"/>
          <w:b w:val="false"/>
          <w:color w:val="000000"/>
          <w:sz w:val="22"/>
        </w:rPr>
        <w:t>hereof) if Lender is provided with a quality of earnings report related to any such Acquisition reasonably acceptable to Lender.</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Fixed Charge Coverage Ratio</w:t>
      </w:r>
      <w:r>
        <w:rPr>
          <w:color w:val="000000"/>
        </w:rPr>
        <w:t xml:space="preserve">” </w:t>
      </w:r>
      <w:r>
        <w:rPr>
          <w:rFonts w:ascii="Times New Roman;serif" w:hAnsi="Times New Roman;serif"/>
          <w:b w:val="false"/>
          <w:color w:val="000000"/>
          <w:sz w:val="22"/>
        </w:rPr>
        <w:t xml:space="preserve">means, for any applicable measurement period, the ratio of (i) EBITDAR </w:t>
      </w:r>
      <w:r>
        <w:rPr>
          <w:rFonts w:ascii="Times New Roman;serif" w:hAnsi="Times New Roman;serif"/>
          <w:b w:val="false"/>
          <w:color w:val="000000"/>
          <w:sz w:val="22"/>
          <w:u w:val="single"/>
        </w:rPr>
        <w:t>to</w:t>
      </w:r>
      <w:r>
        <w:rPr>
          <w:color w:val="000000"/>
        </w:rPr>
        <w:t xml:space="preserve"> </w:t>
      </w:r>
      <w:r>
        <w:rPr>
          <w:rFonts w:ascii="Times New Roman;serif" w:hAnsi="Times New Roman;serif"/>
          <w:b w:val="false"/>
          <w:color w:val="000000"/>
          <w:sz w:val="22"/>
        </w:rPr>
        <w:t>(ii) Fixed Charges.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Fixed Charges</w:t>
      </w:r>
      <w:r>
        <w:rPr>
          <w:color w:val="000000"/>
        </w:rPr>
        <w:t xml:space="preserve">” </w:t>
      </w:r>
      <w:r>
        <w:rPr>
          <w:rFonts w:ascii="Times New Roman;serif" w:hAnsi="Times New Roman;serif"/>
          <w:b w:val="false"/>
          <w:color w:val="000000"/>
          <w:sz w:val="22"/>
        </w:rPr>
        <w:t xml:space="preserve">means, for any applicable measurement period, (a) Interest Expense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(b) rent expense.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106112649.3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106112649.3</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rPr>
        <w:t>The definition of “</w:t>
      </w:r>
      <w:r>
        <w:rPr>
          <w:rFonts w:ascii="Times New Roman;serif" w:hAnsi="Times New Roman;serif"/>
          <w:b/>
          <w:color w:val="000000"/>
          <w:sz w:val="22"/>
        </w:rPr>
        <w:t>Maturity Date</w:t>
      </w:r>
      <w:r>
        <w:rPr>
          <w:color w:val="000000"/>
        </w:rPr>
        <w:t xml:space="preserve">” </w:t>
      </w:r>
      <w:r>
        <w:rPr>
          <w:rFonts w:ascii="Times New Roman;serif" w:hAnsi="Times New Roman;serif"/>
          <w:b w:val="false"/>
          <w:color w:val="000000"/>
          <w:sz w:val="22"/>
        </w:rPr>
        <w:t xml:space="preserve">set forth within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of the Loan Agreement is hereby amended and restated to mean October 1, 2027.</w:t>
      </w:r>
    </w:p>
    <w:p>
      <w:pPr>
        <w:pStyle w:val="TextBody"/>
        <w:bidi w:val="0"/>
        <w:spacing w:lineRule="auto" w:line="288" w:before="240" w:after="24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rPr>
        <w:t xml:space="preserve">Borrower hereby agrees to pay to Lender all fees and expenses incurred by Lender in connection with this Amendment, including without limitation reasonable attorneys' fees and a $15,000 amendment fee. </w:t>
      </w:r>
    </w:p>
    <w:p>
      <w:pPr>
        <w:pStyle w:val="TextBody"/>
        <w:bidi w:val="0"/>
        <w:spacing w:lineRule="auto" w:line="288" w:before="240" w:after="24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rPr>
        <w:t>The Loan Agreement is not amended in any other respect.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rPr>
        <w:t>Borrower reaffirms the terms and provisions of the Loan Documents and agrees that such are valid and binding, enforceable in accordance with their terms and provisions, and subject to no defense, counterclaim, or objection.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106112649.3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106112649.3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ENTERED INTO as of the date first written above.</w:t>
      </w:r>
    </w:p>
    <w:p>
      <w:pPr>
        <w:pStyle w:val="TextBody"/>
        <w:bidi w:val="0"/>
        <w:spacing w:lineRule="auto" w:line="288" w:before="240" w:after="240"/>
        <w:jc w:val="both"/>
        <w:rPr/>
      </w:pPr>
      <w:r>
        <w:rPr>
          <w:color w:val="000000"/>
        </w:rPr>
        <w:t>                        </w:t>
      </w:r>
      <w:r>
        <w:rPr>
          <w:rFonts w:ascii="Times New Roman;serif" w:hAnsi="Times New Roman;serif"/>
          <w:b/>
          <w:color w:val="000000"/>
          <w:sz w:val="22"/>
        </w:rPr>
        <w:t>BORROWER</w:t>
      </w:r>
      <w:r>
        <w:rPr>
          <w:rFonts w:ascii="Times New Roman;serif" w:hAnsi="Times New Roman;serif"/>
          <w:b w:val="false"/>
          <w:color w:val="000000"/>
          <w:sz w:val="22"/>
        </w:rPr>
        <w:t>:</w:t>
      </w:r>
    </w:p>
    <w:p>
      <w:pPr>
        <w:pStyle w:val="TextBody"/>
        <w:bidi w:val="0"/>
        <w:spacing w:lineRule="auto" w:line="288" w:before="240" w:after="240"/>
        <w:jc w:val="both"/>
        <w:rPr>
          <w:color w:val="000000"/>
        </w:rPr>
      </w:pPr>
      <w:r>
        <w:rPr>
          <w:color w:val="000000"/>
        </w:rPr>
        <w:t>                        </w:t>
      </w:r>
      <w:r>
        <w:rPr>
          <w:rFonts w:ascii="Times New Roman;serif" w:hAnsi="Times New Roman;serif"/>
          <w:b w:val="false"/>
          <w:color w:val="000000"/>
          <w:sz w:val="22"/>
        </w:rPr>
        <w:t>CUMBERLAND PHARMACEUTICALS INC.</w:t>
      </w:r>
    </w:p>
    <w:p>
      <w:pPr>
        <w:pStyle w:val="TextBody"/>
        <w:bidi w:val="0"/>
        <w:spacing w:lineRule="auto" w:line="288" w:before="240" w:after="283"/>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i/>
          <w:color w:val="000000"/>
          <w:sz w:val="22"/>
          <w:u w:val="single"/>
        </w:rPr>
        <w:t>/s/ A.J. Kazimi</w:t>
      </w:r>
      <w:r>
        <w:rPr>
          <w:rFonts w:ascii="Times New Roman;serif" w:hAnsi="Times New Roman;serif"/>
          <w:b w:val="false"/>
          <w:color w:val="000000"/>
          <w:sz w:val="22"/>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 xml:space="preserve">A.J. Kazimi,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LENDER</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PINNACLE BANK</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i/>
          <w:color w:val="000000"/>
          <w:sz w:val="22"/>
          <w:u w:val="single"/>
        </w:rPr>
        <w:t>/s/ Mark D. Mattson</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 xml:space="preserve">Mark D. Mattson,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Senior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First Amendment to Note and Second Amendment to Loan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106112649.3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106112649.3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1683</Words>
  <Characters>9316</Characters>
  <CharactersWithSpaces>11179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