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14, 2025 (February 14, 2025)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14, 2025, Cumberland Pharmaceuticals, Inc. (the “Company”) increased the maximum aggregate offering price of the shares of the Company’s common stock, no par value per share (the “Common Stock”) issuable under the Sales Agreement, dated March 20, 2024 (the “Sales Agreement”) with H.C. Wainwright &amp; Co., LLC to up to $10,000,000 and filed a prospectus supplement (the “Current Prospectus Supplement”) under the Sales Agreement for an aggregate offering amount of up to $10,000,000. The Current Prospectus Supplement amends and supplements the information in the prospectus supplement, dated March 20, 2024 (the "Prior Prospectus Supplement"), filed as part of the Company's registration statement on Form S-3 (File No. 333-276052). The Current Prospectus Supplement should be read in conjunction with the Prior Prospectus Supplement, except to the extent that the information therein amends or supersedes the information contained in the Prior Prospectus Supplement. The Current Prospectus Supplement is not complete without, and may only be delivered or utilized in connection with, the Prior Prospectus Supplement and any further amendments or supplements thereto. A copy of the legal opinion as to the legality of the $10,000,000 of shares of Common Stock issuable under the Sales Agreement and covered by the Current Prospectus Supplement is filed as </w:t>
      </w:r>
      <w:r>
        <w:rPr>
          <w:rFonts w:ascii="Times New Roman" w:cs="Times New Roman" w:eastAsia="Times New Roman" w:hAnsi="Times New Roman"/>
          <w:sz w:val="18"/>
          <w:szCs w:val="18"/>
          <w:u w:val="single" w:color="auto"/>
          <w:color w:val="0000FF"/>
        </w:rPr>
        <w:t>Exhibit 5.1</w:t>
      </w:r>
      <w:r>
        <w:rPr>
          <w:rFonts w:ascii="Times New Roman" w:cs="Times New Roman" w:eastAsia="Times New Roman" w:hAnsi="Times New Roman"/>
          <w:sz w:val="18"/>
          <w:szCs w:val="18"/>
          <w:color w:val="auto"/>
        </w:rPr>
        <w:t xml:space="preserve"> attached hereto.</w:t>
      </w:r>
    </w:p>
    <w:p>
      <w:pPr>
        <w:spacing w:after="0" w:line="200" w:lineRule="exact"/>
        <w:rPr>
          <w:sz w:val="20"/>
          <w:szCs w:val="20"/>
          <w:color w:val="auto"/>
        </w:rPr>
      </w:pPr>
    </w:p>
    <w:p>
      <w:pPr>
        <w:spacing w:after="0" w:line="31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8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445"/>
        </w:trPr>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FF"/>
                <w:w w:val="97"/>
              </w:rPr>
              <w:t>5.</w:t>
            </w:r>
            <w:r>
              <w:rPr>
                <w:rFonts w:ascii="Times New Roman" w:cs="Times New Roman" w:eastAsia="Times New Roman" w:hAnsi="Times New Roman"/>
                <w:sz w:val="18"/>
                <w:szCs w:val="18"/>
                <w:u w:val="single" w:color="auto"/>
                <w:color w:val="0000FF"/>
                <w:w w:val="97"/>
              </w:rPr>
              <w:t>1</w:t>
            </w:r>
          </w:p>
        </w:tc>
        <w:tc>
          <w:tcPr>
            <w:tcW w:w="19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Opinion of Baker, Donelson, Bearman, Caldwell &amp; Berkowitz, PC</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1"/>
                <w:szCs w:val="21"/>
                <w:color w:val="auto"/>
              </w:rPr>
            </w:pPr>
          </w:p>
        </w:tc>
        <w:tc>
          <w:tcPr>
            <w:tcW w:w="8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Consent of Baker, Donelson, Bearman, Caldwell &amp; Berkowitz, PC (contained in Exhibit 5.1 above).</w:t>
            </w:r>
          </w:p>
        </w:tc>
      </w:tr>
      <w:tr>
        <w:trPr>
          <w:trHeight w:val="234"/>
        </w:trPr>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0"/>
                <w:szCs w:val="20"/>
                <w:color w:val="auto"/>
              </w:rPr>
            </w:pPr>
          </w:p>
        </w:tc>
        <w:tc>
          <w:tcPr>
            <w:tcW w:w="8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329"/>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67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14, 2025</w:t>
            </w:r>
          </w:p>
        </w:tc>
        <w:tc>
          <w:tcPr>
            <w:tcW w:w="39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A.J. Kazimi</w:t>
            </w:r>
          </w:p>
        </w:tc>
      </w:tr>
      <w:tr>
        <w:trPr>
          <w:trHeight w:val="218"/>
        </w:trPr>
        <w:tc>
          <w:tcPr>
            <w:tcW w:w="4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Kazimi</w:t>
            </w:r>
          </w:p>
        </w:tc>
      </w:tr>
      <w:tr>
        <w:trPr>
          <w:trHeight w:val="234"/>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1553845</wp:posOffset>
            </wp:positionH>
            <wp:positionV relativeFrom="page">
              <wp:posOffset>500380</wp:posOffset>
            </wp:positionV>
            <wp:extent cx="330009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300095" cy="2489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6C6E6F"/>
        </w:rPr>
        <w:t xml:space="preserve">1600 WEST END AVENUE </w:t>
      </w:r>
      <w:r>
        <w:rPr>
          <w:rFonts w:ascii="Calibri" w:cs="Calibri" w:eastAsia="Calibri" w:hAnsi="Calibri"/>
          <w:sz w:val="8"/>
          <w:szCs w:val="8"/>
          <w:color w:val="6C6E6F"/>
        </w:rPr>
        <w:t>•</w:t>
      </w:r>
      <w:r>
        <w:rPr>
          <w:rFonts w:ascii="Arial" w:cs="Arial" w:eastAsia="Arial" w:hAnsi="Arial"/>
          <w:sz w:val="18"/>
          <w:szCs w:val="18"/>
          <w:color w:val="6C6E6F"/>
        </w:rPr>
        <w:t xml:space="preserve"> SUITE 2000 </w:t>
      </w:r>
      <w:r>
        <w:rPr>
          <w:rFonts w:ascii="Calibri" w:cs="Calibri" w:eastAsia="Calibri" w:hAnsi="Calibri"/>
          <w:sz w:val="8"/>
          <w:szCs w:val="8"/>
          <w:color w:val="6C6E6F"/>
        </w:rPr>
        <w:t>•</w:t>
      </w:r>
      <w:r>
        <w:rPr>
          <w:rFonts w:ascii="Arial" w:cs="Arial" w:eastAsia="Arial" w:hAnsi="Arial"/>
          <w:sz w:val="18"/>
          <w:szCs w:val="18"/>
          <w:color w:val="6C6E6F"/>
        </w:rPr>
        <w:t xml:space="preserve"> NASHVILLE, TENNESSEE 37203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6C6E6F"/>
        </w:rPr>
        <w:t xml:space="preserve">615.726.5600 </w:t>
      </w:r>
      <w:r>
        <w:rPr>
          <w:rFonts w:ascii="Calibri" w:cs="Calibri" w:eastAsia="Calibri" w:hAnsi="Calibri"/>
          <w:sz w:val="8"/>
          <w:szCs w:val="8"/>
          <w:color w:val="6C6E6F"/>
        </w:rPr>
        <w:t>•</w:t>
      </w:r>
      <w:r>
        <w:rPr>
          <w:rFonts w:ascii="Arial" w:cs="Arial" w:eastAsia="Arial" w:hAnsi="Arial"/>
          <w:sz w:val="18"/>
          <w:szCs w:val="18"/>
          <w:color w:val="6C6E6F"/>
        </w:rPr>
        <w:t xml:space="preserve"> bakerdonelson.com</w:t>
      </w:r>
    </w:p>
    <w:p>
      <w:pPr>
        <w:spacing w:after="0" w:line="200" w:lineRule="exact"/>
        <w:rPr>
          <w:sz w:val="20"/>
          <w:szCs w:val="20"/>
          <w:color w:val="auto"/>
        </w:rPr>
      </w:pPr>
    </w:p>
    <w:p>
      <w:pPr>
        <w:spacing w:after="0" w:line="292"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 Kibler, Shareholder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Dial</w:t>
      </w:r>
      <w:r>
        <w:rPr>
          <w:rFonts w:ascii="Times New Roman" w:cs="Times New Roman" w:eastAsia="Times New Roman" w:hAnsi="Times New Roman"/>
          <w:sz w:val="18"/>
          <w:szCs w:val="18"/>
          <w:color w:val="auto"/>
        </w:rPr>
        <w:t>: 865.549.7125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Fax</w:t>
      </w:r>
      <w:r>
        <w:rPr>
          <w:rFonts w:ascii="Times New Roman" w:cs="Times New Roman" w:eastAsia="Times New Roman" w:hAnsi="Times New Roman"/>
          <w:sz w:val="18"/>
          <w:szCs w:val="18"/>
          <w:color w:val="auto"/>
        </w:rPr>
        <w:t>: 865.633.7125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nkibler@bakerdonelson.com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Pharmaceuticals Inc. 1600 West End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333-276052 on Form S-3; Shares of common stock, no par value per share, having an aggregate offering price of up to $10 Million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counsel to Cumberland Pharmaceuticals Inc., a Tennessee corporation (the “Company”), in connection with the sale and issuance of shares (the “Shares”) of the Company’s common stock, no par value per share (the “Common Stock”), having an aggregate gross sales price of up to $10 Million (excluding amounts previously sold under the Sales Agreement), pursuant to that certain Sales Agreement, dated as of March 20, 2024 (the “Sales Agreement”), by and between the Company and H.C. Wainwright &amp; Co., LLC (the “Agent”).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are included in a Registration Statement on Form S-3 filed with the Securities and Exchange Commission (the “Commission”) in accordance with the provisions of the Securities Act of 1933, as amended, and the rules and regulations promulgated thereunder (the “1933 Act”), under File Number 333-276052, including the base prospectus, filed with the Commission on December 14, 2023 and which became effective upon the notice of effectiveness filed December 26, 2023 (the “Base Prospectus”), a prospectus supplement, dated March 20, 2024, filed with the Commission pursuant to Rule 424(b) under the 1933 Act (the “Prior Prospectus Supplement”), and a prospectus supplement, dated February 14, 2025, filed with the Commission pursuant to Rule 424(b) under the 1933 Act (together with the Base Prospectus and the Prior Prospectus Supplement, the “Prospectus”). This opinion is being furnished in connection with the requirements of Item 601(b)(5) of Regulation S-K under the 1933 Act, and no opinion is expressed herein as to any matter pertaining to the contents of the Registration Statement or the Prospectus, other than as expressly stated herein with respect to the issue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line="304" w:lineRule="auto"/>
        <w:rPr>
          <w:sz w:val="20"/>
          <w:szCs w:val="20"/>
          <w:color w:val="auto"/>
        </w:rPr>
      </w:pPr>
      <w:r>
        <w:rPr>
          <w:rFonts w:ascii="Arial" w:cs="Arial" w:eastAsia="Arial" w:hAnsi="Arial"/>
          <w:sz w:val="16"/>
          <w:szCs w:val="16"/>
          <w:color w:val="6C6E6F"/>
        </w:rPr>
        <w:t xml:space="preserve">ALABAMA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FLORIDA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GEORGIA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LOUISIANA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MARYLAND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MISSISSIPPI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NORTH CAROLINA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SOUTH CAROLINA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TENNESSEE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TEXAS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VIRGINIA </w:t>
      </w:r>
      <w:r>
        <w:rPr>
          <w:rFonts w:ascii="Times New Roman" w:cs="Times New Roman" w:eastAsia="Times New Roman" w:hAnsi="Times New Roman"/>
          <w:sz w:val="12"/>
          <w:szCs w:val="12"/>
          <w:color w:val="6C6E6F"/>
        </w:rPr>
        <w:t>•</w:t>
      </w:r>
      <w:r>
        <w:rPr>
          <w:rFonts w:ascii="Arial" w:cs="Arial" w:eastAsia="Arial" w:hAnsi="Arial"/>
          <w:sz w:val="16"/>
          <w:szCs w:val="16"/>
          <w:color w:val="6C6E6F"/>
        </w:rPr>
        <w:t xml:space="preserve"> WASHINGTON, D.C.</w:t>
      </w:r>
    </w:p>
    <w:p>
      <w:pPr>
        <w:sectPr>
          <w:pgSz w:w="11900" w:h="16838" w:orient="portrait"/>
          <w:cols w:equalWidth="0" w:num="1">
            <w:col w:w="10220"/>
          </w:cols>
          <w:pgMar w:left="840" w:top="1440" w:right="839" w:bottom="1440" w:gutter="0" w:footer="0" w:header="0"/>
        </w:sectPr>
      </w:pPr>
    </w:p>
    <w:bookmarkStart w:id="4" w:name="page5"/>
    <w:bookmarkEnd w:id="4"/>
    <w:p>
      <w:pPr>
        <w:spacing w:after="0" w:line="3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Tennessee Business Corporation Act (the “Act”), and we express no opinion with respect to any other laws.</w:t>
      </w:r>
    </w:p>
    <w:p>
      <w:pPr>
        <w:spacing w:after="0" w:line="1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our aforesaid examination, we have assumed the genuineness of all signatures, the legal capacity of natural persons, the accuracy and completeness of all documents submitted to us, the authenticity of all original documents, and the conformity to authentic original documents of all documents submitted to us as certified, telecopied, photostatic, or reproduced copies. We have also assumed the accuracy, completeness and authenticity of the foregoing certifications of officers and statements of fact, on which we are relying, and have made no independent investigations thereof. This opinion letter is given, and all statements herein are made, in the context of the foregoing.</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accordance with the terms of the Sales Agreement, the Shares will be validly issued, fully paid and nonassessable. In rendering the foregoing opinion, we have assumed that (i) the Company will comply with all applicable notice requirements regarding uncertificated shares provided in the Act; and (ii) upon the issue of any of the Shares, the total number of shares of Common Stock issued and outstanding will not exceed the total number of shares of Common Stock that the Company is then authorized to issue under the Company’s charter.</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February 14, 2025, and to the reference to our firm in the Prospectus under the heading “Legal Matters.” In giving such consent, we do not thereby admit that we are in the category of persons whose consent is required under Section 7 of the 1933 Act or the rules and regulations of the Commission thereunder or Item 509 of Regulation S-K.</w:t>
      </w:r>
    </w:p>
    <w:p>
      <w:pPr>
        <w:spacing w:after="0" w:line="200" w:lineRule="exact"/>
        <w:rPr>
          <w:sz w:val="20"/>
          <w:szCs w:val="20"/>
          <w:color w:val="auto"/>
        </w:rPr>
      </w:pPr>
    </w:p>
    <w:p>
      <w:pPr>
        <w:spacing w:after="0" w:line="39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BAKER, DONELSON, BEARMAN,</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CALDWELL &amp;</w:t>
      </w:r>
    </w:p>
    <w:p>
      <w:pPr>
        <w:spacing w:after="0" w:line="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BERKOWITZ, a professional</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By: /s/ Nathan Kibler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-7620</wp:posOffset>
            </wp:positionV>
            <wp:extent cx="901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Nathan Kibler</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Authorized Representative</w:t>
      </w:r>
    </w:p>
    <w:sectPr>
      <w:pgSz w:w="11900" w:h="16838" w:orient="portrait"/>
      <w:cols w:equalWidth="0" w:num="1">
        <w:col w:w="10220"/>
      </w:cols>
      <w:pgMar w:left="840" w:top="144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2025-02-14T15:48:12Z</dcterms:created>
  <dcterms:modified xsi:type="dcterms:W3CDTF">2025-02-14T15:48:12Z</dcterms:modified>
</cp:coreProperties>
</file>