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917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917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32,899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917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89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8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40" w:type="dxa"/>
            <w:vAlign w:val="bottom"/>
            <w:gridSpan w:val="11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 occurred automatically pursuant to a Rule 10b5-1 plan adopted by the reporting person on November 14, 2024.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Caroline Young by /s/ John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  <w:highlight w:val="white"/>
              </w:rPr>
              <w:t>09/12/2025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 xml:space="preserve">** Signature 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7"/>
              </w:rPr>
              <w:t>Amount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7"/>
              </w:rPr>
              <w:t>ofReporting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bottom w:val="single" w:sz="8" w:color="808080"/>
            </w:tcBorders>
            <w:gridSpan w:val="11"/>
          </w:tcPr>
          <w:p>
            <w:pPr>
              <w:ind w:left="20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6"/>
                <w:szCs w:val="6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 xml:space="preserve"> 18 U.S.C. 1001 and 15 U.S.C. 78ff(a).</w:t>
            </w: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4087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2025-09-12T07:40:49Z</dcterms:created>
  <dcterms:modified xsi:type="dcterms:W3CDTF">2025-09-12T07:40:49Z</dcterms:modified>
</cp:coreProperties>
</file>