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8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8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87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1. The purchases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reported in this Form 4 were effected pursuant to a Rule 10b5-1 trading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or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 xml:space="preserve"> adopted by the reporting person during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2022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Hamm as attorney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1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-in-fact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340" w:firstLine="7"/>
        <w:spacing w:after="0" w:line="311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8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8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2022-11-18T16:32:34Z</dcterms:created>
  <dcterms:modified xsi:type="dcterms:W3CDTF">2022-11-18T16:32:34Z</dcterms:modified>
</cp:coreProperties>
</file>