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001-33637</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70" w:type="dxa"/>
        <w:tblCellMar>
          <w:top w:w="0" w:type="dxa"/>
          <w:left w:w="0" w:type="dxa"/>
          <w:bottom w:w="0" w:type="dxa"/>
          <w:right w:w="0" w:type="dxa"/>
        </w:tblCellMar>
      </w:tblP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49"/>
        </w:trPr>
        <w:tc>
          <w:tcPr>
            <w:tcW w:w="2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vMerge w:val="restart"/>
          </w:tcPr>
          <w:p>
            <w:pPr>
              <w:jc w:val="right"/>
              <w:ind w:right="958"/>
              <w:spacing w:after="0"/>
              <w:rPr>
                <w:sz w:val="20"/>
                <w:szCs w:val="20"/>
                <w:color w:val="auto"/>
              </w:rPr>
            </w:pPr>
            <w:r>
              <w:rPr>
                <w:rFonts w:ascii="Times New Roman" w:cs="Times New Roman" w:eastAsia="Times New Roman" w:hAnsi="Times New Roman"/>
                <w:sz w:val="18"/>
                <w:szCs w:val="18"/>
                <w:b w:val="1"/>
                <w:bCs w:val="1"/>
                <w:color w:val="auto"/>
              </w:rPr>
              <w:t>37203</w:t>
            </w:r>
          </w:p>
        </w:tc>
        <w:tc>
          <w:tcPr>
            <w:tcW w:w="0" w:type="dxa"/>
            <w:vAlign w:val="bottom"/>
          </w:tcPr>
          <w:p>
            <w:pPr>
              <w:spacing w:after="0"/>
              <w:rPr>
                <w:sz w:val="1"/>
                <w:szCs w:val="1"/>
                <w:color w:val="auto"/>
              </w:rPr>
            </w:pPr>
          </w:p>
        </w:tc>
      </w:t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34"/>
        </w:trPr>
        <w:tc>
          <w:tcPr>
            <w:tcW w:w="2820" w:type="dxa"/>
            <w:vAlign w:val="bottom"/>
            <w:tcBorders>
              <w:lef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w:t>
            </w: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80" w:type="dxa"/>
            <w:vAlign w:val="bottom"/>
            <w:tcBorders>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97"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w:t>
      </w: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the</w:t>
            </w:r>
          </w:p>
        </w:tc>
        <w:tc>
          <w:tcPr>
            <w:tcW w:w="4540" w:type="dxa"/>
            <w:vAlign w:val="bottom"/>
          </w:tcPr>
          <w:p>
            <w:pPr>
              <w:ind w:left="2820"/>
              <w:spacing w:after="0" w:line="189" w:lineRule="exact"/>
              <w:rPr>
                <w:sz w:val="20"/>
                <w:szCs w:val="20"/>
                <w:color w:val="auto"/>
              </w:rPr>
            </w:pPr>
            <w:r>
              <w:rPr>
                <w:rFonts w:ascii="Times New Roman" w:cs="Times New Roman" w:eastAsia="Times New Roman" w:hAnsi="Times New Roman"/>
                <w:sz w:val="17"/>
                <w:szCs w:val="17"/>
                <w:color w:val="auto"/>
              </w:rPr>
              <w:t>Exchange</w:t>
            </w:r>
          </w:p>
        </w:tc>
        <w:tc>
          <w:tcPr>
            <w:tcW w:w="3460" w:type="dxa"/>
            <w:vAlign w:val="bottom"/>
          </w:tcPr>
          <w:p>
            <w:pPr>
              <w:spacing w:after="0"/>
              <w:rPr>
                <w:sz w:val="16"/>
                <w:szCs w:val="16"/>
                <w:color w:val="auto"/>
              </w:rPr>
            </w:pPr>
          </w:p>
        </w:tc>
        <w:tc>
          <w:tcPr>
            <w:tcW w:w="800" w:type="dxa"/>
            <w:vAlign w:val="bottom"/>
          </w:tcPr>
          <w:p>
            <w:pPr>
              <w:ind w:left="520"/>
              <w:spacing w:after="0" w:line="189" w:lineRule="exact"/>
              <w:rPr>
                <w:sz w:val="20"/>
                <w:szCs w:val="20"/>
                <w:color w:val="auto"/>
              </w:rPr>
            </w:pPr>
            <w:r>
              <w:rPr>
                <w:rFonts w:ascii="Times New Roman" w:cs="Times New Roman" w:eastAsia="Times New Roman" w:hAnsi="Times New Roman"/>
                <w:sz w:val="17"/>
                <w:szCs w:val="17"/>
                <w:color w:val="auto"/>
                <w:w w:val="90"/>
              </w:rPr>
              <w:t>Act.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0"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tabs>
          <w:tab w:leader="none" w:pos="84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14,961,137 shares of common stock as of May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460" w:type="dxa"/>
            <w:vAlign w:val="bottom"/>
            <w:gridSpan w:val="3"/>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8"/>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46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80" w:type="dxa"/>
            <w:vAlign w:val="bottom"/>
          </w:tcPr>
          <w:p>
            <w:pPr>
              <w:spacing w:after="0"/>
              <w:rPr>
                <w:sz w:val="24"/>
                <w:szCs w:val="24"/>
                <w:color w:val="auto"/>
              </w:rPr>
            </w:pP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43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40" w:type="dxa"/>
            <w:vAlign w:val="bottom"/>
            <w:gridSpan w:val="9"/>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32</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10,487,925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2,742,299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2,784,016</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69,935,878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13,914,266</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2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5,100,000</w:t>
            </w:r>
          </w:p>
        </w:tc>
      </w:tr>
      <w:tr>
        <w:trPr>
          <w:trHeight w:val="229"/>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11,220,902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12,250,955</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31,621,729</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10,176,170</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6,299,795</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53,037,433</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175"/>
        </w:trPr>
        <w:tc>
          <w:tcPr>
            <w:tcW w:w="6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14,961,137 and 13,952,624</w:t>
            </w: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as of March 31, 2025 and December 31, 2024, respectively</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51,367,883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46,821,425</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(22,710,863)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28,657,020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69,935,878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sectPr>
      </w:pPr>
    </w:p>
    <w:bookmarkStart w:id="3" w:name="page4"/>
    <w:bookmarkEnd w:id="3"/>
    <w:p>
      <w:pPr>
        <w:jc w:val="center"/>
        <w:ind w:left="720" w:right="2540"/>
        <w:spacing w:after="0" w:line="268" w:lineRule="auto"/>
        <w:rPr>
          <w:sz w:val="20"/>
          <w:szCs w:val="20"/>
          <w:color w:val="auto"/>
        </w:rPr>
      </w:pPr>
      <w:r>
        <w:rPr>
          <w:rFonts w:ascii="Times New Roman" w:cs="Times New Roman" w:eastAsia="Times New Roman" w:hAnsi="Times New Roman"/>
          <w:sz w:val="18"/>
          <w:szCs w:val="18"/>
          <w:b w:val="1"/>
          <w:bCs w:val="1"/>
          <w:color w:val="auto"/>
        </w:rPr>
        <w:t>CUMBERLAND PHARMACEUTICALS INC. AND SUBSIDIARIES 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41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80" w:type="dxa"/>
            <w:vAlign w:val="bottom"/>
            <w:tcBorders>
              <w:bottom w:val="single" w:sz="8" w:color="auto"/>
            </w:tcBorders>
          </w:tcPr>
          <w:p>
            <w:pPr>
              <w:spacing w:after="0"/>
              <w:rPr>
                <w:sz w:val="20"/>
                <w:szCs w:val="20"/>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11,713,055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1,575,542</w:t>
            </w:r>
          </w:p>
        </w:tc>
      </w:tr>
      <w:tr>
        <w:trPr>
          <w:trHeight w:val="229"/>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4,231,980</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4,154,588</w:t>
            </w: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1,295,076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1,158,253</w:t>
            </w:r>
          </w:p>
        </w:tc>
      </w:tr>
      <w:tr>
        <w:trPr>
          <w:trHeight w:val="229"/>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2,463,008</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2,367,907</w:t>
            </w: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1,005,330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1,110,661</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10,421,108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10,366,951</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1,291,947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(1,869,250)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125,709</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(118,526)</w:t>
            </w:r>
          </w:p>
        </w:tc>
      </w:tr>
      <w:tr>
        <w:trPr>
          <w:trHeight w:val="223"/>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1,253,854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(1,891,030)</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r>
      <w:tr>
        <w:trPr>
          <w:trHeight w:val="223"/>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1,248,184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 subsidiary attributable to noncontrolling interests</w:t>
            </w: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(43,791)</w:t>
            </w:r>
          </w:p>
        </w:tc>
      </w:tr>
      <w:tr>
        <w:trPr>
          <w:trHeight w:val="223"/>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5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1,257,068</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(1,946,263)</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5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14,942,522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14,098,022</w:t>
            </w:r>
          </w:p>
        </w:tc>
      </w:tr>
      <w:tr>
        <w:trPr>
          <w:trHeight w:val="23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15,259,824</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14,098,022</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251" w:right="7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1,248,184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1,150,685</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non-cash contingent consideration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cash surrender value of life insurance policies over premiums paid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(1,066,410)</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170,469</w:t>
            </w: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205,619</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(213,825)</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(645,542)</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156,728</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(2,136,647)</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investment in manufacturing facility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(1,228,186)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(58,186)</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ATM offering,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(630,701)</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(247,605)</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2,421,694</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(2,855,771)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226,861</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18,548,485</w:t>
            </w:r>
          </w:p>
        </w:tc>
      </w:tr>
      <w:tr>
        <w:trPr>
          <w:trHeight w:val="20"/>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354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14,121,833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354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13,952,624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46,821,425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(23,967,931)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4,715,950</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(243,704)</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1,248,184</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14,961,137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51,367,883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(22,710,863)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28,340,619</w:t>
            </w:r>
          </w:p>
        </w:tc>
      </w:tr>
      <w:tr>
        <w:trPr>
          <w:trHeight w:val="20"/>
        </w:trPr>
        <w:tc>
          <w:tcPr>
            <w:tcW w:w="3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forces in the United States. We continue to build a network of established international partners with the needed regulatory and commercial capabilities to register and provide our medicines to patients in their countries.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continuing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products are manufactured by third parties, which are overseen by our quality control and manufacturing professionals. We work closely with our warehousing and distribution partners to make our products available in the U.S.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of the Company have been prepared on a basis consistent with the December 31, 2024,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2024 (the "2024 Annual Report on Form 10-K"). The results of operations for the three months ended March 31, 2025, are not necessarily indicative of the results to be expected for the entire fiscal year or any future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final guidance in Update 2023-07, 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final guidance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("Update 2024-03"), which requires companies to disclose additional information for certain relevant expense categories in the Statements of Operations and within the notes to the financial statements. Update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Trade and Note Receivables Policy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spacing w:after="0" w:line="7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or external credit score/rating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ratings or classification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 type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location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expected credit loss patterns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supportable forecast periods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over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to calculate basic and diluted earnings (loss) per share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1,257,068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(1,946,263)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14,942,522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14,098,022</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317,302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15,259,824</w:t>
            </w: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14,098,022</w:t>
            </w:r>
          </w:p>
        </w:tc>
      </w:tr>
      <w:tr>
        <w:trPr>
          <w:trHeight w:val="21"/>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2025 and 2024, restricted stock awards and options to purchase 810,211 and 496,859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revenues consisted of the following for the three months ended March 31, 2025 and 2024:</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Kristalose</w:t>
            </w:r>
          </w:p>
        </w:tc>
        <w:tc>
          <w:tcPr>
            <w:tcW w:w="196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3,484,310</w:t>
            </w:r>
          </w:p>
        </w:tc>
        <w:tc>
          <w:tcPr>
            <w:tcW w:w="16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3,195,609</w:t>
            </w:r>
          </w:p>
        </w:tc>
        <w:tc>
          <w:tcPr>
            <w:tcW w:w="100" w:type="dxa"/>
            <w:vAlign w:val="bottom"/>
          </w:tcPr>
          <w:p>
            <w:pPr>
              <w:spacing w:after="0"/>
              <w:rPr>
                <w:sz w:val="19"/>
                <w:szCs w:val="19"/>
                <w:color w:val="auto"/>
              </w:rPr>
            </w:pPr>
          </w:p>
        </w:tc>
      </w:tr>
      <w:tr>
        <w:trPr>
          <w:trHeight w:val="229"/>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Sancuso</w:t>
            </w:r>
          </w:p>
        </w:tc>
        <w:tc>
          <w:tcPr>
            <w:tcW w:w="1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2,256,294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1,827,769</w:t>
            </w:r>
          </w:p>
        </w:tc>
        <w:tc>
          <w:tcPr>
            <w:tcW w:w="100" w:type="dxa"/>
            <w:vAlign w:val="bottom"/>
            <w:shd w:val="clear" w:color="auto" w:fill="CCEEFF"/>
          </w:tcPr>
          <w:p>
            <w:pPr>
              <w:spacing w:after="0"/>
              <w:rPr>
                <w:sz w:val="19"/>
                <w:szCs w:val="19"/>
                <w:color w:val="auto"/>
              </w:rPr>
            </w:pPr>
          </w:p>
        </w:tc>
      </w:tr>
      <w:tr>
        <w:trPr>
          <w:trHeight w:val="230"/>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Vibativ</w:t>
            </w:r>
          </w:p>
        </w:tc>
        <w:tc>
          <w:tcPr>
            <w:tcW w:w="1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1,378,066</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1,605,489</w:t>
            </w:r>
          </w:p>
        </w:tc>
        <w:tc>
          <w:tcPr>
            <w:tcW w:w="100" w:type="dxa"/>
            <w:vAlign w:val="bottom"/>
          </w:tcPr>
          <w:p>
            <w:pPr>
              <w:spacing w:after="0"/>
              <w:rPr>
                <w:sz w:val="19"/>
                <w:szCs w:val="19"/>
                <w:color w:val="auto"/>
              </w:rPr>
            </w:pPr>
          </w:p>
        </w:tc>
      </w:tr>
      <w:tr>
        <w:trPr>
          <w:trHeight w:val="229"/>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Caldolor</w:t>
            </w:r>
          </w:p>
        </w:tc>
        <w:tc>
          <w:tcPr>
            <w:tcW w:w="1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1,307,439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1,470,699</w:t>
            </w:r>
          </w:p>
        </w:tc>
        <w:tc>
          <w:tcPr>
            <w:tcW w:w="100" w:type="dxa"/>
            <w:vAlign w:val="bottom"/>
            <w:shd w:val="clear" w:color="auto" w:fill="CCEEFF"/>
          </w:tcPr>
          <w:p>
            <w:pPr>
              <w:spacing w:after="0"/>
              <w:rPr>
                <w:sz w:val="19"/>
                <w:szCs w:val="19"/>
                <w:color w:val="auto"/>
              </w:rPr>
            </w:pPr>
          </w:p>
        </w:tc>
      </w:tr>
      <w:tr>
        <w:trPr>
          <w:trHeight w:val="230"/>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Acetadote</w:t>
            </w:r>
          </w:p>
        </w:tc>
        <w:tc>
          <w:tcPr>
            <w:tcW w:w="1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151,651</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80,203</w:t>
            </w:r>
          </w:p>
        </w:tc>
        <w:tc>
          <w:tcPr>
            <w:tcW w:w="100" w:type="dxa"/>
            <w:vAlign w:val="bottom"/>
          </w:tcPr>
          <w:p>
            <w:pPr>
              <w:spacing w:after="0"/>
              <w:rPr>
                <w:sz w:val="19"/>
                <w:szCs w:val="19"/>
                <w:color w:val="auto"/>
              </w:rPr>
            </w:pPr>
          </w:p>
        </w:tc>
      </w:tr>
      <w:tr>
        <w:trPr>
          <w:trHeight w:val="229"/>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Omeclamox-Pak</w:t>
            </w:r>
          </w:p>
        </w:tc>
        <w:tc>
          <w:tcPr>
            <w:tcW w:w="1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r>
      <w:tr>
        <w:trPr>
          <w:trHeight w:val="229"/>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Vaprisol</w:t>
            </w:r>
          </w:p>
        </w:tc>
        <w:tc>
          <w:tcPr>
            <w:tcW w:w="1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Pr>
          <w:p>
            <w:pPr>
              <w:spacing w:after="0"/>
              <w:rPr>
                <w:sz w:val="19"/>
                <w:szCs w:val="19"/>
                <w:color w:val="auto"/>
              </w:rPr>
            </w:pPr>
          </w:p>
        </w:tc>
      </w:tr>
      <w:tr>
        <w:trPr>
          <w:trHeight w:val="230"/>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RediTrex</w:t>
            </w:r>
          </w:p>
        </w:tc>
        <w:tc>
          <w:tcPr>
            <w:tcW w:w="1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w:t>
            </w:r>
          </w:p>
        </w:tc>
        <w:tc>
          <w:tcPr>
            <w:tcW w:w="100" w:type="dxa"/>
            <w:vAlign w:val="bottom"/>
            <w:shd w:val="clear" w:color="auto" w:fill="CCEEFF"/>
          </w:tcPr>
          <w:p>
            <w:pPr>
              <w:spacing w:after="0"/>
              <w:rPr>
                <w:sz w:val="19"/>
                <w:szCs w:val="19"/>
                <w:color w:val="auto"/>
              </w:rPr>
            </w:pP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3,141,629</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275,329</w:t>
            </w:r>
          </w:p>
        </w:tc>
        <w:tc>
          <w:tcPr>
            <w:tcW w:w="100" w:type="dxa"/>
            <w:vAlign w:val="bottom"/>
            <w:tcBorders>
              <w:bottom w:val="single" w:sz="8" w:color="CCEEFF"/>
            </w:tcBorders>
          </w:tcPr>
          <w:p>
            <w:pPr>
              <w:spacing w:after="0"/>
              <w:rPr>
                <w:sz w:val="19"/>
                <w:szCs w:val="19"/>
                <w:color w:val="auto"/>
              </w:rPr>
            </w:pPr>
          </w:p>
        </w:tc>
      </w:tr>
      <w:tr>
        <w:trPr>
          <w:trHeight w:val="248"/>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960" w:type="dxa"/>
            <w:vAlign w:val="bottom"/>
            <w:tcBorders>
              <w:bottom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11,713,055</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Omeclamox-Pak net revenue for the first quarter of 2025 due to our lack of commercial inventory of this product. The packager for our Omeclamox-Pak product encountered financial difficulties due to the impact of COVID-19. As we have not been able to identify an alternative site to package the product, we discontinued the sales of Omeclamox-Pak and expensed the remaining brand intangible assets in late 2023. For the three months ended March 31, 2025 and 2024, the amounts noted resulted from normal distribution adjustments.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Vaprisol, we are in the process of transitioning to a new manufacturing partner, who was issued a U.S. Food and Drug Administration ("FDA") Form 483 in the second quarter of 2022. Once these FDA Form 483 related issues are satisfactorily resolved, we will then resubmit our application for their facility to the FDA for approval. For the three months ended March 31, 2025, the amounts are normal sales deduction adjustments. For the three months ended March 31, 2024, the amounts reflected our share of sales of a special, interim compounded product introduced to the market in late 2023.</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June 30, 2023, the Company returned all rights of RediTrex back to Nordic and will receive a long-term royalty on any sales of the product in the future. For the three months ended March 31, 2025 and 2024, the revenue amounts represented normal distribution and accrual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include funding from federal grant programs including those provided by the FDA and from those secured by Cumberland Emerging Technologies Inc. ("CET") through the Small Business Administration's Small Business Innovation Research and Small Business Technology Transfer Research ("SBIR/STTR") programs. There was no grant revenue from these federal grant programs for the three months ended March 31, 2025 and was approximately $0.1 million for the three months ended March 31, 2024.</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$0.2 million for the three months ended March 31, 2025 and 2024.</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received a $3.0 million milestone payment associated with the approval of Vibativ for the Chinese market. We recognized as revenue all but $25,000 of the milestone payment which is the estimated cost of virtual marketing training that will take place prior to the launch of the product in the Chinese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March 31, 2025 and December 31, 2024, there were no cumulative net realizable value charges for potential obsolescence and discontinuance losses necessary.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these APIs are consumed in the manufacture of our products, the value of the API involved is transferred from raw materials to finished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Consigned inventory represents Authorized Generic inventory stored with our partner until shipment to their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the Company's net inventories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42"/>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10,832,574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11,982,045</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195,976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126,090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3,009,545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2,897,359</w:t>
            </w: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14,038,095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15,005,494</w:t>
            </w:r>
          </w:p>
        </w:tc>
      </w:tr>
      <w:tr>
        <w:trPr>
          <w:trHeight w:val="230"/>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(9,939,236)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(11,005,499)</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4,098,859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3,999,995</w:t>
            </w:r>
          </w:p>
        </w:tc>
      </w:tr>
      <w:tr>
        <w:trPr>
          <w:trHeight w:val="20"/>
        </w:trPr>
        <w:tc>
          <w:tcPr>
            <w:tcW w:w="6700" w:type="dxa"/>
            <w:vAlign w:val="bottom"/>
            <w:gridSpan w:val="2"/>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453"/>
        </w:trPr>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March 31, 2025 and December 31, 2024, the Company's non-current inventories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1"/>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74"/>
        </w:trPr>
        <w:tc>
          <w:tcPr>
            <w:tcW w:w="65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8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Vibativ 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5,356,857</w:t>
            </w: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6,180,347</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Kristalose Raw Materials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2,672,720</w:t>
            </w:r>
          </w:p>
        </w:tc>
        <w:tc>
          <w:tcPr>
            <w:tcW w:w="14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Vaprisol Raw Materials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1,172,849</w:t>
            </w:r>
          </w:p>
        </w:tc>
        <w:tc>
          <w:tcPr>
            <w:tcW w:w="14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Raw Materials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458,684</w:t>
            </w:r>
          </w:p>
        </w:tc>
        <w:tc>
          <w:tcPr>
            <w:tcW w:w="14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Raw Materials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Acetadote Raw Materials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14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Ifetroban Raw Materials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166,923</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Finished Goods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183,057</w:t>
            </w:r>
          </w:p>
        </w:tc>
        <w:tc>
          <w:tcPr>
            <w:tcW w:w="14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Finished Goods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w:t>
            </w:r>
          </w:p>
        </w:tc>
        <w:tc>
          <w:tcPr>
            <w:tcW w:w="140" w:type="dxa"/>
            <w:vAlign w:val="bottom"/>
          </w:tcPr>
          <w:p>
            <w:pPr>
              <w:spacing w:after="0"/>
              <w:rPr>
                <w:sz w:val="19"/>
                <w:szCs w:val="19"/>
                <w:color w:val="auto"/>
              </w:rPr>
            </w:pP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Omeclamox</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40" w:type="dxa"/>
            <w:vAlign w:val="bottom"/>
          </w:tcPr>
          <w:p>
            <w:pPr>
              <w:spacing w:after="0"/>
              <w:rPr>
                <w:sz w:val="19"/>
                <w:szCs w:val="19"/>
                <w:color w:val="auto"/>
              </w:rPr>
            </w:pP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non-current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9,939,236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11,005,499</w:t>
            </w:r>
          </w:p>
        </w:tc>
        <w:tc>
          <w:tcPr>
            <w:tcW w:w="140" w:type="dxa"/>
            <w:vAlign w:val="bottom"/>
          </w:tcPr>
          <w:p>
            <w:pPr>
              <w:spacing w:after="0"/>
              <w:rPr>
                <w:sz w:val="21"/>
                <w:szCs w:val="2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2021, Cumberland entered into a lease (the "Broadwest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CET provided the notice of exercise to extend the lease with The Gateway to Nashville, LLC (the "Gateway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included within the right-of-use assets are start up expenditures related to new supply agreements with Nephron Pharmaceuticals Corporation ("Nephron") for our Vaprisol product and Kindos Pharmaceuticals Co., Ltd. ("Kindos") for our Vibativ product. These expenditures are classified as embedded leases resulting in right-of-use assets to be amortized over the life of the contracts. As of March 31, 2025, the right-of-use assets for Nephron and Kindos was $0.7 million and $1.3 million, respectively, and included in the total right-of-use assets of $7.2 million.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the commencement date of each lease. Incremental borrowing rates reflect the Company’s estimated interest rates for collateralized borrowings over similar lease terms.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for the Broadwest Lease and Gateway Lease is 9.4 years and 10.2 years at March 31, 2025 and March 31, 2024, respectively. The weighted-average incremental borrowing rate used to discount the present value of the remaining lease payments for both leases is 9.37% and 9.38% at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Lease Position</w:t>
            </w: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51"/>
        </w:trPr>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March 31, 2025 and December 31, 2024, the Company's lease assets and liabilities were as follows:</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66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300" w:type="dxa"/>
            <w:vAlign w:val="bottom"/>
          </w:tcPr>
          <w:p>
            <w:pPr>
              <w:spacing w:after="0"/>
              <w:rPr>
                <w:sz w:val="24"/>
                <w:szCs w:val="24"/>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7,177,490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453"/>
        </w:trPr>
        <w:tc>
          <w:tcPr>
            <w:tcW w:w="6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00" w:type="dxa"/>
            <w:vAlign w:val="bottom"/>
          </w:tcPr>
          <w:p>
            <w:pPr>
              <w:spacing w:after="0"/>
              <w:rPr>
                <w:sz w:val="24"/>
                <w:szCs w:val="24"/>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4,829,054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March 31, 2025, cumulative future minimum sublease income under non-cancelable operating subleases totals approximately $0.2 million which includes the 90-day notice required for lease termination. Future minimum lease payments under non-cancelable operating leases (with initial or remaining lease terms in excess of one year)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Maturity of Lease Liabilities at March 31, 2025</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616,606</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909,911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934,180</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740,791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650,766</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4,196,635</w:t>
            </w:r>
          </w:p>
        </w:tc>
      </w:tr>
      <w:tr>
        <w:trPr>
          <w:trHeight w:val="223"/>
        </w:trPr>
        <w:tc>
          <w:tcPr>
            <w:tcW w:w="8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8,048,889</w:t>
            </w:r>
          </w:p>
        </w:tc>
      </w:tr>
      <w:tr>
        <w:trPr>
          <w:trHeight w:val="229"/>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2,848,741</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5,200,148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300" w:type="dxa"/>
            <w:vAlign w:val="bottom"/>
            <w:tcBorders>
              <w:bottom w:val="single" w:sz="8" w:color="auto"/>
            </w:tcBorders>
          </w:tcPr>
          <w:p>
            <w:pPr>
              <w:spacing w:after="0"/>
              <w:rPr>
                <w:sz w:val="20"/>
                <w:szCs w:val="20"/>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2280" w:type="dxa"/>
            <w:vAlign w:val="bottom"/>
            <w:tcBorders>
              <w:bottom w:val="single" w:sz="8" w:color="auto"/>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354,752</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54"/>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80" w:type="dxa"/>
            <w:vAlign w:val="bottom"/>
            <w:tcBorders>
              <w:bottom w:val="single" w:sz="8" w:color="auto"/>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158,629</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 AND DEBT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currently has a share repurchase program available to repurchase its common stock pursuant to Rule 10b-18 of the Securities Exchange Act of 1934, as amended (the "Exchange Act"). In January 2019, the Company's Board of Directors established the current $10 million repurchase program to replace the prior authorizations. During the three months ended March 31, 2025 and March 31, 2024, the Company repurchased 53,837 and 125,870 shares of common stock, respectively, for approximately $0.2 million during each period. At March 31, 2025, there remains approximately $2.2 million available under the current repurchase program for common share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purchases and sales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Company's November 2024 trading window, several members of Cumberland's Board of Directors entered into agreements for trading plans to purchase shares of the Company's stock pursuant to Rule 10b5-1 of the Exchange Act. These purchases are designed to increase ownership in the Company by the members of the Board. The plans became effective on March 3, 2025, and as of March 31, 2025, a total of 1,285 shares have been purchased through these trading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Sales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filed an updated Form S-3 with the SEC in December 2023, which was declared effective December 26, 2023 (the "Current Registration Statement"). The Company entered into an agreement with H.C. Wainwright &amp; Co., LLC (H.C. Wainwright") to establish a new At the Market ("ATM") program under the Current Registration Statement. On March 20, 2024, the Company filed a related prospectus supplement in connection with the sale and issuance of shares having an aggregate gross sales price of up to $5.8 million. On February 5, 2025, the Company issued 1,000,000 shares under an ATM for an aggregate amount of $5.5 million. As a result of this transaction, deferred offering costs of $0.6 million related to the ATM were reclassified as a reduction of paid-in-capital. On February 14, 2025, the Company filed a prospectus supplement to amend the previous prospectus supplement to increase the maximum gross sales price from $5.8 million to $10 million. The Company intends to continue an ATM feature through H.C. Wainwright, that would allow the Company to additionally issue shares of its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Grants and Incentive Stock Options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issued 35,110 shares and 50,500 shares of restricted stock, respectively, to advisors and directors. Restricted stock issued to advisors generally cliff-vests on the fourth anniversary of the date of grant and for directors on the one-year anniversary of the date of grant. During the three months ended March 31, 2025 and March 31, 2024, the Company also issued 177,100 and 187,600 incentive stock options, respectively, to employees that cliff-vest on the fourth anniversary of the date of grant, and are largely set to expire in 2035 and 2034, respectively.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compensation expense is presented as a component of general and administrative expense in the condensed consolidated statements of operations as it relates to these restricted share grants and options. For the three months ended March 31, 2025 and 2024, stock compensation expense was $0.07 million. Of this amount, we recorded a credit of $3,503 related to the forfeiture of unvested restricted stock awards and incentive stock options.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(the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3-year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$5.2 million and $15.3 million, respectively, in borrowings outstanding under its revolving credit facility. The applicable interest rate under the Loan Agreement was 7.125% at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Cumberland entered into an agreement with WinHealth Investment (Singapore) Ltd creating </w:t>
      </w:r>
      <w:r>
        <w:rPr>
          <w:rFonts w:ascii="Times New Roman" w:cs="Times New Roman" w:eastAsia="Times New Roman" w:hAnsi="Times New Roman"/>
          <w:sz w:val="18"/>
          <w:szCs w:val="18"/>
          <w:i w:val="1"/>
          <w:iCs w:val="1"/>
          <w:color w:val="auto"/>
        </w:rPr>
        <w:t>WHC Biopharmaceuticals, Pte. Ltd</w:t>
      </w:r>
      <w:r>
        <w:rPr>
          <w:rFonts w:ascii="Times New Roman" w:cs="Times New Roman" w:eastAsia="Times New Roman" w:hAnsi="Times New Roman"/>
          <w:sz w:val="18"/>
          <w:szCs w:val="18"/>
          <w:color w:val="auto"/>
        </w:rPr>
        <w:t>. The joint venture, as a limited liability company, will focus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has approximately $52.7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2025 and beyond, through the continued utilization of these net operating loss carryforwards, on any taxable income generated from our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COLLABORATIVE AGREEMENTS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right="540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(10) PRODUCT ACQUISITIONS AND RETURN OF PRODUCT RIGHTS </w:t>
      </w:r>
      <w:r>
        <w:rPr>
          <w:rFonts w:ascii="Times New Roman" w:cs="Times New Roman" w:eastAsia="Times New Roman" w:hAnsi="Times New Roman"/>
          <w:sz w:val="18"/>
          <w:szCs w:val="18"/>
          <w:i w:val="1"/>
          <w:iCs w:val="1"/>
          <w:color w:val="auto"/>
        </w:rPr>
        <w:t>Vibativ</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 The contingent consideration earned and accrued in operating expenses is paid to Theravance quarterly.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3,242,999</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3,087,236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of $3.1 million was accounted for as $0.9 million of other current liabilities and $2.2 million of other long-term liabilities on the condensed consolidated balance sheet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Sancuso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 2022, Cumberland acquired the U.S. rights to the FDA-approved oncology-supportive care medicine Sancuso from Kyowa Kirin,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("Kyowa Kirin"), the U.S. affiliate of Japan-based Kyowa Kirin Co., Ltd.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acquired U.S. rights to Sancuso and assumed full commercial responsibility for the product in the United States – including its marketing, promotion, distribution, manufacturing and medical support activities. The product’s FDA registration was subsequently transferred from Kyowa Kirin to Cumberland in August 2023.</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has also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$2.0 million in milestones are tied to achievement of certain annual sales levels for the product.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Cumberland has agreed to pay a royalty of up to 10% of on-going net sales of Sancuso.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1,516,000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milestones and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(238,103)</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(72,289)</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earned and accrued in operating expenses is paid to Kyowa Kirin quarterly. The contingent consideration liability of $1.3 million was accounted for as $0.67 million of current liabilities and $0.68 million of other long-term liabilities on the condensed consolidated balance sheet as of March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the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 w:lineRule="exact"/>
        <w:rPr>
          <w:sz w:val="20"/>
          <w:szCs w:val="20"/>
          <w:color w:val="auto"/>
        </w:rPr>
      </w:pPr>
    </w:p>
    <w:p>
      <w:pPr>
        <w:ind w:right="38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Disclosure regarding forward-looking statements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2024,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We continue to build a network of established international partners with the needed regulatory and commercial capabilities to register and provide our medicines to patients in their countries.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 includes:</w:t>
      </w:r>
    </w:p>
    <w:p>
      <w:pPr>
        <w:spacing w:after="0" w:line="1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98"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bacterial pneumonia, as well as complicated skin and skin structure infections.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recently completed a Phase II study in patients with cardiomyopathy associated with </w:t>
      </w:r>
      <w:r>
        <w:rPr>
          <w:rFonts w:ascii="Times New Roman" w:cs="Times New Roman" w:eastAsia="Times New Roman" w:hAnsi="Times New Roman"/>
          <w:sz w:val="18"/>
          <w:szCs w:val="18"/>
          <w:i w:val="1"/>
          <w:iCs w:val="1"/>
          <w:color w:val="auto"/>
        </w:rPr>
        <w:t>Duchenne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dystrophy </w:t>
      </w:r>
      <w:r>
        <w:rPr>
          <w:rFonts w:ascii="Times New Roman" w:cs="Times New Roman" w:eastAsia="Times New Roman" w:hAnsi="Times New Roman"/>
          <w:sz w:val="18"/>
          <w:szCs w:val="18"/>
          <w:color w:val="auto"/>
        </w:rPr>
        <w:t>(“DMD”).This rare, fatal genetic neuromuscular disease results in deterioration of the skeletal, heart and lung muscles. The next steps for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DMD Program include further data analysis and completion of a full study report in preparation for an end-of-Phase-II meeting with the FDA to determine next steps associated with the product’s development and commercialization.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Phase II clinical programs underway evaluating our ifetroban product candidate in patients with 1) Systemic Sclerosis (“SSc”) or scleroderma, a debilitating autoimmune disorder characterized by diffuse fibrosis of the skin and internal organs and 2) Idiopathic Pulmonary Fibrosis (“IPF”), the most common form of progressive fibrosing interstitial lung disease. Investigational new study applications have been cleared by the FDA enabling us to launch clinical studies in each of these areas.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and commercialization of pharmaceutical products in the U.S., and we believe we can leverage this existing infrastructure to support our continued growth. Our management team consists of pharmaceutical industry veterans with experience in business development, product development, regulatory, manufacturing, sales, marketing and finance.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building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are seeking long-term, sustainable growth by:</w:t>
      </w:r>
    </w:p>
    <w:p>
      <w:pPr>
        <w:spacing w:after="0" w:line="140"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and expanding the use of our marketed products. </w:t>
      </w:r>
      <w:r>
        <w:rPr>
          <w:rFonts w:ascii="Times New Roman" w:cs="Times New Roman" w:eastAsia="Times New Roman" w:hAnsi="Times New Roman"/>
          <w:sz w:val="18"/>
          <w:szCs w:val="18"/>
          <w:color w:val="auto"/>
        </w:rPr>
        <w:t>We continue to evaluate our products following their FDA approval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additional clinical data could expand their market and use. For example, we have secured pediatric approval of Acetadote and Caldolor and expanded the labeling for both brands accordingly. We also added pre-surgery dosing for Caldolor, and more recently included newborns to the patients who can benefit from the product.</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adding complementary brands. </w:t>
      </w:r>
      <w:r>
        <w:rPr>
          <w:rFonts w:ascii="Times New Roman" w:cs="Times New Roman" w:eastAsia="Times New Roman" w:hAnsi="Times New Roman"/>
          <w:sz w:val="18"/>
          <w:szCs w:val="18"/>
          <w:color w:val="auto"/>
        </w:rPr>
        <w:t>In addition to our product development activities, we are also seeking to acquire approved brands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spacing w:after="0" w:line="11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Progressing our clinical pipeline and incubating future product opportunities at CET. </w:t>
      </w:r>
      <w:r>
        <w:rPr>
          <w:rFonts w:ascii="Times New Roman" w:cs="Times New Roman" w:eastAsia="Times New Roman" w:hAnsi="Times New Roman"/>
          <w:sz w:val="18"/>
          <w:szCs w:val="18"/>
          <w:color w:val="auto"/>
        </w:rPr>
        <w:t>We believe it is important to build a pipeline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new product opportunities, as we are doing through our ifetroban Phase II development programs. We are also supplementing our acquisitions and late-stage development activities with the early-stage product development activities at CET.</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infrastructure through co-promotion partnerships. </w:t>
      </w:r>
      <w:r>
        <w:rPr>
          <w:rFonts w:ascii="Times New Roman" w:cs="Times New Roman" w:eastAsia="Times New Roman" w:hAnsi="Times New Roman"/>
          <w:sz w:val="18"/>
          <w:szCs w:val="18"/>
          <w:color w:val="auto"/>
        </w:rPr>
        <w:t>We believe that our commercial infrastructure can help drive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and product sales. We also look for select partners that can complement our capabilities and enhance opportunities for our brands. For example, our co-promotion partnerships have allowed us to expand the support for Kristalose across the United States.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an international contribution to our business. </w:t>
      </w:r>
      <w:r>
        <w:rPr>
          <w:rFonts w:ascii="Times New Roman" w:cs="Times New Roman" w:eastAsia="Times New Roman" w:hAnsi="Times New Roman"/>
          <w:sz w:val="18"/>
          <w:szCs w:val="18"/>
          <w:color w:val="auto"/>
        </w:rPr>
        <w:t>We have established our own commercial capabilities, including three sales divisions,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focus on the U.S. market for our products. We are also working with a network of established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spacing w:after="0" w:line="9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our operations with financial discipline. </w:t>
      </w:r>
      <w:r>
        <w:rPr>
          <w:rFonts w:ascii="Times New Roman" w:cs="Times New Roman" w:eastAsia="Times New Roman" w:hAnsi="Times New Roman"/>
          <w:sz w:val="18"/>
          <w:szCs w:val="18"/>
          <w:color w:val="auto"/>
        </w:rPr>
        <w:t>We continually work to manage our expenses in line with our revenues, to deliver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from operations. We seek to maintain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Approves 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sNDA</w:t>
      </w:r>
    </w:p>
    <w:p>
      <w:pPr>
        <w:spacing w:after="0" w:line="10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Cumberland previously announced the FDA approval of a supplemental New Drug Application for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IV treatment for preventing or lessening liver injury after ingestion of potentially toxic quantities of acetaminophen.</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Acetaminophen, a common over-the-counter pain reliever and fever reducer, is the leading cause of acute liver failure in the United States. Each year, thousands of individuals experience accidental or intentional acetaminophen poisoning, leading to serious liver damage.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dosing regimen simplifies the administration of Acetadote by combining the first two bags of the standard regimen into a single, slower infusion. This streamlined approach has been implemented in hospitals across multiple countries and demonstrated to reduce the frequency of medication errors and potentially serious non-allergic anaphylactoid reactions without compromising effectiveness. By simplifying the dosing regimen, health care providers can administer the life-saving treatment more efficiently, potentially improving patient outcomes.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Study Compares 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(ibuprofen injection) to ketorolac</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announced the publication of new real-world outcomes research involving 150,000 patients, which compared our 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(ibuprofen) injection to its key competitor – ketorolac – in both adult and pediatric populations. The study, published in </w:t>
      </w:r>
      <w:r>
        <w:rPr>
          <w:rFonts w:ascii="Times New Roman" w:cs="Times New Roman" w:eastAsia="Times New Roman" w:hAnsi="Times New Roman"/>
          <w:sz w:val="18"/>
          <w:szCs w:val="18"/>
          <w:i w:val="1"/>
          <w:iCs w:val="1"/>
          <w:color w:val="auto"/>
        </w:rPr>
        <w:t>Frontiers of Pain Research</w:t>
      </w:r>
      <w:r>
        <w:rPr>
          <w:rFonts w:ascii="Times New Roman" w:cs="Times New Roman" w:eastAsia="Times New Roman" w:hAnsi="Times New Roman"/>
          <w:sz w:val="18"/>
          <w:szCs w:val="18"/>
          <w:color w:val="auto"/>
        </w:rPr>
        <w:t>, provided compelling evidence that Caldolor is associated with a significantly reduced incidence of adverse drug reactions (ADRs) and improved health care utilization when compared to ketorolac.</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extensive, retrospective, payer database analysis evaluated the records of over 17 million patients who had received either Caldolor or ketorolac. Ultimately, 31,046 Caldolor and 124,184 ketorolac adult patients were selected and compared for ADRs and subsequent health care resource utilization, which includes inpatient, outpatient and emergency department visits as well as all procedures and prescriptions during the follow up time of 29 days. An additional 5,579 pediatric patients were identified in each arm and compared in a separate claims analysis.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Key findings reveal that, in adults, Caldolor was associated with a 45% reduction in renal dysfunction (p&lt;0.001) and a 78% decrease in hematuria rates (p&lt;0.001) when compared to ketorolac. Notably, patients also experienced fewer gastrointestinal complications as well as reduced headaches, nausea and abdominal pain. Among pediatric patients, the results showed Caldolor was associated with a 51-65% lower rate of ADRs, including headache and nausea, with 95% confidence intervals supporting clinical significance.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also demonstrated a positive impact on health care resource utilization (HCRU) when compared to ketorolac, with decreased emergency room and outpatient visits, as well as a shortened hospital length of stay for both adults and children.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findings underscore Caldolor’s potential to improve patient care by reducing their treatment complications, while also delivering potential saving for health care systems through decreased hospital readmissions and shortened treatment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Ifetroban Clinical Studies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we announced positive top-line results from the Phase II study evaluating our ifetroban product candidate in patients with Duchenne muscular dystrophy (DMD). This marks a breakthrough for these patients, as it is the first successful Phase II study specifically targeting the cardiac complications of their condition. These study results were selected for a late-breaking presentation in March at the Muscular Dystrophy Association’s Clinical &amp; Scientific Conference. That platform allowed us to share our promising results with the global DMD community, including leading researchers, clinicians and patient advocates who are working tirelessly to improve outcomes for those affected by this devastating disease. The next steps for our DMD program include further data analysis and completion of a full study report in preparation for an end-of-Phase-2 meeting with the FDA to determine the requirements for the product’s approval.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evaluating our ifetroban product candidate in a Phase II clinical programs evaluating our ifetroban product candidate in patients with Systemic Sclerosis or scleroderma, a debilitating autoimmune disorder characterized by diffuse fibrosis of the skin and internal organs. Enrollment in the study is now complete, and we are monitoring the clinical sites in preparation to lock the database and begin evaluating the study. We expect to announce top-line results from this study later this year.</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a Phase II clinical program underway in patients with Idiopathic Pulmonary Fibrosis, the most common form of progressive fibrosing interstitial lung disease. Patient enrollment is now underway in medical centers across the U.S. 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 Additional pilot studies of ifetroban are underway, through several investigator-initiated trials. We are awaiting results from these various studies before deciding on the best development path for the registration of ifetroban, our first new chemical entity.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support our international partners in their efforts to register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their countries.</w:t>
      </w:r>
    </w:p>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recently learned that our potent antibiotic Vibativ received approval from the regulatory authorities in China. That milestone provides us with access to the world’s second-largest pharmaceutical market – and we look forward to the launch of our product there.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previously announced a new partnership with Saudi Arabia-based Tabuk Pharmaceutical to introduce Vibativ into the Middle East. The arrangement provided Tabuk exclusive rights to distribute Vibativ in Saudi Arabia and Jordan, with the option to expand into other countries in the region. Tabuk has obtained the final approvals needed to commercialize Vibativ in Saudi Arabia. In late 2024, we began shipping Vibativ there and completed the needed product training to launch the product in that country.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entered into an agreement with D.B. Pharm to register and commercialize our Vibativ product in South Korea. D.B. Pharm also distributes our Caldolor product there. They have filed for the approval of Vibativ and we have been supporting their efforts through the review process of their application in the country. The Korean regulatory authorities did not approve the initial submission, and indicated that additional manufacturing information will be required. We will work with D.B. Pharm to address the additional requirements.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late 2024, PiSA Pharmaceutical, our partner for Caldolor in Mexico, completed and submitted a dossier to COFEPRIS, Mexico’s equivalent to the FDA, for the product’s approval in that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w:t>
      </w:r>
    </w:p>
    <w:p>
      <w:pPr>
        <w:spacing w:after="0" w:line="108" w:lineRule="exact"/>
        <w:rPr>
          <w:sz w:val="20"/>
          <w:szCs w:val="20"/>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attributes such as efficacy, safety, ease-of-use and cost-effectiveness;</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recognition driven by sales, marketing and distribution capabilities;</w:t>
      </w:r>
    </w:p>
    <w:p>
      <w:pPr>
        <w:spacing w:after="0" w:line="14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other exclusivity rights;</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resources to build and maintain developmental and commercial capabilities;</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business development activities;</w:t>
      </w:r>
    </w:p>
    <w:p>
      <w:pPr>
        <w:spacing w:after="0" w:line="14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third-party reimbursements, insurance coverage; and</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advantageous collaborations to conduct development, manufacturing or commercialization efforts.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face competition from other branded products, generics and alternate medical treatments. Our task is to position each brand to feature its competitive advantages, implement a well-thought-out marketing plan and provide focused sales, field-based medical and other tactical support.</w:t>
      </w:r>
    </w:p>
    <w:p>
      <w:pPr>
        <w:spacing w:after="0" w:line="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Kristalose is a dry powder crystalline prescription formulation of lactulose indicated for the treatment of constipation. The U.S. constipation therapy market includes various prescription and over the counter, or OTC, products. There are several branded prescription products which we believe are our primary competitors including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Linzess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Vibrant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are several hundred OTC products used to treat constipation marketed by numerous pharmaceutical and consumer health companies. MiraLax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(polyethylene glycol 3350), previously a prescription product, was indicated for the treatment of constipation and manufactured and marketed by Bayer. MiraLax was converted to an OTC product and as a result the FDA rescinded the approval of the generic prescription polyethylene glycol 3350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also other lactulose products available in the U.S. including Constulose, Enulose and Generalac, as well as several generics. Prescriptions for our Kristalose product are often substituted and filled by one of these generic products. During the first quarter of 2025, a generic crystalline lactulose product was approved, available from PAI Pharma.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United States and other countries have recently begun imposing new tariffs on international trade. While pharmaceuticals have been largely exempt from these recently imposed U.S. tariffs, such exemptions may be removed in the future. We continue to monitor and evaluate the impacts of tariffs on our business and the results of our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entering an exciting time for our Company. We remain in the early stages of capitalizing on numerous opportunities and expect our momentum to continue. Our ongoing success can be driven by growth from our approved brands, expanded international partnerships, progress in our clinical development programs and the potential addition of select acquisitions. We will remain focused on our efforts and look forward to future opportunities to carry out our mission and report on our progress throughout the remainder of the year and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2024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the three months ended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three months ended March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3,215,354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(149,828)</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4,154,588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136,823</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95,101</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(105,331)</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10,421,108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10,366,951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54,157</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3,161,197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(45,276)</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3,144,884</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1,248,184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3,150,656</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3,484,310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3,195,609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288,701</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428,525</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(227,423)</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(163,260)</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71,448</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(35,903)</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3,141,629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2,866,300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3,215,354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three months ended March 31, 2025, were $11.7 million compared to $8.5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detailed in the table above, net revenue increased for three of our marketed products during the first quarter of 2025, Kristalose, Sancuso and Acetadote.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$3.5 million for the first quarter of 2025 and $3.2 million for the same period in the prior year. The increase was the result of sales to our co-promotion partner.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first quarter of 2025, there was an increase of $0.1 million in the product's revenue when compared to the prior year period due to an increase in sales of our Authorized Generic.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Vaprisol branded product sales for the first quarter of 2025 as Cumberland is currently out of inventory of the product as we await FDA approval on a new manufacturer. The amount represents charges for product returns.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$1.3 million for the first quarter of 2025, compared to $1.5 million for the first quarter of 2024. The decrease results from higher international sales in 2024.</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Vibativ revenue was $1.4 million for the three months ended March 31, 2025, and $1.6 million for the same prior year period. The decrease in net revenue of the product was due to lower sales volume.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Sancuso revenue was $2.3 million for the first quarter of 2025, compared to $1.8 million for the first quarter of 2024 resulting in an increase of $0.4 million. The increase resulted primarily from increased shipments as well as lower sales deductions associated with the product for the first quarter of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was $3.1 million for the three months ended March 31, 2025, compared to $0.3 million for the three months ended March 31, 2024. The increase results from a $3 million milestone payment received associated with the approval of Vibativ for the Chinese market.</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first quarter of 2025 and 2024 were $1.4 million and $1.6 million, respectively. Cost of products sold,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net revenues, were 12.2% during the three months ended March 31, 2025, compared to 18.5% during the three months ended March 31, 2024. The favorable percentage decrease is primarily due to milestone payments and higher international sales in 2024 which typically incur higher cost of goods sold as a percentage relative to the lower international revenue on a per unit basis.</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for the first quarter of 2025 were nominally increased by $0.1 million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year.</w:t>
      </w:r>
    </w:p>
    <w:p>
      <w:pPr>
        <w:spacing w:after="0" w:line="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first quarter of 2025 were $1.3 million compared to $1.2 million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is primarily due to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first quarter of 2025 was $2.5 million compared to $2.4 million for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The increase is due to higher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4,353,066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1,605,489</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478,473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3,593,949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849,953</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firstLine="8"/>
        <w:spacing w:after="0" w:line="302" w:lineRule="auto"/>
        <w:tabs>
          <w:tab w:leader="none" w:pos="132"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revenue includes $2,975,000 related to a milestone payment received in the three months ended March 31, 2025 and $1,288 related to other income received in the three months ended March 31, 2024.</w:t>
      </w:r>
    </w:p>
    <w:p>
      <w:pPr>
        <w:spacing w:after="0" w:line="13"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Sancuso: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1,827,769</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929,817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527,697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1,182,501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1,043,494</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Sancuso inventory included in the costs of product sold during 2024 was acquired and paid for by Cumberland as part of the acquisition of the brand during 2022.</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three months ended March 31, 2025 and 2024, totaled approximately $1.0 million and $1.1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three months ended March 31, 2025 and for the three months ended March 31, 2024 was $0.01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liquidity   and</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working   capital   as   of</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31,   2025</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and</w:t>
            </w: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56"/>
        </w:trPr>
        <w:tc>
          <w:tcPr>
            <w:tcW w:w="47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02"/>
        </w:trPr>
        <w:tc>
          <w:tcPr>
            <w:tcW w:w="47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9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15,108,413</w:t>
            </w:r>
          </w:p>
        </w:tc>
        <w:tc>
          <w:tcPr>
            <w:tcW w:w="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40" w:type="dxa"/>
            <w:vAlign w:val="bottom"/>
          </w:tcPr>
          <w:p>
            <w:pPr>
              <w:spacing w:after="0"/>
              <w:rPr>
                <w:sz w:val="19"/>
                <w:szCs w:val="19"/>
                <w:color w:val="auto"/>
              </w:rPr>
            </w:pPr>
          </w:p>
        </w:tc>
      </w:tr>
      <w:tr>
        <w:trPr>
          <w:trHeight w:val="210"/>
        </w:trPr>
        <w:tc>
          <w:tcPr>
            <w:tcW w:w="4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2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6,357,532</w:t>
            </w:r>
          </w:p>
        </w:tc>
        <w:tc>
          <w:tcPr>
            <w:tcW w:w="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4,830,429</w:t>
            </w:r>
          </w:p>
        </w:tc>
        <w:tc>
          <w:tcPr>
            <w:tcW w:w="40" w:type="dxa"/>
            <w:vAlign w:val="bottom"/>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 (multiple of current assets to current liabilities)</w:t>
            </w: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r>
      <w:tr>
        <w:trPr>
          <w:trHeight w:val="162"/>
        </w:trPr>
        <w:tc>
          <w:tcPr>
            <w:tcW w:w="47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14,759,267</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4,723,830</w:t>
            </w:r>
          </w:p>
        </w:tc>
        <w:tc>
          <w:tcPr>
            <w:tcW w:w="40" w:type="dxa"/>
            <w:vAlign w:val="bottom"/>
          </w:tcPr>
          <w:p>
            <w:pPr>
              <w:spacing w:after="0"/>
              <w:rPr>
                <w:sz w:val="19"/>
                <w:szCs w:val="19"/>
                <w:color w:val="auto"/>
              </w:rPr>
            </w:pPr>
          </w:p>
        </w:tc>
      </w:tr>
      <w:tr>
        <w:trPr>
          <w:trHeight w:val="21"/>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three months ended March 31, 2025 and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3,898,517</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(2,136,647)</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(1,228,186)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(5,526,102)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2,421,694</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(2,855,771)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$2.9 million decrease in cash and cash equivalents for the three months ended March 31, 2025, was primarily attributable to $6.8 million of cash used in financing and investing activities, partially offset by $3.9 million of cash provided by operating activities.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totaled $3.9 million for the three months ended March 31, 2025, primarily due to the $1.2 million net income, adjusted by adding back a $1.2 million decrease in accounts receivable, a $1.0 million decrease in inventory, $0.3 million in amortization of operating lease right-of-use assets and $1.0 million in depreciation and amortization expense, partially offset by deducting a $0.2 million decrease in operating lease liability and a $0.6 million decrease in accounts payable and other current liabilities.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totaled $5.5 million for the three months ended March 31, 2025, primarily due to $10.0 million in payments on our line of credit, $0.5 million for cash settlement of contingent consideration, and $0.2 million in cash used to repurchase shares of our common stock, partially offset by $5.3 million in proceeds from our ATM offering.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we did not engage in any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March 31,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risk related to borrowings under our line of credit was based on Term SOFR plus an interest rate spread. The pricing under the Loan Agreement provides for an interest rate spread of 1.75% to 2.75% above Term SOFR with a minimum Term SOFR of 0.90%. The applicable interest rate under the Loan Agreement was 7.125% at March 31, 2025. As of March 31, 2025, we had $5.2 million in borrowings outstanding under our revolving credit facility.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2025 and 2024. Neither a five percent increase nor decrease from current exchange rates would have a material effect on our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Part I, Item 1. Financial Statements, Notes to Unaudited Condensed Consolidated Financial Statements, Note 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an investor should consider the risk factors included in the Company's Annual Report on Form 10-K for the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ectPr>
          <w:pgSz w:w="11900" w:h="16838" w:orient="portrait"/>
          <w:cols w:equalWidth="0" w:num="1">
            <w:col w:w="11240"/>
          </w:cols>
          <w:pgMar w:left="320" w:top="1035" w:right="33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by month, during the three months ended March 31, 2025:</w:t>
      </w:r>
    </w:p>
    <w:p>
      <w:pPr>
        <w:spacing w:after="0" w:line="31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66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14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6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Maximum number (or</w:t>
      </w:r>
    </w:p>
    <w:p>
      <w:pPr>
        <w:spacing w:after="0" w:line="6" w:lineRule="exact"/>
        <w:rPr>
          <w:sz w:val="20"/>
          <w:szCs w:val="20"/>
          <w:color w:val="auto"/>
        </w:rPr>
      </w:pPr>
    </w:p>
    <w:p>
      <w:pPr>
        <w:ind w:left="20" w:right="680"/>
        <w:spacing w:after="0" w:line="211" w:lineRule="auto"/>
        <w:rPr>
          <w:sz w:val="20"/>
          <w:szCs w:val="20"/>
          <w:color w:val="auto"/>
        </w:rPr>
      </w:pPr>
      <w:r>
        <w:rPr>
          <w:rFonts w:ascii="Times New Roman" w:cs="Times New Roman" w:eastAsia="Times New Roman" w:hAnsi="Times New Roman"/>
          <w:sz w:val="14"/>
          <w:szCs w:val="14"/>
          <w:b w:val="1"/>
          <w:bCs w:val="1"/>
          <w:color w:val="auto"/>
        </w:rPr>
        <w:t>Approximate Dollar Value) of Shares (or Units) that May be</w:t>
      </w:r>
    </w:p>
    <w:p>
      <w:pPr>
        <w:ind w:right="640" w:firstLine="24"/>
        <w:spacing w:after="0" w:line="239" w:lineRule="auto"/>
        <w:rPr>
          <w:sz w:val="20"/>
          <w:szCs w:val="20"/>
          <w:color w:val="auto"/>
        </w:rPr>
      </w:pPr>
      <w:r>
        <w:rPr>
          <w:rFonts w:ascii="Times New Roman" w:cs="Times New Roman" w:eastAsia="Times New Roman" w:hAnsi="Times New Roman"/>
          <w:sz w:val="14"/>
          <w:szCs w:val="14"/>
          <w:b w:val="1"/>
          <w:bCs w:val="1"/>
          <w:color w:val="auto"/>
        </w:rPr>
        <w:t>Purchased Under the Publicly Announced Plans or Programs</w:t>
      </w:r>
    </w:p>
    <w:p>
      <w:pPr>
        <w:spacing w:after="0" w:line="1" w:lineRule="exact"/>
        <w:rPr>
          <w:sz w:val="20"/>
          <w:szCs w:val="20"/>
          <w:color w:val="auto"/>
        </w:rPr>
      </w:pPr>
    </w:p>
    <w:p>
      <w:pPr>
        <w:sectPr>
          <w:pgSz w:w="11900" w:h="16838" w:orient="portrait"/>
          <w:cols w:equalWidth="0" w:num="2">
            <w:col w:w="8420" w:space="300"/>
            <w:col w:w="2520"/>
          </w:cols>
          <w:pgMar w:left="320" w:top="1035" w:right="339" w:bottom="1440" w:gutter="0" w:footer="0" w:header="0"/>
          <w:type w:val="continuous"/>
        </w:sectPr>
      </w:pPr>
    </w:p>
    <w:tbl>
      <w:tblPr>
        <w:tblLayout w:type="fixed"/>
        <w:tblInd w:w="220" w:type="dxa"/>
        <w:tblCellMar>
          <w:top w:w="0" w:type="dxa"/>
          <w:left w:w="0" w:type="dxa"/>
          <w:bottom w:w="0" w:type="dxa"/>
          <w:right w:w="0" w:type="dxa"/>
        </w:tblCellMar>
      </w:tblPr>
      <w:tr>
        <w:trPr>
          <w:trHeight w:val="233"/>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4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$2.51</w:t>
            </w:r>
          </w:p>
        </w:tc>
        <w:tc>
          <w:tcPr>
            <w:tcW w:w="12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7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2,393,735</w:t>
            </w:r>
          </w:p>
        </w:tc>
      </w:tr>
      <w:tr>
        <w:trPr>
          <w:trHeight w:val="230"/>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2,393,735</w:t>
            </w:r>
          </w:p>
        </w:tc>
      </w:tr>
      <w:tr>
        <w:trPr>
          <w:trHeight w:val="229"/>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$5.36</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2,189,608</w:t>
            </w:r>
          </w:p>
        </w:tc>
      </w:tr>
      <w:tr>
        <w:trPr>
          <w:trHeight w:val="223"/>
        </w:trPr>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38,067 shares were repurchased directly in private purchases at the then-current fair market value of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officers and directors of the Company adopted trading plans intended to satisfy the affirmative defense conditions of Rule 10b5-1(c) under the Securities Exchange Act of 1934, as amended. The plans became effective during the three months ended March 31, 2025. The material items of the trading plan are set forth in the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the Director or</w:t>
            </w:r>
          </w:p>
        </w:tc>
        <w:tc>
          <w:tcPr>
            <w:tcW w:w="2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the Director or</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Duration of the Trading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Dollar Amount to</w:t>
            </w:r>
          </w:p>
        </w:tc>
        <w:tc>
          <w:tcPr>
            <w:tcW w:w="0" w:type="dxa"/>
            <w:vAlign w:val="bottom"/>
          </w:tcPr>
          <w:p>
            <w:pPr>
              <w:spacing w:after="0"/>
              <w:rPr>
                <w:sz w:val="1"/>
                <w:szCs w:val="1"/>
                <w:color w:val="auto"/>
              </w:rPr>
            </w:pPr>
          </w:p>
        </w:tc>
      </w:tr>
      <w:tr>
        <w:trPr>
          <w:trHeight w:val="184"/>
        </w:trPr>
        <w:tc>
          <w:tcPr>
            <w:tcW w:w="2340" w:type="dxa"/>
            <w:vAlign w:val="bottom"/>
            <w:gridSpan w:val="2"/>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140" w:type="dxa"/>
            <w:vAlign w:val="bottom"/>
            <w:vMerge w:val="restart"/>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 Used in the Purchase of</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4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Securities</w:t>
            </w:r>
          </w:p>
        </w:tc>
        <w:tc>
          <w:tcPr>
            <w:tcW w:w="0" w:type="dxa"/>
            <w:vAlign w:val="bottom"/>
          </w:tcPr>
          <w:p>
            <w:pPr>
              <w:spacing w:after="0"/>
              <w:rPr>
                <w:sz w:val="1"/>
                <w:szCs w:val="1"/>
                <w:color w:val="auto"/>
              </w:rPr>
            </w:pPr>
          </w:p>
        </w:tc>
      </w:tr>
      <w:tr>
        <w:trPr>
          <w:trHeight w:val="178"/>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 Kazimi</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November 14, 2024</w:t>
            </w:r>
          </w:p>
        </w:tc>
        <w:tc>
          <w:tcPr>
            <w:tcW w:w="20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March 3, 2025 - December</w:t>
            </w:r>
          </w:p>
        </w:tc>
        <w:tc>
          <w:tcPr>
            <w:tcW w:w="120" w:type="dxa"/>
            <w:vAlign w:val="bottom"/>
            <w:shd w:val="clear" w:color="auto" w:fill="CCEEFF"/>
          </w:tcPr>
          <w:p>
            <w:pPr>
              <w:spacing w:after="0"/>
              <w:rPr>
                <w:sz w:val="15"/>
                <w:szCs w:val="15"/>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140"/>
        </w:trPr>
        <w:tc>
          <w:tcPr>
            <w:tcW w:w="2340" w:type="dxa"/>
            <w:vAlign w:val="bottom"/>
            <w:gridSpan w:val="2"/>
            <w:vMerge w:val="continue"/>
            <w:shd w:val="clear" w:color="auto" w:fill="CCEEFF"/>
          </w:tcPr>
          <w:p>
            <w:pPr>
              <w:spacing w:after="0"/>
              <w:rPr>
                <w:sz w:val="12"/>
                <w:szCs w:val="12"/>
                <w:color w:val="auto"/>
              </w:rPr>
            </w:pPr>
          </w:p>
        </w:tc>
        <w:tc>
          <w:tcPr>
            <w:tcW w:w="2360" w:type="dxa"/>
            <w:vAlign w:val="bottom"/>
            <w:gridSpan w:val="2"/>
            <w:vMerge w:val="continue"/>
            <w:shd w:val="clear" w:color="auto" w:fill="CCEEFF"/>
          </w:tcPr>
          <w:p>
            <w:pPr>
              <w:spacing w:after="0"/>
              <w:rPr>
                <w:sz w:val="12"/>
                <w:szCs w:val="12"/>
                <w:color w:val="auto"/>
              </w:rPr>
            </w:pPr>
          </w:p>
        </w:tc>
        <w:tc>
          <w:tcPr>
            <w:tcW w:w="2080" w:type="dxa"/>
            <w:vAlign w:val="bottom"/>
            <w:gridSpan w:val="2"/>
            <w:vMerge w:val="continue"/>
            <w:shd w:val="clear" w:color="auto" w:fill="CCEEFF"/>
          </w:tcPr>
          <w:p>
            <w:pPr>
              <w:spacing w:after="0"/>
              <w:rPr>
                <w:sz w:val="12"/>
                <w:szCs w:val="12"/>
                <w:color w:val="auto"/>
              </w:rPr>
            </w:pP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31, 2025</w:t>
            </w:r>
          </w:p>
        </w:tc>
        <w:tc>
          <w:tcPr>
            <w:tcW w:w="120" w:type="dxa"/>
            <w:vAlign w:val="bottom"/>
            <w:shd w:val="clear" w:color="auto" w:fill="CCEEFF"/>
          </w:tcPr>
          <w:p>
            <w:pPr>
              <w:spacing w:after="0"/>
              <w:rPr>
                <w:sz w:val="12"/>
                <w:szCs w:val="12"/>
                <w:color w:val="auto"/>
              </w:rPr>
            </w:pPr>
          </w:p>
        </w:tc>
        <w:tc>
          <w:tcPr>
            <w:tcW w:w="2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Kenneth J. Krogulski</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November 14, 2024</w:t>
            </w:r>
          </w:p>
        </w:tc>
        <w:tc>
          <w:tcPr>
            <w:tcW w:w="220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March 3, 2025 - December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0" w:type="dxa"/>
            <w:vAlign w:val="bottom"/>
          </w:tcPr>
          <w:p>
            <w:pPr>
              <w:spacing w:after="0"/>
              <w:rPr>
                <w:sz w:val="1"/>
                <w:szCs w:val="1"/>
                <w:color w:val="auto"/>
              </w:rPr>
            </w:pPr>
          </w:p>
        </w:tc>
      </w:tr>
      <w:tr>
        <w:trPr>
          <w:trHeight w:val="140"/>
        </w:trPr>
        <w:tc>
          <w:tcPr>
            <w:tcW w:w="2340" w:type="dxa"/>
            <w:vAlign w:val="bottom"/>
            <w:gridSpan w:val="2"/>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31, 2025</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Jamie R. Jones</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November 14, 2024</w:t>
            </w:r>
          </w:p>
        </w:tc>
        <w:tc>
          <w:tcPr>
            <w:tcW w:w="2200" w:type="dxa"/>
            <w:vAlign w:val="bottom"/>
            <w:gridSpan w:val="2"/>
            <w:shd w:val="clear" w:color="auto" w:fill="CCEEFF"/>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March 3, 2025 - December</w:t>
            </w: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140"/>
        </w:trPr>
        <w:tc>
          <w:tcPr>
            <w:tcW w:w="2340" w:type="dxa"/>
            <w:vAlign w:val="bottom"/>
            <w:gridSpan w:val="2"/>
            <w:vMerge w:val="continue"/>
            <w:shd w:val="clear" w:color="auto" w:fill="CCEEFF"/>
          </w:tcPr>
          <w:p>
            <w:pPr>
              <w:spacing w:after="0"/>
              <w:rPr>
                <w:sz w:val="12"/>
                <w:szCs w:val="12"/>
                <w:color w:val="auto"/>
              </w:rPr>
            </w:pPr>
          </w:p>
        </w:tc>
        <w:tc>
          <w:tcPr>
            <w:tcW w:w="2360" w:type="dxa"/>
            <w:vAlign w:val="bottom"/>
            <w:gridSpan w:val="2"/>
            <w:vMerge w:val="continue"/>
            <w:shd w:val="clear" w:color="auto" w:fill="CCEEFF"/>
          </w:tcPr>
          <w:p>
            <w:pPr>
              <w:spacing w:after="0"/>
              <w:rPr>
                <w:sz w:val="12"/>
                <w:szCs w:val="12"/>
                <w:color w:val="auto"/>
              </w:rPr>
            </w:pPr>
          </w:p>
        </w:tc>
        <w:tc>
          <w:tcPr>
            <w:tcW w:w="2080" w:type="dxa"/>
            <w:vAlign w:val="bottom"/>
            <w:gridSpan w:val="2"/>
            <w:vMerge w:val="continue"/>
            <w:shd w:val="clear" w:color="auto" w:fill="CCEEFF"/>
          </w:tcPr>
          <w:p>
            <w:pPr>
              <w:spacing w:after="0"/>
              <w:rPr>
                <w:sz w:val="12"/>
                <w:szCs w:val="12"/>
                <w:color w:val="auto"/>
              </w:rPr>
            </w:pP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31, 2025</w:t>
            </w:r>
          </w:p>
        </w:tc>
        <w:tc>
          <w:tcPr>
            <w:tcW w:w="120" w:type="dxa"/>
            <w:vAlign w:val="bottom"/>
            <w:shd w:val="clear" w:color="auto" w:fill="CCEEFF"/>
          </w:tcPr>
          <w:p>
            <w:pPr>
              <w:spacing w:after="0"/>
              <w:rPr>
                <w:sz w:val="12"/>
                <w:szCs w:val="12"/>
                <w:color w:val="auto"/>
              </w:rPr>
            </w:pPr>
          </w:p>
        </w:tc>
        <w:tc>
          <w:tcPr>
            <w:tcW w:w="2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Caroline R. Young</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November 14, 2024</w:t>
            </w:r>
          </w:p>
        </w:tc>
        <w:tc>
          <w:tcPr>
            <w:tcW w:w="220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March 3, 2025 - December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40"/>
        </w:trPr>
        <w:tc>
          <w:tcPr>
            <w:tcW w:w="2340" w:type="dxa"/>
            <w:vAlign w:val="bottom"/>
            <w:gridSpan w:val="2"/>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31, 2025</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9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6103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6"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43">
        <w:r>
          <w:rPr>
            <w:rFonts w:ascii="Times New Roman" w:cs="Times New Roman" w:eastAsia="Times New Roman" w:hAnsi="Times New Roman"/>
            <w:sz w:val="17"/>
            <w:szCs w:val="17"/>
            <w:u w:val="single" w:color="auto"/>
            <w:color w:val="0000FF"/>
          </w:rPr>
          <w:t>Employment Agreement dated March 4, 2025, effective as of January 1, 2025, by and between A.J. Kazimi and Cumberland</w:t>
        </w:r>
      </w:hyperlink>
      <w:r>
        <w:rPr>
          <w:rFonts w:ascii="Times New Roman" w:cs="Times New Roman" w:eastAsia="Times New Roman" w:hAnsi="Times New Roman"/>
          <w:sz w:val="17"/>
          <w:szCs w:val="17"/>
          <w:u w:val="single" w:color="auto"/>
          <w:color w:val="0000FF"/>
        </w:rPr>
        <w:t xml:space="preserve"> </w:t>
      </w:r>
      <w:hyperlink r:id="rId43">
        <w:r>
          <w:rPr>
            <w:rFonts w:ascii="Times New Roman" w:cs="Times New Roman" w:eastAsia="Times New Roman" w:hAnsi="Times New Roman"/>
            <w:sz w:val="17"/>
            <w:szCs w:val="17"/>
            <w:u w:val="single" w:color="auto"/>
            <w:color w:val="0000FF"/>
          </w:rPr>
          <w:t>Pharmaceuticals Inc., incorporated herein by reference to Exhibit 10.11 of the Company’s Annual Report on Form 10-K (File No.</w:t>
        </w:r>
      </w:hyperlink>
    </w:p>
    <w:p>
      <w:pPr>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001-33637) as filed with the SEC on March 7, 2025.</w:t>
        </w:r>
      </w:hyperlink>
    </w:p>
    <w:p>
      <w:pPr>
        <w:spacing w:after="0" w:line="340"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44">
        <w:r>
          <w:rPr>
            <w:rFonts w:ascii="Times New Roman" w:cs="Times New Roman" w:eastAsia="Times New Roman" w:hAnsi="Times New Roman"/>
            <w:sz w:val="17"/>
            <w:szCs w:val="17"/>
            <w:u w:val="single" w:color="auto"/>
            <w:color w:val="0000FF"/>
          </w:rPr>
          <w:t>Employment Agreement dated March 4, 2025, effective as of January 1, 2025, by and between Jim Herman and Cumberland</w:t>
        </w:r>
      </w:hyperlink>
      <w:r>
        <w:rPr>
          <w:rFonts w:ascii="Times New Roman" w:cs="Times New Roman" w:eastAsia="Times New Roman" w:hAnsi="Times New Roman"/>
          <w:sz w:val="17"/>
          <w:szCs w:val="17"/>
          <w:u w:val="single" w:color="auto"/>
          <w:color w:val="0000FF"/>
        </w:rPr>
        <w:t xml:space="preserve"> </w:t>
      </w:r>
      <w:hyperlink r:id="rId44">
        <w:r>
          <w:rPr>
            <w:rFonts w:ascii="Times New Roman" w:cs="Times New Roman" w:eastAsia="Times New Roman" w:hAnsi="Times New Roman"/>
            <w:sz w:val="17"/>
            <w:szCs w:val="17"/>
            <w:u w:val="single" w:color="auto"/>
            <w:color w:val="0000FF"/>
          </w:rPr>
          <w:t>Pharmaceuticals Inc., incorporated herein by reference to Exhibit 10.12 of the Company’s Annual Report on Form 10-K (File No.</w:t>
        </w:r>
      </w:hyperlink>
    </w:p>
    <w:p>
      <w:pPr>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001-33637) as filed with the SEC on March 7, 2025.</w:t>
        </w:r>
      </w:hyperlink>
    </w:p>
    <w:p>
      <w:pPr>
        <w:spacing w:after="0" w:line="340"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45">
        <w:r>
          <w:rPr>
            <w:rFonts w:ascii="Times New Roman" w:cs="Times New Roman" w:eastAsia="Times New Roman" w:hAnsi="Times New Roman"/>
            <w:sz w:val="17"/>
            <w:szCs w:val="17"/>
            <w:u w:val="single" w:color="auto"/>
            <w:color w:val="0000FF"/>
          </w:rPr>
          <w:t>Employment Agreement dated March 4, 2025, effective as of January 1, 2025, by and between Todd Anthony and Cumberland</w:t>
        </w:r>
      </w:hyperlink>
      <w:r>
        <w:rPr>
          <w:rFonts w:ascii="Times New Roman" w:cs="Times New Roman" w:eastAsia="Times New Roman" w:hAnsi="Times New Roman"/>
          <w:sz w:val="17"/>
          <w:szCs w:val="17"/>
          <w:u w:val="single" w:color="auto"/>
          <w:color w:val="0000FF"/>
        </w:rPr>
        <w:t xml:space="preserve"> </w:t>
      </w:r>
      <w:hyperlink r:id="rId45">
        <w:r>
          <w:rPr>
            <w:rFonts w:ascii="Times New Roman" w:cs="Times New Roman" w:eastAsia="Times New Roman" w:hAnsi="Times New Roman"/>
            <w:sz w:val="17"/>
            <w:szCs w:val="17"/>
            <w:u w:val="single" w:color="auto"/>
            <w:color w:val="0000FF"/>
          </w:rPr>
          <w:t>Pharmaceuticals Inc., incorporated herein by reference to Exhibit 10.13 of the Company’s Annual Report on Form 10-K (File No.</w:t>
        </w:r>
      </w:hyperlink>
    </w:p>
    <w:p>
      <w:pPr>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001-33637) as filed with the SEC on March 7, 2025.</w:t>
        </w:r>
      </w:hyperlink>
    </w:p>
    <w:p>
      <w:pPr>
        <w:spacing w:after="0" w:line="340"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46">
        <w:r>
          <w:rPr>
            <w:rFonts w:ascii="Times New Roman" w:cs="Times New Roman" w:eastAsia="Times New Roman" w:hAnsi="Times New Roman"/>
            <w:sz w:val="17"/>
            <w:szCs w:val="17"/>
            <w:u w:val="single" w:color="auto"/>
            <w:color w:val="0000FF"/>
          </w:rPr>
          <w:t>Employment Agreement dated March 4, 2025, effective as of January 1, 2025, by and between Chris Bitterman and Cumberland</w:t>
        </w:r>
      </w:hyperlink>
      <w:r>
        <w:rPr>
          <w:rFonts w:ascii="Times New Roman" w:cs="Times New Roman" w:eastAsia="Times New Roman" w:hAnsi="Times New Roman"/>
          <w:sz w:val="17"/>
          <w:szCs w:val="17"/>
          <w:u w:val="single" w:color="auto"/>
          <w:color w:val="0000FF"/>
        </w:rPr>
        <w:t xml:space="preserve"> </w:t>
      </w:r>
      <w:hyperlink r:id="rId46">
        <w:r>
          <w:rPr>
            <w:rFonts w:ascii="Times New Roman" w:cs="Times New Roman" w:eastAsia="Times New Roman" w:hAnsi="Times New Roman"/>
            <w:sz w:val="17"/>
            <w:szCs w:val="17"/>
            <w:u w:val="single" w:color="auto"/>
            <w:color w:val="0000FF"/>
          </w:rPr>
          <w:t>Pharmaceuticals Inc., incorporated herein by reference to Exhibit 10.14 of the Company’s Annual Report on Form 10-K (File No.</w:t>
        </w:r>
      </w:hyperlink>
    </w:p>
    <w:p>
      <w:pPr>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001-33637) as filed with the SEC on March 7, 2025.</w:t>
        </w:r>
      </w:hyperlink>
    </w:p>
    <w:p>
      <w:pPr>
        <w:spacing w:after="0" w:line="340"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47">
        <w:r>
          <w:rPr>
            <w:rFonts w:ascii="Times New Roman" w:cs="Times New Roman" w:eastAsia="Times New Roman" w:hAnsi="Times New Roman"/>
            <w:sz w:val="17"/>
            <w:szCs w:val="17"/>
            <w:u w:val="single" w:color="auto"/>
            <w:color w:val="0000FF"/>
          </w:rPr>
          <w:t>Employment Agreement dated March 4, 2025, effective as of January 1, 2025, by and between John M. Hamm and Cumberland</w:t>
        </w:r>
      </w:hyperlink>
      <w:r>
        <w:rPr>
          <w:rFonts w:ascii="Times New Roman" w:cs="Times New Roman" w:eastAsia="Times New Roman" w:hAnsi="Times New Roman"/>
          <w:sz w:val="17"/>
          <w:szCs w:val="17"/>
          <w:u w:val="single" w:color="auto"/>
          <w:color w:val="0000FF"/>
        </w:rPr>
        <w:t xml:space="preserve"> </w:t>
      </w:r>
      <w:hyperlink r:id="rId47">
        <w:r>
          <w:rPr>
            <w:rFonts w:ascii="Times New Roman" w:cs="Times New Roman" w:eastAsia="Times New Roman" w:hAnsi="Times New Roman"/>
            <w:sz w:val="17"/>
            <w:szCs w:val="17"/>
            <w:u w:val="single" w:color="auto"/>
            <w:color w:val="0000FF"/>
          </w:rPr>
          <w:t>Pharmaceuticals Inc., incorporated herein by reference to Exhibit 10.15 of the Company’s Annual Report on Form 10-K (File No.</w:t>
        </w:r>
      </w:hyperlink>
    </w:p>
    <w:p>
      <w:pPr>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001-33637) as filed with the SEC on March 7, 2025.</w:t>
        </w:r>
      </w:hyperlink>
    </w:p>
    <w:p>
      <w:pPr>
        <w:spacing w:after="0" w:line="3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13-14(a) of the Securities Exchange Act of 1934 as Adopted Pursuant to Section 302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13-14(a) of the Securities Exchange Act of 1934 as Adopted Pursuant to Section 302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99060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260"/>
            <w:col w:w="9560"/>
          </w:cols>
          <w:pgMar w:left="320" w:top="1143" w:right="4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69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6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John Hamm</w:t>
            </w:r>
          </w:p>
        </w:tc>
      </w:tr>
      <w:tr>
        <w:trPr>
          <w:trHeight w:val="218"/>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03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00" w:right="340" w:hanging="574"/>
        <w:spacing w:after="0" w:line="237"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5060"/>
        <w:spacing w:after="0"/>
        <w:tabs>
          <w:tab w:leader="none" w:pos="6800" w:val="left"/>
        </w:tabs>
        <w:rPr>
          <w:sz w:val="20"/>
          <w:szCs w:val="20"/>
          <w:color w:val="auto"/>
        </w:rPr>
      </w:pPr>
      <w:r>
        <w:rPr>
          <w:rFonts w:ascii="Times New Roman" w:cs="Times New Roman" w:eastAsia="Times New Roman" w:hAnsi="Times New Roman"/>
          <w:sz w:val="18"/>
          <w:szCs w:val="18"/>
          <w:color w:val="auto"/>
        </w:rPr>
        <w:t>May 9, 2025 By:</w:t>
      </w:r>
      <w:r>
        <w:rPr>
          <w:sz w:val="20"/>
          <w:szCs w:val="20"/>
          <w:color w:val="auto"/>
        </w:rPr>
        <w:tab/>
      </w:r>
      <w:r>
        <w:rPr>
          <w:rFonts w:ascii="Times New Roman" w:cs="Times New Roman" w:eastAsia="Times New Roman" w:hAnsi="Times New Roman"/>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5120"/>
        <w:spacing w:after="0"/>
        <w:tabs>
          <w:tab w:leader="none" w:pos="6800" w:val="left"/>
        </w:tabs>
        <w:rPr>
          <w:sz w:val="20"/>
          <w:szCs w:val="20"/>
          <w:color w:val="auto"/>
        </w:rPr>
      </w:pPr>
      <w:r>
        <w:rPr>
          <w:rFonts w:ascii="Times New Roman" w:cs="Times New Roman" w:eastAsia="Times New Roman" w:hAnsi="Times New Roman"/>
          <w:sz w:val="18"/>
          <w:szCs w:val="18"/>
          <w:color w:val="auto"/>
        </w:rPr>
        <w:t>May 9, 2025 By:</w:t>
      </w:r>
      <w:r>
        <w:rPr>
          <w:sz w:val="20"/>
          <w:szCs w:val="20"/>
          <w:color w:val="auto"/>
        </w:rPr>
        <w:tab/>
      </w:r>
      <w:r>
        <w:rPr>
          <w:rFonts w:ascii="Times New Roman" w:cs="Times New Roman" w:eastAsia="Times New Roman" w:hAnsi="Times New Roman"/>
          <w:sz w:val="17"/>
          <w:szCs w:val="17"/>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2025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ind w:left="680" w:hanging="65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May 9, 2025</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43" Type="http://schemas.openxmlformats.org/officeDocument/2006/relationships/hyperlink" Target="https://www.sec.gov/Archives/edgar/data/1087294/000162828025011366/ex1011-ajkazimixemployment.htm" TargetMode="External"/><Relationship Id="rId44" Type="http://schemas.openxmlformats.org/officeDocument/2006/relationships/hyperlink" Target="https://www.sec.gov/Archives/edgar/data/1087294/000162828025011366/ex1012-jimhermanxemploymen.htm" TargetMode="External"/><Relationship Id="rId45" Type="http://schemas.openxmlformats.org/officeDocument/2006/relationships/hyperlink" Target="https://www.sec.gov/Archives/edgar/data/1087294/000162828025011366/ex1013-toddanthonyxemploym.htm" TargetMode="External"/><Relationship Id="rId46" Type="http://schemas.openxmlformats.org/officeDocument/2006/relationships/hyperlink" Target="https://www.sec.gov/Archives/edgar/data/1087294/000162828025011366/ex1014-chrisbittermanxempl.htm" TargetMode="External"/><Relationship Id="rId47" Type="http://schemas.openxmlformats.org/officeDocument/2006/relationships/hyperlink" Target="https://www.sec.gov/Archives/edgar/data/1087294/000162828025011366/ex1015-johnhammxemploy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2025-05-09T16:07:57Z</dcterms:created>
  <dcterms:modified xsi:type="dcterms:W3CDTF">2025-05-09T16:07:57Z</dcterms:modified>
</cp:coreProperties>
</file>