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80" w:after="283"/>
        <w:jc w:val="center"/>
        <w:rPr/>
      </w:pPr>
      <w:r>
        <w:rPr>
          <w:rFonts w:ascii="Times New Roman;sans-serif" w:hAnsi="Times New Roman;sans-serif"/>
          <w:b/>
          <w:color w:val="000000"/>
          <w:sz w:val="20"/>
        </w:rPr>
        <w:t>Commission file number: 001-33637</w:t>
      </w:r>
      <w:r>
        <w:rPr>
          <w:color w:val="000000"/>
        </w:rPr>
        <w:t> </w:t>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 xml:space="preserve">Cumberland Pharmaceuticals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901" w:type="dxa"/>
        <w:jc w:val="center"/>
        <w:tblInd w:w="0" w:type="dxa"/>
        <w:tblLayout w:type="fixed"/>
        <w:tblCellMar>
          <w:top w:w="28" w:type="dxa"/>
          <w:left w:w="28" w:type="dxa"/>
          <w:bottom w:w="28" w:type="dxa"/>
          <w:right w:w="28" w:type="dxa"/>
        </w:tblCellMar>
      </w:tblPr>
      <w:tblGrid>
        <w:gridCol w:w="1116"/>
        <w:gridCol w:w="983"/>
        <w:gridCol w:w="991"/>
        <w:gridCol w:w="109"/>
        <w:gridCol w:w="109"/>
        <w:gridCol w:w="109"/>
        <w:gridCol w:w="433"/>
        <w:gridCol w:w="433"/>
        <w:gridCol w:w="618"/>
      </w:tblGrid>
      <w:tr>
        <w:trPr/>
        <w:tc>
          <w:tcPr>
            <w:tcW w:w="11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Nashville,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37203</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(615) 255-0068</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9003" w:type="dxa"/>
        <w:jc w:val="center"/>
        <w:tblInd w:w="0" w:type="dxa"/>
        <w:tblLayout w:type="fixed"/>
        <w:tblCellMar>
          <w:top w:w="28" w:type="dxa"/>
          <w:left w:w="28" w:type="dxa"/>
          <w:bottom w:w="28" w:type="dxa"/>
          <w:right w:w="28" w:type="dxa"/>
        </w:tblCellMar>
      </w:tblPr>
      <w:tblGrid>
        <w:gridCol w:w="887"/>
        <w:gridCol w:w="779"/>
        <w:gridCol w:w="779"/>
        <w:gridCol w:w="308"/>
        <w:gridCol w:w="308"/>
        <w:gridCol w:w="308"/>
        <w:gridCol w:w="475"/>
        <w:gridCol w:w="475"/>
        <w:gridCol w:w="475"/>
        <w:gridCol w:w="308"/>
        <w:gridCol w:w="308"/>
        <w:gridCol w:w="308"/>
        <w:gridCol w:w="962"/>
        <w:gridCol w:w="962"/>
        <w:gridCol w:w="1361"/>
      </w:tblGrid>
      <w:tr>
        <w:trPr/>
        <w:tc>
          <w:tcPr>
            <w:tcW w:w="88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9003"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244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exchange on which registered</w:t>
            </w:r>
          </w:p>
        </w:tc>
      </w:tr>
      <w:tr>
        <w:trPr/>
        <w:tc>
          <w:tcPr>
            <w:tcW w:w="24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center"/>
        <w:rPr/>
      </w:pPr>
      <w:r>
        <w:rPr/>
      </w:r>
    </w:p>
    <w:p>
      <w:pPr>
        <w:pStyle w:val="TextBody"/>
        <w:bidi w:val="0"/>
        <w:spacing w:lineRule="auto" w:line="288" w:before="100" w:after="283"/>
        <w:jc w:val="both"/>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xml:space="preserve"> </w:t>
      </w:r>
      <w:r>
        <w:rPr>
          <w:rFonts w:ascii="Times New Roman;sans-serif" w:hAnsi="Times New Roman;sans-serif"/>
          <w:b w:val="false"/>
          <w:color w:val="000000"/>
          <w:sz w:val="19"/>
        </w:rPr>
        <w:t>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9"/>
        </w:rPr>
      </w:pPr>
      <w:r>
        <w:rPr>
          <w:rFonts w:ascii="Times New Roman;sans-serif" w:hAnsi="Times New Roman;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89" w:type="dxa"/>
        <w:jc w:val="left"/>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Indicate the number of shares outstanding of each of the issuer’s classes of common stock, as of the latest practicable date: 14,449,107 shares of common stock as of May 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12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INDEX</w:t>
      </w:r>
    </w:p>
    <w:tbl>
      <w:tblPr>
        <w:tblW w:w="8352" w:type="dxa"/>
        <w:jc w:val="left"/>
        <w:tblInd w:w="0" w:type="dxa"/>
        <w:tblLayout w:type="fixed"/>
        <w:tblCellMar>
          <w:top w:w="28" w:type="dxa"/>
          <w:left w:w="28" w:type="dxa"/>
          <w:bottom w:w="28" w:type="dxa"/>
          <w:right w:w="28" w:type="dxa"/>
        </w:tblCellMar>
      </w:tblPr>
      <w:tblGrid>
        <w:gridCol w:w="2890"/>
        <w:gridCol w:w="2541"/>
        <w:gridCol w:w="2549"/>
        <w:gridCol w:w="109"/>
        <w:gridCol w:w="109"/>
        <w:gridCol w:w="154"/>
      </w:tblGrid>
      <w:tr>
        <w:trPr/>
        <w:tc>
          <w:tcPr>
            <w:tcW w:w="2890"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0">
              <w:r>
                <w:rPr>
                  <w:rStyle w:val="InternetLink"/>
                  <w:rFonts w:ascii="Times New Roman;sans-serif" w:hAnsi="Times New Roman;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0">
              <w:r>
                <w:rPr>
                  <w:rStyle w:val="InternetLink"/>
                  <w:rFonts w:ascii="Times New Roman;sans-serif" w:hAnsi="Times New Roman;sans-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3">
              <w:r>
                <w:rPr>
                  <w:rStyle w:val="InternetLink"/>
                  <w:rFonts w:ascii="Times New Roman;sans-serif" w:hAnsi="Times New Roman;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3">
              <w:r>
                <w:rPr>
                  <w:rStyle w:val="InternetLink"/>
                  <w:rFonts w:ascii="Times New Roman;sans-serif" w:hAnsi="Times New Roman;sans-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6">
              <w:r>
                <w:rPr>
                  <w:rStyle w:val="InternetLink"/>
                  <w:rFonts w:ascii="Times New Roman;sans-serif" w:hAnsi="Times New Roman;sans-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6">
              <w:r>
                <w:rPr>
                  <w:rStyle w:val="InternetLink"/>
                  <w:rFonts w:ascii="Times New Roman;sans-serif" w:hAnsi="Times New Roman;sans-serif"/>
                  <w:b w:val="false"/>
                  <w:color w:val="0000FF"/>
                  <w:sz w:val="20"/>
                  <w:u w:val="single"/>
                </w:rPr>
                <w:t>1</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9">
              <w:r>
                <w:rPr>
                  <w:rStyle w:val="InternetLink"/>
                  <w:rFonts w:ascii="Times New Roman;sans-serif" w:hAnsi="Times New Roman;sans-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9">
              <w:r>
                <w:rPr>
                  <w:rStyle w:val="InternetLink"/>
                  <w:rFonts w:ascii="Times New Roman;sans-serif" w:hAnsi="Times New Roman;sans-serif"/>
                  <w:b w:val="false"/>
                  <w:color w:val="0000FF"/>
                  <w:sz w:val="20"/>
                  <w:u w:val="single"/>
                </w:rPr>
                <w:t>2</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22">
              <w:r>
                <w:rPr>
                  <w:rStyle w:val="InternetLink"/>
                  <w:rFonts w:ascii="Times New Roman;sans-serif" w:hAnsi="Times New Roman;sans-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22">
              <w:r>
                <w:rPr>
                  <w:rStyle w:val="InternetLink"/>
                  <w:rFonts w:ascii="Times New Roman;sans-serif" w:hAnsi="Times New Roman;sans-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25">
              <w:r>
                <w:rPr>
                  <w:rStyle w:val="InternetLink"/>
                  <w:rFonts w:ascii="Times New Roman;sans-serif" w:hAnsi="Times New Roman;sans-serif"/>
                  <w:b w:val="false"/>
                  <w:color w:val="0000FF"/>
                  <w:sz w:val="20"/>
                  <w:u w:val="single"/>
                </w:rPr>
                <w:t>Condensed Consolidated Statements of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25">
              <w:r>
                <w:rPr>
                  <w:rStyle w:val="InternetLink"/>
                  <w:rFonts w:ascii="Times New Roman;sans-serif" w:hAnsi="Times New Roman;sans-serif"/>
                  <w:b w:val="false"/>
                  <w:color w:val="0000FF"/>
                  <w:sz w:val="20"/>
                  <w:u w:val="single"/>
                </w:rPr>
                <w:t>3</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28">
              <w:r>
                <w:rPr>
                  <w:rStyle w:val="InternetLink"/>
                  <w:rFonts w:ascii="Times New Roman;sans-serif" w:hAnsi="Times New Roman;sans-serif"/>
                  <w:b w:val="false"/>
                  <w:color w:val="0000FF"/>
                  <w:sz w:val="20"/>
                  <w:u w:val="single"/>
                </w:rPr>
                <w:t>Notes to the Unaudited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28">
              <w:r>
                <w:rPr>
                  <w:rStyle w:val="InternetLink"/>
                  <w:rFonts w:ascii="Times New Roman;sans-serif" w:hAnsi="Times New Roman;sans-serif"/>
                  <w:b w:val="false"/>
                  <w:color w:val="0000FF"/>
                  <w:sz w:val="20"/>
                  <w:u w:val="single"/>
                </w:rPr>
                <w:t>5</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61">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61">
              <w:r>
                <w:rPr>
                  <w:rStyle w:val="InternetLink"/>
                  <w:rFonts w:ascii="Times New Roman;sans-serif" w:hAnsi="Times New Roman;sans-serif"/>
                  <w:b w:val="false"/>
                  <w:color w:val="0000FF"/>
                  <w:sz w:val="20"/>
                  <w:u w:val="single"/>
                </w:rPr>
                <w:t>15</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82">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82">
              <w:r>
                <w:rPr>
                  <w:rStyle w:val="InternetLink"/>
                  <w:rFonts w:ascii="Times New Roman;sans-serif" w:hAnsi="Times New Roman;sans-serif"/>
                  <w:b w:val="false"/>
                  <w:color w:val="0000FF"/>
                  <w:sz w:val="20"/>
                  <w:u w:val="single"/>
                </w:rPr>
                <w:t>28</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85">
              <w:r>
                <w:rPr>
                  <w:rStyle w:val="InternetLink"/>
                  <w:rFonts w:ascii="Times New Roman;sans-serif" w:hAnsi="Times New Roman;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85">
              <w:r>
                <w:rPr>
                  <w:rStyle w:val="InternetLink"/>
                  <w:rFonts w:ascii="Times New Roman;sans-serif" w:hAnsi="Times New Roman;sans-serif"/>
                  <w:b w:val="false"/>
                  <w:color w:val="0000FF"/>
                  <w:sz w:val="20"/>
                  <w:u w:val="single"/>
                </w:rPr>
                <w:t>28</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88">
              <w:r>
                <w:rPr>
                  <w:rStyle w:val="InternetLink"/>
                  <w:rFonts w:ascii="Times New Roman;sans-serif" w:hAnsi="Times New Roman;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88">
              <w:r>
                <w:rPr>
                  <w:rStyle w:val="InternetLink"/>
                  <w:rFonts w:ascii="Times New Roman;sans-serif" w:hAnsi="Times New Roman;sans-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91">
              <w:r>
                <w:rPr>
                  <w:rStyle w:val="InternetLink"/>
                  <w:rFonts w:ascii="Times New Roman;sans-serif" w:hAnsi="Times New Roman;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91">
              <w:r>
                <w:rPr>
                  <w:rStyle w:val="InternetLink"/>
                  <w:rFonts w:ascii="Times New Roman;sans-serif" w:hAnsi="Times New Roman;sans-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94">
              <w:r>
                <w:rPr>
                  <w:rStyle w:val="InternetLink"/>
                  <w:rFonts w:ascii="Times New Roman;sans-serif" w:hAnsi="Times New Roman;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94">
              <w:r>
                <w:rPr>
                  <w:rStyle w:val="InternetLink"/>
                  <w:rFonts w:ascii="Times New Roman;sans-serif" w:hAnsi="Times New Roman;sans-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97">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97">
              <w:r>
                <w:rPr>
                  <w:rStyle w:val="InternetLink"/>
                  <w:rFonts w:ascii="Times New Roman;sans-serif" w:hAnsi="Times New Roman;sans-serif"/>
                  <w:b w:val="false"/>
                  <w:color w:val="0000FF"/>
                  <w:sz w:val="20"/>
                  <w:u w:val="single"/>
                </w:rPr>
                <w:t>29</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00">
              <w:r>
                <w:rPr>
                  <w:rStyle w:val="InternetLink"/>
                  <w:rFonts w:ascii="Times New Roman;sans-serif" w:hAnsi="Times New Roman;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00">
              <w:r>
                <w:rPr>
                  <w:rStyle w:val="InternetLink"/>
                  <w:rFonts w:ascii="Times New Roman;sans-serif" w:hAnsi="Times New Roman;sans-serif"/>
                  <w:b w:val="false"/>
                  <w:color w:val="0000FF"/>
                  <w:sz w:val="20"/>
                  <w:u w:val="single"/>
                </w:rPr>
                <w:t>30</w:t>
              </w:r>
            </w:hyperlink>
          </w:p>
        </w:tc>
      </w:tr>
      <w:tr>
        <w:trPr/>
        <w:tc>
          <w:tcPr>
            <w:tcW w:w="7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c341cdfaf14da59111ae7d8142fa3a_103">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c341cdfaf14da59111ae7d8142fa3a_103">
              <w:r>
                <w:rPr>
                  <w:rStyle w:val="InternetLink"/>
                  <w:rFonts w:ascii="Times New Roman;sans-serif" w:hAnsi="Times New Roman;sans-serif"/>
                  <w:b w:val="false"/>
                  <w:color w:val="0000FF"/>
                  <w:sz w:val="20"/>
                  <w:u w:val="single"/>
                </w:rPr>
                <w:t>31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57"/>
        <w:gridCol w:w="2127"/>
        <w:gridCol w:w="2097"/>
        <w:gridCol w:w="213"/>
        <w:gridCol w:w="1093"/>
        <w:gridCol w:w="110"/>
        <w:gridCol w:w="109"/>
        <w:gridCol w:w="109"/>
        <w:gridCol w:w="109"/>
        <w:gridCol w:w="230"/>
        <w:gridCol w:w="1180"/>
        <w:gridCol w:w="171"/>
      </w:tblGrid>
      <w:tr>
        <w:trPr/>
        <w:tc>
          <w:tcPr>
            <w:tcW w:w="265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16,386,166 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1" w:type="dxa"/>
            <w:gridSpan w:val="3"/>
            <w:tcBorders/>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13,163,681 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9,863,581 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2,715,498 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3,084,978 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43,810,799 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45,870,210 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7,534,303 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7,527,167 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29,390,195 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30,590,678 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89,468,635 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92,925,158 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11,222,333 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10,819,011 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14,326,712 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17,587,911 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25,707,414 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28,579,832 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16,072,286 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4,549,150 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7,091,298 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7,585,019 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53,420,148 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56,951,152 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stock—no par value; 100,000,000 shares authorized; 14,430,047 and 14,366,316 shares issued and outstanding as of March 31, 2023 and December 31, 2022 , respectively</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47,377,168 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47,474,973 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 (deficit)</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(11,016,657)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(11,208,841)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36,360,511 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36,266,132 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36,048,487 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35,974,006 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89,468,635 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92,925,158 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604" w:type="dxa"/>
        <w:jc w:val="center"/>
        <w:tblInd w:w="0" w:type="dxa"/>
        <w:tblLayout w:type="fixed"/>
        <w:tblCellMar>
          <w:top w:w="28" w:type="dxa"/>
          <w:left w:w="28" w:type="dxa"/>
          <w:bottom w:w="28" w:type="dxa"/>
          <w:right w:w="28" w:type="dxa"/>
        </w:tblCellMar>
      </w:tblPr>
      <w:tblGrid>
        <w:gridCol w:w="1843"/>
        <w:gridCol w:w="1625"/>
        <w:gridCol w:w="1631"/>
        <w:gridCol w:w="211"/>
        <w:gridCol w:w="976"/>
        <w:gridCol w:w="109"/>
        <w:gridCol w:w="109"/>
        <w:gridCol w:w="109"/>
        <w:gridCol w:w="109"/>
        <w:gridCol w:w="211"/>
        <w:gridCol w:w="1081"/>
        <w:gridCol w:w="109"/>
        <w:gridCol w:w="109"/>
        <w:gridCol w:w="109"/>
        <w:gridCol w:w="109"/>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 subsidiary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shareholders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52"/>
        <w:gridCol w:w="2235"/>
        <w:gridCol w:w="2242"/>
        <w:gridCol w:w="211"/>
        <w:gridCol w:w="1081"/>
        <w:gridCol w:w="109"/>
        <w:gridCol w:w="109"/>
        <w:gridCol w:w="109"/>
        <w:gridCol w:w="109"/>
        <w:gridCol w:w="211"/>
        <w:gridCol w:w="1081"/>
        <w:gridCol w:w="156"/>
      </w:tblGrid>
      <w:tr>
        <w:trPr/>
        <w:tc>
          <w:tcPr>
            <w:tcW w:w="255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non-cash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cash surrender value of life insurance policies over premiums paid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noncash interest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receivable of FDA fees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(7,758,089)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(13,541,898)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line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(3,371,804)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(9,774,031)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27,040,816 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17,266,785 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3"/>
        <w:gridCol w:w="402"/>
        <w:gridCol w:w="404"/>
        <w:gridCol w:w="540"/>
        <w:gridCol w:w="541"/>
        <w:gridCol w:w="226"/>
        <w:gridCol w:w="109"/>
        <w:gridCol w:w="109"/>
        <w:gridCol w:w="109"/>
        <w:gridCol w:w="211"/>
        <w:gridCol w:w="1081"/>
        <w:gridCol w:w="109"/>
        <w:gridCol w:w="109"/>
        <w:gridCol w:w="109"/>
        <w:gridCol w:w="109"/>
        <w:gridCol w:w="247"/>
        <w:gridCol w:w="1191"/>
        <w:gridCol w:w="127"/>
        <w:gridCol w:w="109"/>
        <w:gridCol w:w="109"/>
        <w:gridCol w:w="109"/>
        <w:gridCol w:w="287"/>
        <w:gridCol w:w="1148"/>
        <w:gridCol w:w="149"/>
        <w:gridCol w:w="109"/>
        <w:gridCol w:w="109"/>
        <w:gridCol w:w="109"/>
        <w:gridCol w:w="211"/>
        <w:gridCol w:w="1081"/>
        <w:gridCol w:w="159"/>
      </w:tblGrid>
      <w:tr>
        <w:trPr/>
        <w:tc>
          <w:tcPr>
            <w:tcW w:w="78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14,742,754 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(5,638,600)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42,601,978 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162,155 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159,901 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(174,149)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2022</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14,730,760 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48,046,764 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(7,023,853)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(229,508)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40,793,403 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8"/>
        <w:gridCol w:w="388"/>
        <w:gridCol w:w="389"/>
        <w:gridCol w:w="540"/>
        <w:gridCol w:w="541"/>
        <w:gridCol w:w="226"/>
        <w:gridCol w:w="109"/>
        <w:gridCol w:w="109"/>
        <w:gridCol w:w="109"/>
        <w:gridCol w:w="211"/>
        <w:gridCol w:w="1081"/>
        <w:gridCol w:w="109"/>
        <w:gridCol w:w="109"/>
        <w:gridCol w:w="109"/>
        <w:gridCol w:w="109"/>
        <w:gridCol w:w="238"/>
        <w:gridCol w:w="1260"/>
        <w:gridCol w:w="123"/>
        <w:gridCol w:w="109"/>
        <w:gridCol w:w="109"/>
        <w:gridCol w:w="109"/>
        <w:gridCol w:w="283"/>
        <w:gridCol w:w="1133"/>
        <w:gridCol w:w="147"/>
        <w:gridCol w:w="109"/>
        <w:gridCol w:w="109"/>
        <w:gridCol w:w="109"/>
        <w:gridCol w:w="211"/>
        <w:gridCol w:w="1081"/>
        <w:gridCol w:w="158"/>
      </w:tblGrid>
      <w:tr>
        <w:trPr/>
        <w:tc>
          <w:tcPr>
            <w:tcW w:w="77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14,366,616 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(11,208,841)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(292,126)</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35,974,006 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14,430,047 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47,377,168 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(11,016,657)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(312,024)</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36,048,487 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181" w:type="dxa"/>
        <w:jc w:val="left"/>
        <w:tblInd w:w="0" w:type="dxa"/>
        <w:tblLayout w:type="fixed"/>
        <w:tblCellMar>
          <w:top w:w="28" w:type="dxa"/>
          <w:left w:w="28" w:type="dxa"/>
          <w:bottom w:w="28" w:type="dxa"/>
          <w:right w:w="28" w:type="dxa"/>
        </w:tblCellMar>
      </w:tblPr>
      <w:tblGrid>
        <w:gridCol w:w="268"/>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333"/>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38"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0"/>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 (“Cumberland,” the “Company,” or as used in the context of “we,” “us,” or “our”) is a specialty pharmaceutical company focused on the acquisition, development and commercialization of branded prescription pharmaceutical products. The Company's primary target markets are hospital acute care, gastroenterology and oncology. These medical specialties are characterized by relatively concentrated prescriber bases that the Company believes can be served effectively by small, targeted sales forces. Cumberland is dedicated to providing innovative products that improve quality of care for patients and address unmet or poorly met medical needs. The Company promotes its approved products through its hospital, oncology and field sales forces in the United States. We are continuing to build a network of international partners to register and provide our medicines to patients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hospital, field and oncology sales teams and its third-party distribution partners to make its products available in the United States.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of the Company have been prepared on a basis consistent with the December 31, 2022,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2022 (the “2022 Annual Report on Form 10-K”). The results of operations for the three months ended March 31, 2023, are not necessarily indicative of the results to be expected for the entire fiscal year or any future period.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Guidance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Financial Accounting Standards Board ("FASB") issued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 in the earlier recognition of allowances for losses. For available-for-sale debt securities with unrealized losses, companies measure credit losses in a manner similar to what they do today,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retained earnings (deficit) as of the beginning of the first reporting period in which the guidance is adopted.</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w:t>
      </w:r>
      <w:r>
        <w:rPr>
          <w:rFonts w:ascii="Times New Roman;sans-serif" w:hAnsi="Times New Roman;sans-serif"/>
          <w:b w:val="false"/>
          <w:color w:val="000000"/>
          <w:sz w:val="20"/>
        </w:rPr>
        <w:t xml:space="preserve">The Company adopted both ASU 2016-13 and ASU 2019-05 on January 1, 2023. Please refer to </w:t>
      </w:r>
      <w:r>
        <w:rPr>
          <w:rFonts w:ascii="Times New Roman;sans-serif" w:hAnsi="Times New Roman;sans-serif"/>
          <w:b w:val="false"/>
          <w:i/>
          <w:color w:val="000000"/>
          <w:sz w:val="20"/>
        </w:rPr>
        <w:t>Trade and Notes Receivables Policy</w:t>
      </w:r>
      <w:r>
        <w:rPr>
          <w:rFonts w:ascii="Times New Roman;sans-serif" w:hAnsi="Times New Roman;sans-serif"/>
          <w:b w:val="false"/>
          <w:color w:val="000000"/>
          <w:sz w:val="20"/>
        </w:rPr>
        <w:t>.</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Accounting Policies:</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pStyle w:val="TextBody"/>
        <w:bidi w:val="0"/>
        <w:spacing w:lineRule="auto" w:line="288" w:before="16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Segments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 </w:t>
      </w:r>
    </w:p>
    <w:p>
      <w:pPr>
        <w:pStyle w:val="TextBody"/>
        <w:bidi w:val="0"/>
        <w:spacing w:lineRule="auto" w:line="288" w:before="16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Trade and Note Receivables Policy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performed a scoping exercise to ensure completeness over the application of Current Expected Credit Losses (CECL) across the various financial instruments including trade and note receivables. CECL is applicable to all financial assets measured at amortized cost. The authoritative guidance requires that all financial instruments should be evaluated, including cash equivalents such as 3-month T-Bills, even if the expected loss is determined to be zero, or materially zero. All bank balances are maintained in cash or money market funds. Therefore for the Company, this principally relates to trade receivables and two note receivables. CECL also requires the measurement of expected credit losses on a collective (pool) basis when similar risk characteristics exist. This may include, either individually or in combination, some of the following characteristics (326-20-55-5):</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a.Internal or external credit score/rating</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b.Risk ratings or classification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c.Financial asset type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d.Size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e.Effective interest rate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f.Term</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g.Geographical location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h.Historical or expected credit loss patterns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i.Reasonable and supportable forecast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standard requires entities to pool financial assets but allows them to choose which risk characteristics to use. Under the requirements of the guidance, the Company would need to reassess at the end of each reporting period whether the pool of assets continue to display similar risk characteristics.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EARNINGS (LOSS) PER SHARE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numerator and denominator used to calculate basic and diluted earnings (loss) per share for the three months ended March 31, 2023 and 2022:</w:t>
      </w:r>
    </w:p>
    <w:tbl>
      <w:tblPr>
        <w:tblW w:w="7897" w:type="dxa"/>
        <w:jc w:val="left"/>
        <w:tblInd w:w="0" w:type="dxa"/>
        <w:tblLayout w:type="fixed"/>
        <w:tblCellMar>
          <w:top w:w="28" w:type="dxa"/>
          <w:left w:w="28" w:type="dxa"/>
          <w:bottom w:w="28" w:type="dxa"/>
          <w:right w:w="28" w:type="dxa"/>
        </w:tblCellMar>
      </w:tblPr>
      <w:tblGrid>
        <w:gridCol w:w="1794"/>
        <w:gridCol w:w="1583"/>
        <w:gridCol w:w="1587"/>
        <w:gridCol w:w="219"/>
        <w:gridCol w:w="862"/>
        <w:gridCol w:w="109"/>
        <w:gridCol w:w="109"/>
        <w:gridCol w:w="109"/>
        <w:gridCol w:w="109"/>
        <w:gridCol w:w="211"/>
        <w:gridCol w:w="1051"/>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 subsidiary attributable to noncontrolling interest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(1,385,253)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14,359,322 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other securities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14,587,843 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14,691,623 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2022, restricted stock awards and options to purchase 331,338 and 131,225 shares of common stock, respectively, were outstanding but were not included in the computation of diluted earnings per share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REVENUES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revenues from contracts with customers under ASC 606, which became effective January 1, 2018.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net revenues consisted of the following for the three months ended March 31, 2023 and 2022:</w:t>
      </w:r>
    </w:p>
    <w:tbl>
      <w:tblPr>
        <w:tblW w:w="5125" w:type="dxa"/>
        <w:jc w:val="center"/>
        <w:tblInd w:w="0" w:type="dxa"/>
        <w:tblLayout w:type="fixed"/>
        <w:tblCellMar>
          <w:top w:w="28" w:type="dxa"/>
          <w:left w:w="28" w:type="dxa"/>
          <w:bottom w:w="28" w:type="dxa"/>
          <w:right w:w="28" w:type="dxa"/>
        </w:tblCellMar>
      </w:tblPr>
      <w:tblGrid>
        <w:gridCol w:w="585"/>
        <w:gridCol w:w="513"/>
        <w:gridCol w:w="522"/>
        <w:gridCol w:w="211"/>
        <w:gridCol w:w="976"/>
        <w:gridCol w:w="109"/>
        <w:gridCol w:w="109"/>
        <w:gridCol w:w="109"/>
        <w:gridCol w:w="109"/>
        <w:gridCol w:w="211"/>
        <w:gridCol w:w="1081"/>
        <w:gridCol w:w="109"/>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Omeclamox-Pak net revenue for the first quarter of 2023 and 2022 was the result of Cumberland currently being out of commercial inventory of this product. The packager for our Omeclamox-Pak product encountered financial difficulties due to the impact of COVID-19. They are under new management and are in the process of a reorganization. Discussions with the packager are ongoing. In the first quarter of 2023, the amounts noted were normal adjustments by channel partners.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regard to Vaprisol, we are in the process of transitioning to a new manufacturer, who was issued an FDA Form 483 in the second quarter of 2022. Once these 483 related issues are satisfactorily resolved by the manufacturing plant, we will then resubmit our application to the FDA for approval. Net revenue was positively impacted by product return adjustments.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Revenues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also include funding from federal grant programs including those secured from the FDA and from those secured by Cumberland Emerging Technologies Inc. ("CET") through the Small Business Administration as well as lease income generated by CET’s Life Sciences Center. The Life Sciences Center is a research center that provides scientists with access to flexible lab space and other resources to develop biomedical products. Grant revenue from these federal grant programs totaled approximately $0.1 million and $0.04 million for the three months ended March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bidi w:val="0"/>
        <w:spacing w:lineRule="auto" w:line="288" w:before="160" w:after="283"/>
        <w:jc w:val="both"/>
        <w:rPr/>
      </w:pPr>
      <w:r>
        <w:rPr>
          <w:rFonts w:ascii="Times New Roman;sans-serif" w:hAnsi="Times New Roman;sans-serif"/>
          <w:b w:val="false"/>
          <w:color w:val="000000"/>
          <w:sz w:val="20"/>
        </w:rPr>
        <w:t>The Company works closely with third parties to manufacture and package finished goods for sale.</w:t>
      </w:r>
      <w:r>
        <w:rPr>
          <w:color w:val="000000"/>
        </w:rPr>
        <w:t xml:space="preserve"> </w:t>
      </w:r>
      <w:r>
        <w:rPr>
          <w:rFonts w:ascii="Times New Roman;sans-serif" w:hAnsi="Times New Roman;sans-serif"/>
          <w:b w:val="false"/>
          <w:color w:val="000000"/>
          <w:sz w:val="20"/>
        </w:rPr>
        <w:t>Based on the arrangements with the manufacturer or packager, the Company will either take title to the finished goods at the time of shipment or at the time of arrival at the Company’s warehouses.</w:t>
      </w:r>
      <w:r>
        <w:rPr>
          <w:color w:val="000000"/>
        </w:rPr>
        <w:t xml:space="preserve"> </w:t>
      </w:r>
      <w:r>
        <w:rPr>
          <w:rFonts w:ascii="Times New Roman;sans-serif" w:hAnsi="Times New Roman;sans-serif"/>
          <w:b w:val="false"/>
          <w:color w:val="000000"/>
          <w:sz w:val="20"/>
        </w:rPr>
        <w:t>The Company then holds such goods in inventory until distribution and sale. These finished goods inventories are stated at the lower of cost or net realizable value with cost determined using the first-in, first-out method.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2023, there were no cumulative obsolescence and discontinuance losses necessary. At December 31, 2022, the Company had recognized and maintained cumulative net realizable value charges for potential obsolescence and discontinuance losses of approximately $0.5 million. </w:t>
      </w:r>
    </w:p>
    <w:p>
      <w:pPr>
        <w:pStyle w:val="TextBody"/>
        <w:bidi w:val="0"/>
        <w:spacing w:lineRule="auto" w:line="288" w:before="160" w:after="283"/>
        <w:jc w:val="both"/>
        <w:rPr/>
      </w:pPr>
      <w:r>
        <w:rPr>
          <w:rFonts w:ascii="Times New Roman;sans-serif" w:hAnsi="Times New Roman;sans-serif"/>
          <w:b w:val="false"/>
          <w:color w:val="000000"/>
          <w:sz w:val="20"/>
        </w:rPr>
        <w:t>The Company is responsible for the purchase of the active pharmaceutical ingredient (“API”) for Kristalose and maintains the inventory at third-party packagers. As that API is consumed in production, the value of the API is transferred from raw materials to finished goods. API for the Company's Vaprisol brand is also included in the raw materials inventory at March 31, 2023 and December 31, 2022.</w:t>
      </w:r>
      <w:r>
        <w:rPr>
          <w:color w:val="000000"/>
        </w:rPr>
        <w:t xml:space="preserve"> </w:t>
      </w:r>
      <w:r>
        <w:rPr>
          <w:rFonts w:ascii="Times New Roman;sans-serif" w:hAnsi="Times New Roman;sans-serif"/>
          <w:b w:val="false"/>
          <w:color w:val="000000"/>
          <w:sz w:val="20"/>
        </w:rPr>
        <w:t xml:space="preserve">Consigned inventory represents Authorized Generic inventory stored with our partner until shipment.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Vibativ acquisition, the Company acquired API and work in process inventories of $15.6 million that were all initially classified as non-current inventories at the date of acquisition. At March 31, 2023 and December 31, 2022, total non-current inventory, including Vibativ and our clinical trial drug ifetroban, was $7.5 million for each period. The Company had Vibativ finished goods of $0.9 million included in non-current inventory at March 31, 2023, and no non-current inventory at December 31, 2022. The Company also had $0.3 million in non-current inventory for API related to its ifetroban clinical initiatives at March 31, 2023 and December 31, 2022, and $0.2 million and $0.1 million of finished goods, respectively.</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net inventories consisted of the following:</w:t>
      </w:r>
    </w:p>
    <w:tbl>
      <w:tblPr>
        <w:tblW w:w="7012" w:type="dxa"/>
        <w:jc w:val="left"/>
        <w:tblInd w:w="0" w:type="dxa"/>
        <w:tblLayout w:type="fixed"/>
        <w:tblCellMar>
          <w:top w:w="28" w:type="dxa"/>
          <w:left w:w="28" w:type="dxa"/>
          <w:bottom w:w="28" w:type="dxa"/>
          <w:right w:w="28" w:type="dxa"/>
        </w:tblCellMar>
      </w:tblPr>
      <w:tblGrid>
        <w:gridCol w:w="1141"/>
        <w:gridCol w:w="1000"/>
        <w:gridCol w:w="1008"/>
        <w:gridCol w:w="109"/>
        <w:gridCol w:w="109"/>
        <w:gridCol w:w="109"/>
        <w:gridCol w:w="217"/>
        <w:gridCol w:w="1111"/>
        <w:gridCol w:w="112"/>
        <w:gridCol w:w="109"/>
        <w:gridCol w:w="109"/>
        <w:gridCol w:w="109"/>
        <w:gridCol w:w="258"/>
        <w:gridCol w:w="1323"/>
        <w:gridCol w:w="188"/>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12,548,636 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12,899,659 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4,985,883 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4,322,167 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17,714,305 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17,390,748 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non-current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(7,534,303)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(7,527,167)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classified as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10,180,002 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9,863,581 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(5) LEASES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Cumberland entered into a lease, pursuant to which the Company leases approximately 16,903 rentable square feet of space at the new development Broadwest located in Nashville, Tennessee with 1600 West End Avenue Partners, LLC.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responsible for paying rent to the Landlord under the Lease beginning three months after the commencement date. The Company pays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Company's operating leases also include the lease of approximately 14,200 square feet of wet laboratory and office space in Nashville, Tennessee by CET, our majority-owned subsidiary, where it operates the CET Life Sciences Center. The research lab space at CET, under an agreement amended in July 2012, is leased through April 2023, with an option to extend the lease through April 2028. The Company also subleases a portion of the space under these leases.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January 1, 2019 and October 25, 2022. Incremental borrowing rates reflect the Company’s estimated interest rates for collateralized borrowings over similar lease terms. The weighted-average remaining lease term for the Broadwest lease is 12.62 years at March 31, 2023. The weighted-average incremental borrowing rate used to discount the present value of the remaining lease payments is 9.28% for the Broadwest lease and 7.42% for the remaining CET lease.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Position</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Company's lease assets and liabilities were as follows:</w:t>
      </w:r>
    </w:p>
    <w:tbl>
      <w:tblPr>
        <w:tblW w:w="674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34"/>
        <w:gridCol w:w="1085"/>
        <w:gridCol w:w="121"/>
        <w:gridCol w:w="109"/>
        <w:gridCol w:w="109"/>
        <w:gridCol w:w="109"/>
        <w:gridCol w:w="278"/>
        <w:gridCol w:w="1288"/>
        <w:gridCol w:w="203"/>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4,919,057 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5,218,403 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98" w:type="dxa"/>
        <w:jc w:val="left"/>
        <w:tblInd w:w="0" w:type="dxa"/>
        <w:tblLayout w:type="fixed"/>
        <w:tblCellMar>
          <w:top w:w="28" w:type="dxa"/>
          <w:left w:w="28" w:type="dxa"/>
          <w:bottom w:w="28" w:type="dxa"/>
          <w:right w:w="28" w:type="dxa"/>
        </w:tblCellMar>
      </w:tblPr>
      <w:tblGrid>
        <w:gridCol w:w="1136"/>
        <w:gridCol w:w="996"/>
        <w:gridCol w:w="1003"/>
        <w:gridCol w:w="109"/>
        <w:gridCol w:w="109"/>
        <w:gridCol w:w="109"/>
        <w:gridCol w:w="234"/>
        <w:gridCol w:w="1085"/>
        <w:gridCol w:w="121"/>
        <w:gridCol w:w="109"/>
        <w:gridCol w:w="109"/>
        <w:gridCol w:w="109"/>
        <w:gridCol w:w="278"/>
        <w:gridCol w:w="1288"/>
        <w:gridCol w:w="203"/>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4,549,150 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4,586,301 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4,707,519 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4,759,211 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cumulative future minimum sublease income under non-cancelable operating subleases totals approximately $0.03 million and will be paid through the leases ending in April 2023. Future minimum lease payments under non-cancelable operating leases (with initial or remaining lease terms in excess of one year) are as follows:</w:t>
      </w:r>
    </w:p>
    <w:tbl>
      <w:tblPr>
        <w:tblW w:w="6101" w:type="dxa"/>
        <w:jc w:val="left"/>
        <w:tblInd w:w="0" w:type="dxa"/>
        <w:tblLayout w:type="fixed"/>
        <w:tblCellMar>
          <w:top w:w="28" w:type="dxa"/>
          <w:left w:w="28" w:type="dxa"/>
          <w:bottom w:w="28" w:type="dxa"/>
          <w:right w:w="28" w:type="dxa"/>
        </w:tblCellMar>
      </w:tblPr>
      <w:tblGrid>
        <w:gridCol w:w="1500"/>
        <w:gridCol w:w="1316"/>
        <w:gridCol w:w="1324"/>
        <w:gridCol w:w="109"/>
        <w:gridCol w:w="109"/>
        <w:gridCol w:w="109"/>
        <w:gridCol w:w="257"/>
        <w:gridCol w:w="1190"/>
        <w:gridCol w:w="187"/>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Maturity of Lease Liabilities at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587,511 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578,759 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608,015 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5,324,178 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8,264,685 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3,557,166 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4,707,519 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is recognized over the expected term of the lease, including renewal option periods, if applicable, on a straight-line basis as a component of general and administrative expense. Rent expense and sublease income were as follows:</w:t>
      </w:r>
    </w:p>
    <w:tbl>
      <w:tblPr>
        <w:tblW w:w="4582" w:type="dxa"/>
        <w:jc w:val="center"/>
        <w:tblInd w:w="0" w:type="dxa"/>
        <w:tblLayout w:type="fixed"/>
        <w:tblCellMar>
          <w:top w:w="28" w:type="dxa"/>
          <w:left w:w="28" w:type="dxa"/>
          <w:bottom w:w="28" w:type="dxa"/>
          <w:right w:w="28" w:type="dxa"/>
        </w:tblCellMar>
      </w:tblPr>
      <w:tblGrid>
        <w:gridCol w:w="538"/>
        <w:gridCol w:w="472"/>
        <w:gridCol w:w="475"/>
        <w:gridCol w:w="109"/>
        <w:gridCol w:w="109"/>
        <w:gridCol w:w="109"/>
        <w:gridCol w:w="219"/>
        <w:gridCol w:w="860"/>
        <w:gridCol w:w="113"/>
        <w:gridCol w:w="113"/>
        <w:gridCol w:w="113"/>
        <w:gridCol w:w="113"/>
        <w:gridCol w:w="219"/>
        <w:gridCol w:w="860"/>
        <w:gridCol w:w="16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115,631 </w:t>
            </w:r>
          </w:p>
        </w:tc>
        <w:tc>
          <w:tcPr>
            <w:tcW w:w="1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161,804 </w:t>
            </w:r>
          </w:p>
        </w:tc>
        <w:tc>
          <w:tcPr>
            <w:tcW w:w="1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SHAREHOLDERS’ EQUITY AND DEBT</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currently has a share repurchase program to repurchase up to $10 million of its common stock pursuant to Rule 10b-18 of the Securities Exchange Act of 1934. In January 2019, the Company's Board of Directors established the current $10 million repurchase program to replace the prior authorizations. During the three months ended March 31, 2023 and March 31, 2022, the Company repurchased 86,829 shares and 174,149 shares of common stock for approximately $0.2 million and $0.6 million, respectively. At March 31, 2023, approximately $3.6 million of common shares was left to repurchase under this program.</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purchases and sales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Company's May 2023 trading window, several members of Cumberland's Board of Directors will enter into share purchase agreements of the Company's stock pursuant to Rule 10b5-1 of the Securities Exchange Act of 1934. These purchases are designed to increase ownership in the Company by the members of the Board.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Sales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three months ended March 31, 2023 or March 31, 2022.</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Share Grants and Incentive Stock Options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March 31, 2022, the Company issued 28,250 shares and 65,225 shares of restricted stock to employees, advisors and directors, respectively. Restricted stock issued to employees and advisors generally cliff-vests on the fourth anniversary of the date of grant and for directors on the one-year anniversary of the date of grant. During the three months ended March 31, 2023 and 2022, the Company also issued 183,250 and 166,350 incentive stock options, respectively, to employees that cliff-vest on the fourth anniversary of the date of grant, that are set to expire in 2033 and 2032, respectively. Stock compensation expense is presented as a component of general and administrative expense in the condensed consolidated statements of operations. For the three months ended March 31, 2023, we recorded a credit of $0.04 million to share-based compensation related to the forfeiture of unvested restricted stock awards.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Debt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2021, the Company entered into a Fifth Amendment to the Revolving Credit Note and Sixth Amendment (the "Sixth Amendment") to Revolving Credit Loan Agreement with Pinnacle Bank (the "Pinnacle Agreement"). The Sixth Amendment increased the principal amount by $5 million to $20 million. On October 28, 2021, the Company entered into a Fourth Amendment to the Revolving Credit Note and Fifth Amendment to Revolving Credit Loan Agreement with Pinnacle Bank. Among other terms, the Fourth Amendment extended the maturity date to October 1, 2024. The Pinnacle Agreement includes specific financial covenants.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the Company and Pinnacle Bank agreed to modify the financial covenants to align with the current use of the line of credit. 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 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 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quarter ended March 31, 2023, we were in compliance with the Funded Debt Ratio financial covenant.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interest rate on the Pinnacle Agreement is based on LIBOR plus an interest rate spread. The current pricing under the Pinnacle Agreement provides for an interest rate spread of 1.75% to 2.75% above LIBOR with a minimum LIBOR of 0.90%. The applicable interest rate under the Pinnacle Agreement was 7.375% at March 31, 2023. In addition, a fee of 0.25% per year is charged on the unused line of credit. Interest and the unused line fee are payable quarterly. The LIBOR rate will no longer be used as of June 30, 2023, at which time the benchmark rate will be changed from LIBOR to Term SOFR.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Company had $16.1 million and $16.2 million, respectively, in borrowings outstanding under its revolving credit facility.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line of credit are collateralized by substantially all of our assets.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Joint Venture Agreement</w:t>
      </w:r>
    </w:p>
    <w:p>
      <w:pPr>
        <w:pStyle w:val="TextBody"/>
        <w:bidi w:val="0"/>
        <w:spacing w:lineRule="auto" w:line="288" w:before="160" w:after="283"/>
        <w:jc w:val="both"/>
        <w:rPr/>
      </w:pPr>
      <w:r>
        <w:rPr>
          <w:rFonts w:ascii="Times New Roman;sans-serif" w:hAnsi="Times New Roman;sans-serif"/>
          <w:b w:val="false"/>
          <w:color w:val="000000"/>
          <w:sz w:val="20"/>
        </w:rPr>
        <w:t xml:space="preserve">In August 2020, Cumberland entered into an agreement with WinHealth Investment (Singapore) Ltd creating </w:t>
      </w:r>
      <w:r>
        <w:rPr>
          <w:rFonts w:ascii="Times New Roman;sans-serif" w:hAnsi="Times New Roman;sans-serif"/>
          <w:b w:val="false"/>
          <w:i/>
          <w:color w:val="000000"/>
          <w:sz w:val="20"/>
        </w:rPr>
        <w:t>WHC Biopharmaceuticals, Pte. Ltd</w:t>
      </w:r>
      <w:r>
        <w:rPr>
          <w:rFonts w:ascii="Times New Roman;sans-serif" w:hAnsi="Times New Roman;sans-serif"/>
          <w:b w:val="false"/>
          <w:color w:val="000000"/>
          <w:sz w:val="20"/>
        </w:rPr>
        <w:t xml:space="preserve">.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has approximately $57.8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2023 and beyond, through the continued utilization of these net operating loss carryforwards, on any taxable income generated from our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(8) 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realized a $1.8 million gain in the first quarter of 2023 for previously paid prescription drug fees. In March 2023, the Company was granted a barrier-to-innovation waiver from the FDA for the fiscal year 2022 RediTrex prescription drug fees resulting in a refund of $1.8 million. This refund is expected to be paid in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(9) COLLABORATIVE AGREEMENTS</w:t>
      </w:r>
    </w:p>
    <w:p>
      <w:pPr>
        <w:pStyle w:val="TextBody"/>
        <w:bidi w:val="0"/>
        <w:spacing w:lineRule="auto" w:line="288" w:before="160" w:after="283"/>
        <w:jc w:val="both"/>
        <w:rPr/>
      </w:pPr>
      <w:r>
        <w:rPr>
          <w:rFonts w:ascii="Times New Roman;sans-serif" w:hAnsi="Times New Roman;sans-serif"/>
          <w:b w:val="false"/>
          <w:color w:val="000000"/>
          <w:sz w:val="20"/>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Times New Roman;sans-serif" w:hAnsi="Times New Roman;sans-serif"/>
          <w:b w:val="false"/>
          <w:i/>
          <w:color w:val="000000"/>
          <w:sz w:val="20"/>
        </w:rPr>
        <w:t>Collaborative Agreements</w:t>
      </w:r>
      <w:r>
        <w:rPr>
          <w:rFonts w:ascii="Times New Roman;sans-serif" w:hAnsi="Times New Roman;sans-serif"/>
          <w:b w:val="false"/>
          <w:color w:val="000000"/>
          <w:sz w:val="20"/>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(11) ADDITIONS AND RETURN OF PRODUCT RIGHTS</w:t>
      </w:r>
    </w:p>
    <w:p>
      <w:pPr>
        <w:pStyle w:val="TextBody"/>
        <w:bidi w:val="0"/>
        <w:spacing w:lineRule="auto" w:line="288" w:before="1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Vibativ</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November 2018, the Company closed on an agreement with Theravance Biopharma ("Theravance") to acquire the global responsibility for Vibativ including the marketing, distribution, manufacturing and regulatory activities associated with the brand. Vibativ is a patented, Food and Drug Administration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after the $2.5 million threshold is met.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 The contingent consideration earned and accrued in operating expenses is paid to Theravance quarterly.</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liability of $4.1 million was accounted for as $1.2 million of other current liabilities and $2.9 million of other long-term liabilities on the condensed consolidated balance sheet as of March 31, 2023.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RediTrex</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is responsible for the product registration and commercialization in the U.S. Nordic is responsible for product manufacturing and supply.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resulted in a $1.0 million milestone payment due to Nordic.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July 12, 2022, the Company entered into an amendment to our agreement with Nordic whereby they may assume responsibility for RediTrex marketing authorization in the U.S. and the opportunity to commercialize the product in the U.S. after June 30, 2023. Cumberland will continue to distribute and support the product until then. In accordance with the terms of the amendment, Nordic has returned the 180,000 restricted Cumberland shares we previously issued to Nordic which were cancelled, refunded to Cumberland the milestone payment of $1.0 million we made associated with the brand's U.S. approval and issued a credit note in favor of the Company in the amount of $1.0 million for the unpaid milestone payment due from us for launch of the product line. The companies will cooperate on any transition and Cumberland will receive a long-term royalty on any Nordic sales of the product.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Sancuso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 2022, Cumberland acquired the U.S. rights to the FDA-approved oncology-supportive care medicine Sancuso from Kyowa Kirin, Inc. ("Kyowa Kirin"), the U.S. affiliate of Japan-based Kyowa Kirin Co., Ltd.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acquired U.S. rights to Sancuso and assumed full commercial responsibility for the product in the U.S. – including its marketing, promotion, distribution, manufacturing and medical support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calls for milestone payments of up to $3.5 million based on the attainment of various approvals and sales performance. The Company believes that $1.5 million of the milestone payments will be earned and paid. In March 2023, Cumberland paid $1.0 million of the $3.5 million milestone payments to Kwoya Kirin for the approval by the FDA of the manufacturing site for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was funded by cash and the Company's revolving credit facility. The Company worked with an outside consultant to finalize the Sancuso valuation of the transaction. The fair value for the assets and liabilities assumed were as follows: prepaid expenses $1.8 million, inventory $2.6 million, goodwill $0.03 million, intangible assets $14.1 million, milestone payable $1.7 million and contingent liability $3.4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fair value of the contingent consideration liability that is remeasured on a recurring basis.</w:t>
      </w:r>
    </w:p>
    <w:tbl>
      <w:tblPr>
        <w:tblW w:w="7985" w:type="dxa"/>
        <w:jc w:val="left"/>
        <w:tblInd w:w="0" w:type="dxa"/>
        <w:tblLayout w:type="fixed"/>
        <w:tblCellMar>
          <w:top w:w="28" w:type="dxa"/>
          <w:left w:w="28" w:type="dxa"/>
          <w:bottom w:w="28" w:type="dxa"/>
          <w:right w:w="28" w:type="dxa"/>
        </w:tblCellMar>
      </w:tblPr>
      <w:tblGrid>
        <w:gridCol w:w="2405"/>
        <w:gridCol w:w="2113"/>
        <w:gridCol w:w="2126"/>
        <w:gridCol w:w="211"/>
        <w:gridCol w:w="976"/>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 of royalty during the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 included in operating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earned and accrued in operating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liability earned and accrued in operating expenses is paid to Kyowa Kirin quarterly. The contingent consideration liability of $2.5 million was accounted for as $1.3 million of current liabilities and $1.2 million of other long-term liabilities on the condensed consolidated balance sheet as of March 31, 2023. </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 regarding forward-looking statements</w:t>
      </w:r>
    </w:p>
    <w:p>
      <w:pPr>
        <w:pStyle w:val="TextBody"/>
        <w:bidi w:val="0"/>
        <w:spacing w:lineRule="auto" w:line="288" w:before="160" w:after="283"/>
        <w:jc w:val="both"/>
        <w:rPr/>
      </w:pPr>
      <w:r>
        <w:rPr>
          <w:rFonts w:ascii="Times New Roman;sans-serif" w:hAnsi="Times New Roman;sans-serif"/>
          <w:b w:val="false"/>
          <w:color w:val="000000"/>
          <w:sz w:val="20"/>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 Forward-Looking Statements” of our Annual Report on Form 10-K for the year ended December 31, 2022, and our other filings with the SEC.</w:t>
      </w:r>
      <w:r>
        <w:rPr>
          <w:color w:val="000000"/>
        </w:rPr>
        <w:t xml:space="preserve"> </w:t>
      </w:r>
      <w:r>
        <w:rPr>
          <w:rFonts w:ascii="Times New Roman;sans-serif" w:hAnsi="Times New Roman;sans-serif"/>
          <w:b w:val="false"/>
          <w:color w:val="000000"/>
          <w:sz w:val="20"/>
        </w:rPr>
        <w:t>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4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target sectors are hospital acute care, gastroenterology and oncology.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international partnerships and are continuing to build a network of companies outside the U.S. to register and provide our medicines to patients in their countries. </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portfolio of FDA approved brands includes:</w:t>
      </w:r>
    </w:p>
    <w:p>
      <w:pPr>
        <w:pStyle w:val="TextBody"/>
        <w:bidi w:val="0"/>
        <w:spacing w:lineRule="auto" w:line="288" w:before="160" w:after="120"/>
        <w:ind w:left="0" w:right="0" w:hanging="360"/>
        <w:jc w:val="both"/>
        <w:rPr/>
      </w:pPr>
      <w:r>
        <w:rPr>
          <w:color w:val="000000"/>
        </w:rPr>
        <w:t>•</w:t>
      </w:r>
      <w:r>
        <w:rPr>
          <w:rFonts w:ascii="Times New Roman;sans-serif" w:hAnsi="Times New Roman;sans-serif"/>
          <w:b/>
          <w:color w:val="000000"/>
          <w:sz w:val="20"/>
          <w:shd w:fill="FFFFFF" w:val="clear"/>
        </w:rPr>
        <w:t>Acetadote</w:t>
      </w:r>
      <w:r>
        <w:rPr>
          <w:rFonts w:ascii="Times New Roman;sans-serif" w:hAnsi="Times New Roman;sans-serif"/>
          <w:b/>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acetylcysteine</w:t>
      </w:r>
      <w:r>
        <w:rPr>
          <w:rFonts w:ascii="Times New Roman;sans-serif" w:hAnsi="Times New Roman;sans-serif"/>
          <w:b w:val="false"/>
          <w:color w:val="000000"/>
          <w:sz w:val="20"/>
          <w:shd w:fill="FFFFFF" w:val="clear"/>
        </w:rPr>
        <w:t xml:space="preserve">) injection, for the treatment of acetaminophen poisoning; </w:t>
      </w:r>
    </w:p>
    <w:p>
      <w:pPr>
        <w:pStyle w:val="TextBody"/>
        <w:bidi w:val="0"/>
        <w:spacing w:lineRule="auto" w:line="288" w:before="160" w:after="120"/>
        <w:ind w:left="0" w:right="0" w:hanging="360"/>
        <w:jc w:val="both"/>
        <w:rPr/>
      </w:pPr>
      <w:r>
        <w:rPr>
          <w:color w:val="000000"/>
        </w:rPr>
        <w:t>•</w:t>
      </w:r>
      <w:r>
        <w:rPr>
          <w:rFonts w:ascii="Times New Roman;sans-serif" w:hAnsi="Times New Roman;sans-serif"/>
          <w:b/>
          <w:color w:val="000000"/>
          <w:sz w:val="20"/>
          <w:shd w:fill="FFFFFF" w:val="clear"/>
        </w:rPr>
        <w:t>Caldolor</w:t>
      </w:r>
      <w:r>
        <w:rPr>
          <w:rFonts w:ascii="Times New Roman;sans-serif" w:hAnsi="Times New Roman;sans-serif"/>
          <w:b/>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ibuprofen</w:t>
      </w:r>
      <w:r>
        <w:rPr>
          <w:rFonts w:ascii="Times New Roman;sans-serif" w:hAnsi="Times New Roman;sans-serif"/>
          <w:b w:val="false"/>
          <w:color w:val="000000"/>
          <w:sz w:val="20"/>
          <w:shd w:fill="FFFFFF" w:val="clear"/>
        </w:rPr>
        <w:t>) injection, for the treatment of pain and fever;</w:t>
      </w:r>
    </w:p>
    <w:p>
      <w:pPr>
        <w:pStyle w:val="TextBody"/>
        <w:bidi w:val="0"/>
        <w:spacing w:lineRule="auto" w:line="288" w:before="160" w:after="120"/>
        <w:ind w:left="0" w:right="0" w:hanging="360"/>
        <w:jc w:val="both"/>
        <w:rPr/>
      </w:pPr>
      <w:r>
        <w:rPr>
          <w:color w:val="000000"/>
        </w:rPr>
        <w:t>•</w:t>
      </w:r>
      <w:r>
        <w:rPr>
          <w:rFonts w:ascii="Times New Roman;sans-serif" w:hAnsi="Times New Roman;sans-serif"/>
          <w:b/>
          <w:color w:val="000000"/>
          <w:sz w:val="20"/>
          <w:shd w:fill="FFFFFF" w:val="clear"/>
        </w:rPr>
        <w:t>Kristalose</w:t>
      </w:r>
      <w:r>
        <w:rPr>
          <w:rFonts w:ascii="Times New Roman;sans-serif" w:hAnsi="Times New Roman;sans-serif"/>
          <w:b/>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lactulose</w:t>
      </w:r>
      <w:r>
        <w:rPr>
          <w:rFonts w:ascii="Times New Roman;sans-serif" w:hAnsi="Times New Roman;sans-serif"/>
          <w:b w:val="false"/>
          <w:color w:val="000000"/>
          <w:sz w:val="20"/>
          <w:shd w:fill="FFFFFF" w:val="clear"/>
        </w:rPr>
        <w:t>) oral, a prescription laxative, for the treatment of constipation;</w:t>
      </w:r>
    </w:p>
    <w:p>
      <w:pPr>
        <w:pStyle w:val="TextBody"/>
        <w:bidi w:val="0"/>
        <w:spacing w:lineRule="auto" w:line="288" w:before="160" w:after="120"/>
        <w:ind w:left="0" w:right="0" w:hanging="360"/>
        <w:jc w:val="both"/>
        <w:rPr/>
      </w:pPr>
      <w:r>
        <w:rPr>
          <w:color w:val="000000"/>
        </w:rPr>
        <w:t>•</w:t>
      </w:r>
      <w:r>
        <w:rPr>
          <w:rFonts w:ascii="Times New Roman;sans-serif" w:hAnsi="Times New Roman;sans-serif"/>
          <w:b/>
          <w:color w:val="000000"/>
          <w:sz w:val="20"/>
          <w:shd w:fill="FFFFFF" w:val="clear"/>
        </w:rPr>
        <w:t>Omeclamox</w:t>
      </w:r>
      <w:r>
        <w:rPr>
          <w:rFonts w:ascii="Times New Roman;sans-serif" w:hAnsi="Times New Roman;sans-serif"/>
          <w:b/>
          <w:color w:val="000000"/>
          <w:sz w:val="13"/>
          <w:shd w:fill="FFFFFF" w:val="clear"/>
        </w:rPr>
        <w:t>®</w:t>
      </w:r>
      <w:r>
        <w:rPr>
          <w:rFonts w:ascii="Times New Roman;sans-serif" w:hAnsi="Times New Roman;sans-serif"/>
          <w:b/>
          <w:color w:val="000000"/>
          <w:sz w:val="20"/>
          <w:shd w:fill="FFFFFF" w:val="clear"/>
        </w:rPr>
        <w:t>-Pak</w:t>
      </w:r>
      <w:r>
        <w:rPr>
          <w:rFonts w:ascii="Times New Roman;sans-serif" w:hAnsi="Times New Roman;sans-serif"/>
          <w:b w:val="false"/>
          <w:color w:val="000000"/>
          <w:sz w:val="20"/>
          <w:shd w:fill="FFFFFF" w:val="clear"/>
        </w:rPr>
        <w:t>, (</w:t>
      </w:r>
      <w:r>
        <w:rPr>
          <w:rFonts w:ascii="Times New Roman;sans-serif" w:hAnsi="Times New Roman;sans-serif"/>
          <w:b w:val="false"/>
          <w:i/>
          <w:color w:val="000000"/>
          <w:sz w:val="20"/>
          <w:shd w:fill="FFFFFF" w:val="clear"/>
        </w:rPr>
        <w:t>omeprazole, clarithromycin, amoxicillin</w:t>
      </w:r>
      <w:r>
        <w:rPr>
          <w:rFonts w:ascii="Times New Roman;sans-serif" w:hAnsi="Times New Roman;sans-serif"/>
          <w:b w:val="false"/>
          <w:color w:val="000000"/>
          <w:sz w:val="20"/>
          <w:shd w:fill="FFFFFF" w:val="clear"/>
        </w:rPr>
        <w:t>) oral, for the treatment of Helicobacter pylori (</w:t>
      </w:r>
      <w:r>
        <w:rPr>
          <w:rFonts w:ascii="Times New Roman;sans-serif" w:hAnsi="Times New Roman;sans-serif"/>
          <w:b w:val="false"/>
          <w:i/>
          <w:color w:val="000000"/>
          <w:sz w:val="20"/>
          <w:shd w:fill="FFFFFF" w:val="clear"/>
        </w:rPr>
        <w:t>H. pylori</w:t>
      </w:r>
      <w:r>
        <w:rPr>
          <w:rFonts w:ascii="Times New Roman;sans-serif" w:hAnsi="Times New Roman;sans-serif"/>
          <w:b w:val="false"/>
          <w:color w:val="000000"/>
          <w:sz w:val="20"/>
          <w:shd w:fill="FFFFFF" w:val="clear"/>
        </w:rPr>
        <w:t>) infection and related duodenal ulcer disease;</w:t>
      </w:r>
    </w:p>
    <w:p>
      <w:pPr>
        <w:pStyle w:val="TextBody"/>
        <w:bidi w:val="0"/>
        <w:spacing w:lineRule="auto" w:line="288" w:before="160" w:after="283"/>
        <w:ind w:left="0" w:right="0" w:hanging="360"/>
        <w:jc w:val="both"/>
        <w:rPr/>
      </w:pPr>
      <w:r>
        <w:rPr>
          <w:color w:val="000000"/>
          <w:shd w:fill="FFFFFF" w:val="clear"/>
        </w:rPr>
        <w:t>•</w:t>
      </w:r>
      <w:r>
        <w:rPr>
          <w:rFonts w:ascii="Times New Roman;sans-serif" w:hAnsi="Times New Roman;sans-serif"/>
          <w:b/>
          <w:color w:val="000000"/>
          <w:sz w:val="20"/>
        </w:rPr>
        <w:t>RediTrex</w:t>
      </w:r>
      <w:r>
        <w:rPr>
          <w:rFonts w:ascii="Times New Roman;sans-serif" w:hAnsi="Times New Roman;sans-serif"/>
          <w:b/>
          <w:color w:val="000000"/>
          <w:sz w:val="13"/>
          <w:shd w:fill="FFFFFF" w:val="clear"/>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methotrexate</w:t>
      </w:r>
      <w:r>
        <w:rPr>
          <w:rFonts w:ascii="Times New Roman;sans-serif" w:hAnsi="Times New Roman;sans-serif"/>
          <w:b w:val="false"/>
          <w:color w:val="000000"/>
          <w:sz w:val="20"/>
        </w:rPr>
        <w:t>) injection, for the treatment of active rheumatoid, juvenile idiopathic and severe psoriatic arthritis, as well as disabling psoriasis;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Sancuso</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granisetron) </w:t>
      </w:r>
      <w:r>
        <w:rPr>
          <w:rFonts w:ascii="Times New Roman;sans-serif" w:hAnsi="Times New Roman;sans-serif"/>
          <w:b w:val="false"/>
          <w:color w:val="000000"/>
          <w:sz w:val="20"/>
        </w:rPr>
        <w:t>transdermal, for the prevention of nausea and vomiting in patients receiving certain types of chemotherapy treatment;</w:t>
      </w:r>
    </w:p>
    <w:p>
      <w:pPr>
        <w:pStyle w:val="TextBody"/>
        <w:bidi w:val="0"/>
        <w:spacing w:lineRule="auto" w:line="288" w:before="160" w:after="120"/>
        <w:ind w:left="0" w:right="0" w:hanging="360"/>
        <w:jc w:val="both"/>
        <w:rPr/>
      </w:pPr>
      <w:r>
        <w:rPr>
          <w:color w:val="000000"/>
          <w:shd w:fill="FFFFFF" w:val="clear"/>
        </w:rPr>
        <w:t>•</w:t>
      </w:r>
      <w:r>
        <w:rPr>
          <w:rFonts w:ascii="Times New Roman;sans-serif" w:hAnsi="Times New Roman;sans-serif"/>
          <w:b/>
          <w:color w:val="000000"/>
          <w:sz w:val="20"/>
          <w:shd w:fill="FFFFFF" w:val="clear"/>
        </w:rPr>
        <w:t>Vaprisol</w:t>
      </w:r>
      <w:r>
        <w:rPr>
          <w:rFonts w:ascii="Times New Roman;sans-serif" w:hAnsi="Times New Roman;sans-serif"/>
          <w:b/>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conivaptan</w:t>
      </w:r>
      <w:r>
        <w:rPr>
          <w:rFonts w:ascii="Times New Roman;sans-serif" w:hAnsi="Times New Roman;sans-serif"/>
          <w:b w:val="false"/>
          <w:color w:val="000000"/>
          <w:sz w:val="20"/>
          <w:shd w:fill="FFFFFF" w:val="clear"/>
        </w:rPr>
        <w:t>) injection, to raise serum sodium levels in hospitalized patients with euvolemic and hypervolemic hyponatremia; and</w:t>
      </w:r>
    </w:p>
    <w:p>
      <w:pPr>
        <w:pStyle w:val="TextBody"/>
        <w:bidi w:val="0"/>
        <w:spacing w:lineRule="auto" w:line="288" w:before="160" w:after="120"/>
        <w:ind w:left="0" w:right="0" w:hanging="360"/>
        <w:jc w:val="both"/>
        <w:rPr/>
      </w:pPr>
      <w:r>
        <w:rPr>
          <w:color w:val="000000"/>
        </w:rPr>
        <w:t>•</w:t>
      </w:r>
      <w:r>
        <w:rPr>
          <w:rFonts w:ascii="Times New Roman;sans-serif" w:hAnsi="Times New Roman;sans-serif"/>
          <w:b/>
          <w:color w:val="000000"/>
          <w:sz w:val="20"/>
          <w:shd w:fill="FFFFFF" w:val="clear"/>
        </w:rPr>
        <w:t>Vibativ</w:t>
      </w:r>
      <w:r>
        <w:rPr>
          <w:rFonts w:ascii="Times New Roman;sans-serif" w:hAnsi="Times New Roman;sans-serif"/>
          <w:b/>
          <w:color w:val="000000"/>
          <w:sz w:val="13"/>
          <w:shd w:fill="FFFFFF" w:val="clear"/>
        </w:rPr>
        <w:t>®</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i/>
          <w:color w:val="000000"/>
          <w:sz w:val="20"/>
          <w:shd w:fill="FFFFFF" w:val="clear"/>
        </w:rPr>
        <w:t>telavancin</w:t>
      </w:r>
      <w:r>
        <w:rPr>
          <w:rFonts w:ascii="Times New Roman;sans-serif" w:hAnsi="Times New Roman;sans-serif"/>
          <w:b w:val="false"/>
          <w:color w:val="000000"/>
          <w:sz w:val="20"/>
          <w:shd w:fill="FFFFFF" w:val="clear"/>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these commercial brands, we have Phase II clinical programs underway evaluating our ifetroban product candidates for patients with cardiomyopathy associated with 1) Duchenne Muscular Dystrophy (“DMD”), a fatal, genetic neuromuscular disease; 2) Systemic Sclerosis (“SSc”) or scleroderma, a debilitating autoimmune disorder characterized by fibrosis of the skin and internal organs; and 3) Aspirin-Exacerbated Respiratory Disease (“AERD”), a severe form of asthma. We are designing a fourth Phase II program to evaluate the use of ifetroban to treat patients with Progressive Fibrosing Interstitial Lung Diseases, and we have submitted an application to the FDA to support the new program, which we expect to launch in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 </w:t>
      </w:r>
    </w:p>
    <w:p>
      <w:pPr>
        <w:pStyle w:val="TextBody"/>
        <w:bidi w:val="0"/>
        <w:spacing w:lineRule="auto" w:line="288" w:before="160" w:after="283"/>
        <w:jc w:val="both"/>
        <w:rPr/>
      </w:pPr>
      <w:r>
        <w:rPr>
          <w:rFonts w:ascii="Times New Roman;sans-serif" w:hAnsi="Times New Roman;sans-serif"/>
          <w:b w:val="false"/>
          <w:color w:val="000000"/>
          <w:sz w:val="20"/>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r>
        <w:rPr>
          <w:color w:val="000000"/>
          <w:shd w:fill="FFFFFF" w:val="clear"/>
        </w:rPr>
        <w:t xml:space="preserve"> </w:t>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GROWTH 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growth strategy involves maximizing the success of our existing brands while continuing to build a portfolio of differentiated products. We currently feature eight products approved by the FDA in the United States. We are also continuing to explore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we are seeking long-term sustainable growth by: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Supporting and expanding the use of our marketed products. </w:t>
      </w:r>
      <w:r>
        <w:rPr>
          <w:rFonts w:ascii="Times New Roman;sans-serif" w:hAnsi="Times New Roman;sans-serif"/>
          <w:b w:val="false"/>
          <w:color w:val="000000"/>
          <w:sz w:val="20"/>
        </w:rPr>
        <w:t>We continue to evaluate our products following their FDA approval to determine if additional clinical data could expand their market and use. For example, we have secured pediatric approval of Acetadote and Caldolor and are expanding the labeling for both brands accordingly. We also recently further expanded the labeling for Caldolor to allow its use prior to surgery. We will continue to explore such opportunities to bring our products to new patient populations.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Selectively adding complementary brands. </w:t>
      </w:r>
      <w:r>
        <w:rPr>
          <w:rFonts w:ascii="Times New Roman;sans-serif" w:hAnsi="Times New Roman;sans-serif"/>
          <w:b w:val="false"/>
          <w:color w:val="000000"/>
          <w:sz w:val="20"/>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acquisitions of Vibativ and Sancuso are examples of this strategy.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Progressing our clinical pipeline and incubating future product opportunities at CET.</w:t>
      </w:r>
      <w:r>
        <w:rPr>
          <w:color w:val="000000"/>
        </w:rPr>
        <w:t xml:space="preserve"> </w:t>
      </w:r>
      <w:r>
        <w:rPr>
          <w:rFonts w:ascii="Times New Roman;sans-serif" w:hAnsi="Times New Roman;sans-serif"/>
          <w:b w:val="false"/>
          <w:color w:val="000000"/>
          <w:sz w:val="20"/>
        </w:rPr>
        <w:t xml:space="preserve">We believe it is important to build a pipeline of innovative new product opportunities, as we are doing though our ifetroban Phase II development programs. We are also supplementing our acquisitions and late-stage development activities with early-stage drug development activities with CET.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Leveraging our infrastructure through co-promotion partnerships. </w:t>
      </w:r>
      <w:r>
        <w:rPr>
          <w:rFonts w:ascii="Times New Roman;sans-serif" w:hAnsi="Times New Roman;sans-serif"/>
          <w:b w:val="false"/>
          <w:color w:val="000000"/>
          <w:sz w:val="20"/>
        </w:rPr>
        <w:t>We believe that our commercial infrastructure can help drive prescription volume and product sales. We look for strategic partners that can complement our capabilities and enhance opportunities for our brands. For example, our co-promotion partnerships have allowed us to expand the support for Kristalose and Sancuso across the U.S.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Building an international contribution to our business.</w:t>
      </w:r>
      <w:r>
        <w:rPr>
          <w:color w:val="000000"/>
        </w:rPr>
        <w:t xml:space="preserve"> </w:t>
      </w:r>
      <w:r>
        <w:rPr>
          <w:rFonts w:ascii="Times New Roman;sans-serif" w:hAnsi="Times New Roman;sans-serif"/>
          <w:b w:val="false"/>
          <w:color w:val="000000"/>
          <w:sz w:val="20"/>
        </w:rPr>
        <w:t>We have established our own commercial capabilities, including three sales divisions, to 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Managing our operations with financial discipline.</w:t>
      </w:r>
      <w:r>
        <w:rPr>
          <w:color w:val="000000"/>
        </w:rPr>
        <w:t xml:space="preserve"> </w:t>
      </w:r>
      <w:r>
        <w:rPr>
          <w:rFonts w:ascii="Times New Roman;sans-serif" w:hAnsi="Times New Roman;sans-serif"/>
          <w:b w:val="false"/>
          <w:color w:val="000000"/>
          <w:sz w:val="20"/>
        </w:rPr>
        <w:t>We continually work to manage our expenses in line with our revenues to deliver cash flow from operations. We remain in a strong financial position, with favorable gross margins and a strong balance sheet.</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4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New Headquarters Location </w:t>
      </w:r>
    </w:p>
    <w:p>
      <w:pPr>
        <w:pStyle w:val="TextBody"/>
        <w:bidi w:val="0"/>
        <w:spacing w:lineRule="auto" w:line="288" w:before="160" w:after="283"/>
        <w:jc w:val="both"/>
        <w:rPr/>
      </w:pPr>
      <w:r>
        <w:rPr>
          <w:rFonts w:ascii="Times New Roman;sans-serif" w:hAnsi="Times New Roman;sans-serif"/>
          <w:b w:val="false"/>
          <w:color w:val="000000"/>
          <w:sz w:val="20"/>
        </w:rPr>
        <w:t xml:space="preserve">In late 2022, we opened our new headquarter offices at the Broadwest campus in the Vanderbilt/West End corridor of Nashville. Our move into the new state-of-the-art facilities will accommodate our growth, support our team, and better serve our international base of customers and partners. The location allows us to remain close to and continue our collaboration with the </w:t>
      </w:r>
      <w:r>
        <w:rPr>
          <w:rFonts w:ascii="Times New Roman;sans-serif" w:hAnsi="Times New Roman;sans-serif"/>
          <w:b w:val="false"/>
          <w:i/>
          <w:color w:val="000000"/>
          <w:sz w:val="20"/>
        </w:rPr>
        <w:t xml:space="preserve">Vanderbilt Medical Center, </w:t>
      </w:r>
      <w:r>
        <w:rPr>
          <w:rFonts w:ascii="Times New Roman;sans-serif" w:hAnsi="Times New Roman;sans-serif"/>
          <w:b w:val="false"/>
          <w:color w:val="000000"/>
          <w:sz w:val="20"/>
        </w:rPr>
        <w:t xml:space="preserve">while also maintaining our presence in the Nashville healthcare community – which represents the nation’s largest concentration of healthcare companies.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International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we signed a new agreement with PiSA Pharmaceutical ("PiSA") for the exclusive supply and distribution of our ibuprofen injection product in Mexico. Cumberland will be responsible for sharing the U.S. dossier and providing product supply, while PiSA will be responsible for obtaining the regulatory approval and then commercializing the product in Mexico. PiSA expects to provide the product in both 400- and 800-milligram vials.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Meanwhile, we continue to support our international partners in their efforts to register our Vibativ brand in their countries.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is in the process of updating the Vibativ registration in Saudi Arabia with new manufacturing information as they also prepare for the launch in that country.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 2022, we entered into an agreement with D.B. Pharm to register and commercialize our Vibativ product in South Korea. D.B. Pharm who also distributes our Caldolor product in South Korea, is progressing their application for the approval of Vibativ.</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Meanwhile, our Vibativ partner for the Chinese market, SciClone Pharmaceuticals, had their approval application in China accepted for review in September 2021. We’ve since been supporting SciClone and their requests associated with review of that submission. They are working toward the approval and believe that there is significant potential for Vibativ in their country.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Nordic Pharma Arrangements</w:t>
      </w:r>
    </w:p>
    <w:p>
      <w:pPr>
        <w:pStyle w:val="TextBody"/>
        <w:bidi w:val="0"/>
        <w:spacing w:lineRule="auto" w:line="288" w:before="160" w:after="283"/>
        <w:jc w:val="both"/>
        <w:rPr/>
      </w:pPr>
      <w:r>
        <w:rPr>
          <w:rFonts w:ascii="Times New Roman;sans-serif" w:hAnsi="Times New Roman;sans-serif"/>
          <w:b w:val="false"/>
          <w:color w:val="000000"/>
          <w:sz w:val="20"/>
        </w:rPr>
        <w:t>In July 2022, we entered into an amendment to our agreement with Nordic Pharma (“Nordic”) that addresses the responsibilities and financial arrangements regarding our license to Nordic’s methotrexate line of products for the U.S. (the “License”). Our line of prefilled methotrexate syringes, marketed under the brand name RediTrex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in the U.S., is covered by the License.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amendment, Nordic may assume responsibility for commercializing the methotrexate products in the U.S. after June 30, 2023. We will continue to distribute and support the RediTrex product line during a transition period until then. Following the return of the License, Nordic will provide us with a royalty on their future sales of the products through April 2035. The companies will continue to collaborate on any transition and the ongoing commercialization of the product 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transferred the marketing authorization associated with the RediTrex product line to Nordic. Nordic has returned the 180,000 shares we issued to them associated with the original License and has refunded the $1 million we paid following the brand’s approval in the U.S. Nordic has also issued a credit note in favor of Cumberland in the amount of $1 million for the unpaid milestone payment due from us which was associated with our launch of the product line.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Sancuso Acquisition and Promotion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2022, Cumberland acquired the U.S. rights to the FDA-approved oncology-supportive care medicine Sancuso from Kyowa Kirin, Inc., the U.S. affiliate of Japan-based Kyowa Kirin Co., Ltd. In early 2022, Cumberland assumed commercial responsibility for the product in the U.S. – including its marketing, promotion, distribution, manufacturing and medical support activities. During 2022 we largely completed the transition of Sancuso to Cumberland. In late 2022, the FDA approved moving the product’s manufacturer to a new facility, which will be a source of future product supplies.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pStyle w:val="TextBody"/>
        <w:bidi w:val="0"/>
        <w:spacing w:lineRule="auto" w:line="288" w:before="160" w:after="283"/>
        <w:jc w:val="both"/>
        <w:rPr/>
      </w:pPr>
      <w:r>
        <w:rPr>
          <w:rFonts w:ascii="Times New Roman;sans-serif" w:hAnsi="Times New Roman;sans-serif"/>
          <w:b w:val="false"/>
          <w:color w:val="000000"/>
          <w:sz w:val="20"/>
        </w:rPr>
        <w:t xml:space="preserve">In early 2022, we formed a new sales division, Cumberland Oncology, to support the brand. The division was comprised of both field-based and inside sales representatives that were formerly associated with Kyowa Kirin. In April 2022, we entered into an agreement with Verity Pharmaceuticals International Limited (“Verity”) for the national co-promotion of Sancuso. Verity is a specialty pharmaceutical company that agreed to utilize its established oncology commercial organization to co-promote Sancuso throughout the United States. Verity was to provide sales representation in the U.S. market for an initial three-year term, with an option to extend for an additional two years. In January 2023, we sent a 30-day notice of default to Verity due to failure of the parties to reach agreement regarding fundamental elements of the agreement, including targets and detailing obligations, among other items. As a result, the agreement </w:t>
      </w:r>
      <w:r>
        <w:rPr>
          <w:rFonts w:ascii="Times New Roman;sans-serif" w:hAnsi="Times New Roman;sans-serif"/>
          <w:b w:val="false"/>
          <w:strike/>
          <w:color w:val="000000"/>
          <w:sz w:val="20"/>
        </w:rPr>
        <w:t>t</w:t>
      </w:r>
      <w:r>
        <w:rPr>
          <w:rFonts w:ascii="Times New Roman;sans-serif" w:hAnsi="Times New Roman;sans-serif"/>
          <w:b w:val="false"/>
          <w:color w:val="000000"/>
          <w:sz w:val="20"/>
        </w:rPr>
        <w:t xml:space="preserve">erminated effective February 25, 2023. The agreement provides for arbitration of any unresolved issues and we are in agreement with Verity that such arbitration should proceed.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Ifetroban Clinical Studies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evaluating our ifetroban product candidate, a selective thromboxane-prostanoid receptor (“TPr”) antagonist, in a series of clinical studies. It has been dosed in nearly 1,400 subjects and has been found to be safe and well tolerated in healthy volunteers and various patient populations.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is currently sponsoring three Phase II clinical programs to evaluate ifetroban in patients with:</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Aspirin-Exacerbated Respiratory Disease, ("AERD") a severe form of asthma;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Systemic Sclerosis or scleroderma, a debilitating autoimmune disorder characterized by diffuse fibrosis of the skin and internal organs; and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patients with cardiomyopathy associated with Duchenne Muscular Dystrophy, a genetic neuromuscular disease that results in deterioration of the skeletal, heart and lung muscles.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designing a fourth Phase II program to evaluate the use of ifetroban to treat patients with Progressive Fibrosing Interstitial Lung Diseases, and we have submitted an application to the FDA to support the new program, which we expect to launch in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late 2022, we closed enrollment in our Phase II study in patients with AERD. We then conducted a quality review of the data and clinical sites, closed the database for the study and are awaiting the initial results.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completed Phase II clinical programs with ifetroban in patients with Hepatorenal Syndrome (“HRS”) and patients with Portal Hypertension (“PH”). Additional preclinical and pilot clinical studies of ifetroban are underway, including several investigator-initiated trials.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Company-sponsored studies, researchers at Brigham and Women’s Hospital have completed an investigator-initiated study evaluating the impact of ifetroban on the aspirin desensitization process in patients with AERD. This single center study closed early due to poor patient accrual and exhausted funding. The researchers found no statistical difference in the dose of aspirin needed to provide an increase in an extended version of the patient’s total nasal symptom score. A publication by the researchers with the full study results will be forthcoming. It should be noted that the results from this investigator study were inconsistent with the previously published preclinical findings that demonstrated ifetroban blockade inhibited all features of aspirin reactions in a model of AERD.</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Vaprisol Supply Update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the product increased in 2020 during the pandemic, and we worked to support the expanded use of the product in hospitals and clinics during the health care crisis. During 2021, we shipped all remaining inventory of the product and have notified the FDA that supplies of the product are not currently available. We have since transferred the manufacturing of the product to a new facility. Our new manufacturing partner is working with the FDA to address several Form 483 and warning letter issues in a timely manner. Meanwhile, we are working with them to support a special, interim supply of compounded product for critically ill patients, while awaiting the needed facility approval to relaunch Vaprisol.</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Omeclamox-Pak Supply Update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packager for Omeclamox-Pak encountered financial difficulties in 2020 due to the impact of COVID-19, and their operations were suspended. As a result, we depleted our inventory of the product and notified the FDA that it is currently unavailable. We are awaiting resumption of those operations, while also exploring other alternatives to restart the product’s packaging.</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 xml:space="preserve">Sustainability Report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Earlier this year we provided updated sustainability metrics, which cover company activities pertaining to environmental, social and governance issues. Highlights for 2022 include: </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a.Providing 2.2 million doses of our products to patients; </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b.Safely disposing of over 2,750 pounds of expired and damaged products; and </w:t>
      </w:r>
    </w:p>
    <w:p>
      <w:pPr>
        <w:pStyle w:val="TextBody"/>
        <w:bidi w:val="0"/>
        <w:spacing w:lineRule="auto" w:line="288" w:before="1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c.Having no product recalls or terminated clinical trials due to failure to practice good clinical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largest biopharmaceutical company founded and headquartered in the Mid-South, we hold ourselves to the highest standards of ethical practices and understand the importance of recognizing and addressing our impact on our constituents, the community and the environment. Through our sustainability initiatives, we will continue to identify and address critical industry issues, monitor relevant guidelines and utilize best practices.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FDA Fee Waiver</w:t>
      </w:r>
    </w:p>
    <w:p>
      <w:pPr>
        <w:pStyle w:val="TextBody"/>
        <w:bidi w:val="0"/>
        <w:spacing w:lineRule="auto" w:line="288" w:before="160" w:after="283"/>
        <w:jc w:val="both"/>
        <w:rPr/>
      </w:pPr>
      <w:r>
        <w:rPr>
          <w:rFonts w:ascii="Times New Roman;sans-serif" w:hAnsi="Times New Roman;sans-serif"/>
          <w:b w:val="false"/>
          <w:color w:val="000000"/>
          <w:sz w:val="20"/>
        </w:rPr>
        <w:t>In March 2023, the FDA informed us that it had granted a barrier-to-innovation waiver, which will result in a refund of approximately $1.8 million that we previously paid for prescription drug program fees associated with the RediTrex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product line.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FDA granted the barrier-to-innovation waiver after concluding that the Company met the statutory criteria, based on the innovation associated with Cumberland’s ifetroban clinical development programs, as the funds could be better used to advance those studies which are designed to address a series of unmet medical needs.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FDA’s decision was in response to a request for reconsideration that Cumberland provided on November 28, 2021, after the agency had initially denied Cumberland’s submission for a waiver in a decision dated November 1, 2021. Cumberland paid the FDA the fiscal year 2022 RediTrex prescription drug program fees in the amount of approximately $1.8 million on or about October 4, 2021. The fees were assessed under the Prescription Drug User Fee Act.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informed Cumberland on March 30, 2023, that the agency’s Office of Financial Management had been asked to provide a refund of the fees, which is expected within 45 days.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Federal NOPAIN Act</w:t>
      </w:r>
    </w:p>
    <w:p>
      <w:pPr>
        <w:pStyle w:val="TextBody"/>
        <w:bidi w:val="0"/>
        <w:spacing w:lineRule="auto" w:line="288" w:before="160" w:after="283"/>
        <w:jc w:val="both"/>
        <w:rPr/>
      </w:pPr>
      <w:r>
        <w:rPr>
          <w:rFonts w:ascii="Times New Roman;sans-serif" w:hAnsi="Times New Roman;sans-serif"/>
          <w:b w:val="false"/>
          <w:color w:val="000000"/>
          <w:sz w:val="20"/>
        </w:rPr>
        <w:t>In April 2023, Cumberland announced that it expects that its Caldolor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injection product should be eligible for special Medicare reimbursement under the </w:t>
      </w:r>
      <w:r>
        <w:rPr>
          <w:rFonts w:ascii="Times New Roman;sans-serif" w:hAnsi="Times New Roman;sans-serif"/>
          <w:b w:val="false"/>
          <w:i/>
          <w:color w:val="000000"/>
          <w:sz w:val="20"/>
        </w:rPr>
        <w:t>Non-Opioids Prevent Addiction in the Nation Act</w:t>
      </w:r>
      <w:r>
        <w:rPr>
          <w:color w:val="000000"/>
        </w:rPr>
        <w:t xml:space="preserve"> </w:t>
      </w:r>
      <w:r>
        <w:rPr>
          <w:rFonts w:ascii="Times New Roman;sans-serif" w:hAnsi="Times New Roman;sans-serif"/>
          <w:b w:val="false"/>
          <w:color w:val="000000"/>
          <w:sz w:val="20"/>
        </w:rPr>
        <w:t xml:space="preserve">(the “NOPAIN Act”), which was enacted as part of the Consolidated Appropriations Act of 2023.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NOPAIN Act requires Medicare to provide separate reimbursement for non-opioid products that are used to manage pain during surgeries conducted in outpatient hospital departments or in ambulatory surgical centers. The NOPAIN Act applies, in part, to products that are indicated to provide analgesia without acting upon the body’s opioid receptors. As a result, the Company expects that the NOPAIN Act will affect Medicare reimbursement for Caldolor, Cumberland’s non-opioid analgesic injection product.</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methodology for reimbursement for non-opioid pain alternatives under the NOPAIN Act will apply to those products that are furnished between January 1, 2025 and January 1, 2028. It is anticipated that in 2024, the Centers for Medicare &amp; Medicaid Services (CMS) will issue regulations implementing the NOPAIN Act and detailing the conditions for, and amount of, the separate reimbursement.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Caldolor is approved by the U.S. Food and Drug Administration (FDA) for use in adults and pediatric patients six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remains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medical market. We are prepared for and look forward to future opportunities to carry out our mission throughout the remainder of the year.</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2022 Annual Report on Form 10-K.</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Accounting Estimates and Judgments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2023 compared to the three months ended March 31,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unaudited interim statements of operations for continuing operations for the three months ended March 31, 2023 and 2022:</w:t>
      </w:r>
    </w:p>
    <w:tbl>
      <w:tblPr>
        <w:tblW w:w="7740" w:type="dxa"/>
        <w:jc w:val="left"/>
        <w:tblInd w:w="0" w:type="dxa"/>
        <w:tblLayout w:type="fixed"/>
        <w:tblCellMar>
          <w:top w:w="28" w:type="dxa"/>
          <w:left w:w="28" w:type="dxa"/>
          <w:bottom w:w="28" w:type="dxa"/>
          <w:right w:w="28" w:type="dxa"/>
        </w:tblCellMar>
      </w:tblPr>
      <w:tblGrid>
        <w:gridCol w:w="1035"/>
        <w:gridCol w:w="913"/>
        <w:gridCol w:w="916"/>
        <w:gridCol w:w="211"/>
        <w:gridCol w:w="976"/>
        <w:gridCol w:w="109"/>
        <w:gridCol w:w="109"/>
        <w:gridCol w:w="109"/>
        <w:gridCol w:w="109"/>
        <w:gridCol w:w="211"/>
        <w:gridCol w:w="1081"/>
        <w:gridCol w:w="109"/>
        <w:gridCol w:w="109"/>
        <w:gridCol w:w="109"/>
        <w:gridCol w:w="109"/>
        <w:gridCol w:w="211"/>
        <w:gridCol w:w="1051"/>
        <w:gridCol w:w="109"/>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10,756,316 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12,467,044 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net revenues by product for the periods presented: </w:t>
      </w:r>
    </w:p>
    <w:tbl>
      <w:tblPr>
        <w:tblW w:w="6387" w:type="dxa"/>
        <w:jc w:val="left"/>
        <w:tblInd w:w="0" w:type="dxa"/>
        <w:tblLayout w:type="fixed"/>
        <w:tblCellMar>
          <w:top w:w="28" w:type="dxa"/>
          <w:left w:w="28" w:type="dxa"/>
          <w:bottom w:w="28" w:type="dxa"/>
          <w:right w:w="28" w:type="dxa"/>
        </w:tblCellMar>
      </w:tblPr>
      <w:tblGrid>
        <w:gridCol w:w="585"/>
        <w:gridCol w:w="513"/>
        <w:gridCol w:w="522"/>
        <w:gridCol w:w="211"/>
        <w:gridCol w:w="976"/>
        <w:gridCol w:w="109"/>
        <w:gridCol w:w="109"/>
        <w:gridCol w:w="109"/>
        <w:gridCol w:w="109"/>
        <w:gridCol w:w="211"/>
        <w:gridCol w:w="1081"/>
        <w:gridCol w:w="109"/>
        <w:gridCol w:w="109"/>
        <w:gridCol w:w="109"/>
        <w:gridCol w:w="109"/>
        <w:gridCol w:w="211"/>
        <w:gridCol w:w="1051"/>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Kristalose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Caldolor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Acetadote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Vaprisol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Omeclamox-Pak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RediTrex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11,175,045 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(1,950,407)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 xml:space="preserve">Net revenues for the three months ended March 31, 2023, were $9.2 million compared to $11.2 million for the three months ended March 31, 2022. As noted in the table above, net revenue increased during the quarter for two of our marketed products: Kristalose and Acetadote.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Kristalose revenue of $4.3 million for the first quarter of 2023, represented an increase of $0.4 million when compared to the prior year period. The increase was primarily the result of increased shipments of the product.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Acetadote revenue includes net sales of our Acetadote brand and our share of net sales from our Authorized Generic. During the first quarter of 2023, there was an increase of $0.1 million in the branded product's revenue when compared to the prior year period due to increased shipments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Vaprisol revenue for the first quarter of 2023, an increase of $0.1 million compared to the same period last year. This increase is primarily due to normal adjustments to expired product reserves. We await FDA approval on a new manufacturer.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Caldolor revenue was $0.9 million for the first quarter of 2023, similar to the first quarter of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Vibativ revenue was $1.8 million for the three months ended March 31, 2023, which declined $0.7 million from the same prior year period. The decrease in net revenue of the product was the result of lower unit shipments.</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Sancuso revenue was $1.9 million for the first quarter of 2023, which was $1.5 million lower than the first quarter of 2022. The decline resulted from larger product returns associated with the inventory acquired at the acquisition of the product and lower sales.</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Omeclamox-Pak had no sales for the first quarter of 2023, as Cumberland is currently out of commercial inventory of this product. The packager for our Omeclamox-Pak product encountered financial difficulties in 2020. Net revenue for the three months ended March 31, 2023, reflects sales deduction adjustments.</w:t>
      </w:r>
    </w:p>
    <w:p>
      <w:pPr>
        <w:pStyle w:val="TextBody"/>
        <w:bidi w:val="0"/>
        <w:spacing w:lineRule="auto" w:line="288" w:before="160" w:after="120"/>
        <w:jc w:val="both"/>
        <w:rPr/>
      </w:pPr>
      <w:r>
        <w:rPr>
          <w:rFonts w:ascii="Times New Roman;sans-serif" w:hAnsi="Times New Roman;sans-serif"/>
          <w:b w:val="false"/>
          <w:i/>
          <w:color w:val="000000"/>
          <w:sz w:val="20"/>
        </w:rPr>
        <w:t>Cost of products sold</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Co</w:t>
      </w:r>
      <w:r>
        <w:rPr>
          <w:rFonts w:ascii="Times New Roman;sans-serif" w:hAnsi="Times New Roman;sans-serif"/>
          <w:b w:val="false"/>
          <w:color w:val="000000"/>
          <w:sz w:val="20"/>
        </w:rPr>
        <w:t>st of products sold for the first quarter of 2023 and 2022 were $1.3 million and $2.2 million, respectively. Cost of products sold, as a percentage of net revenues, were 13.6% during the three months ended March 31, 2023, compared to 19.8% during the three months ended March 31, 2022. The improvement in cost of products sold is primarily due to the availability of new lower cost inventory and less inventory write-offs.</w:t>
      </w:r>
    </w:p>
    <w:p>
      <w:pPr>
        <w:pStyle w:val="TextBody"/>
        <w:bidi w:val="0"/>
        <w:spacing w:lineRule="auto" w:line="288" w:before="160" w:after="120"/>
        <w:jc w:val="both"/>
        <w:rPr/>
      </w:pPr>
      <w:r>
        <w:rPr>
          <w:rFonts w:ascii="Times New Roman;sans-serif" w:hAnsi="Times New Roman;sans-serif"/>
          <w:b w:val="false"/>
          <w:i/>
          <w:color w:val="000000"/>
          <w:sz w:val="20"/>
        </w:rPr>
        <w:t>Selling and marketing</w:t>
      </w:r>
      <w:r>
        <w:rPr>
          <w:rFonts w:ascii="Times New Roman;sans-serif" w:hAnsi="Times New Roman;sans-serif"/>
          <w:b w:val="false"/>
          <w:color w:val="000000"/>
          <w:sz w:val="20"/>
        </w:rPr>
        <w:t>. Selling and marketing expense for the first quarter of 2023 decreased $0.3 million compared to the same period last year. This decrease is primarily attributable to lower royalty expenses.</w:t>
      </w:r>
    </w:p>
    <w:p>
      <w:pPr>
        <w:pStyle w:val="TextBody"/>
        <w:bidi w:val="0"/>
        <w:spacing w:lineRule="auto" w:line="288" w:before="160" w:after="120"/>
        <w:jc w:val="both"/>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xml:space="preserve">. Research and development costs for the first quarter of 2023 and 2022 were $1.5 million and $1.7 million, respectively. A portion of our research and development costs is variable based on the number of trials, study sites, number of patients and the cost per patient in each of our clinical programs. We continue to fund our ongoing clinical initiatives associated with our pipeline product candidates. The decrease in costs for the first quarter of 2023 results from lower FDA fees in 2023. </w:t>
      </w:r>
    </w:p>
    <w:p>
      <w:pPr>
        <w:pStyle w:val="TextBody"/>
        <w:bidi w:val="0"/>
        <w:spacing w:lineRule="auto" w:line="288" w:before="160" w:after="120"/>
        <w:jc w:val="both"/>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 increased to $2.5 million for the first quarter of 2023, compared to $2.3 million for the first quarter of 2022, an increase of $0.2 million. The increase was primarily attributable to increases in deferred compensation expenses.</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Vibativ:</w:t>
      </w:r>
    </w:p>
    <w:tbl>
      <w:tblPr>
        <w:tblW w:w="6021" w:type="dxa"/>
        <w:jc w:val="left"/>
        <w:tblInd w:w="0" w:type="dxa"/>
        <w:tblLayout w:type="fixed"/>
        <w:tblCellMar>
          <w:top w:w="28" w:type="dxa"/>
          <w:left w:w="28" w:type="dxa"/>
          <w:bottom w:w="28" w:type="dxa"/>
          <w:right w:w="28" w:type="dxa"/>
        </w:tblCellMar>
      </w:tblPr>
      <w:tblGrid>
        <w:gridCol w:w="988"/>
        <w:gridCol w:w="868"/>
        <w:gridCol w:w="874"/>
        <w:gridCol w:w="109"/>
        <w:gridCol w:w="109"/>
        <w:gridCol w:w="109"/>
        <w:gridCol w:w="211"/>
        <w:gridCol w:w="976"/>
        <w:gridCol w:w="109"/>
        <w:gridCol w:w="109"/>
        <w:gridCol w:w="109"/>
        <w:gridCol w:w="109"/>
        <w:gridCol w:w="211"/>
        <w:gridCol w:w="9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Vibativ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2,651,434 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Vibativ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2022 net revenue includes a $150,000 payment to Cumberland required under the terms of a new licensee agreement.</w:t>
      </w:r>
    </w:p>
    <w:p>
      <w:pPr>
        <w:pStyle w:val="TextBody"/>
        <w:bidi w:val="0"/>
        <w:spacing w:lineRule="auto" w:line="288" w:before="80" w:after="283"/>
        <w:jc w:val="both"/>
        <w:rPr/>
      </w:pPr>
      <w:r>
        <w:rPr>
          <w:rFonts w:ascii="Times New Roman;sans-serif" w:hAnsi="Times New Roman;sans-serif"/>
          <w:b w:val="false"/>
          <w:color w:val="000000"/>
          <w:sz w:val="10"/>
        </w:rPr>
        <w:t>(2)</w:t>
      </w:r>
      <w:r>
        <w:rPr>
          <w:rFonts w:ascii="Times New Roman;sans-serif" w:hAnsi="Times New Roman;sans-serif"/>
          <w:b w:val="false"/>
          <w:color w:val="000000"/>
          <w:sz w:val="16"/>
        </w:rPr>
        <w:t>The Vibativ inventory included in the costs of product sold during the period was acquired and paid for by Cumberland as part of the acquisition of the brand during 2018.</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statements of operations discussed above reflect the following impacts from Sancuso:</w:t>
      </w:r>
    </w:p>
    <w:tbl>
      <w:tblPr>
        <w:tblW w:w="6020" w:type="dxa"/>
        <w:jc w:val="left"/>
        <w:tblInd w:w="0" w:type="dxa"/>
        <w:tblLayout w:type="fixed"/>
        <w:tblCellMar>
          <w:top w:w="28" w:type="dxa"/>
          <w:left w:w="28" w:type="dxa"/>
          <w:bottom w:w="28" w:type="dxa"/>
          <w:right w:w="28" w:type="dxa"/>
        </w:tblCellMar>
      </w:tblPr>
      <w:tblGrid>
        <w:gridCol w:w="988"/>
        <w:gridCol w:w="868"/>
        <w:gridCol w:w="873"/>
        <w:gridCol w:w="109"/>
        <w:gridCol w:w="109"/>
        <w:gridCol w:w="109"/>
        <w:gridCol w:w="211"/>
        <w:gridCol w:w="976"/>
        <w:gridCol w:w="109"/>
        <w:gridCol w:w="109"/>
        <w:gridCol w:w="109"/>
        <w:gridCol w:w="109"/>
        <w:gridCol w:w="211"/>
        <w:gridCol w:w="97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Impact of Sancuso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products sold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Sancuso 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2,098,845 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Sancuso inventory included in the costs of product sold during the period was acquired and paid for by Cumberland as part of the acquisition of the brand during 2022.</w:t>
      </w:r>
    </w:p>
    <w:p>
      <w:pPr>
        <w:pStyle w:val="TextBody"/>
        <w:bidi w:val="0"/>
        <w:spacing w:lineRule="auto" w:line="288" w:before="160" w:after="120"/>
        <w:jc w:val="both"/>
        <w:rPr/>
      </w:pPr>
      <w:r>
        <w:rPr>
          <w:rFonts w:ascii="Times New Roman;sans-serif" w:hAnsi="Times New Roman;sans-serif"/>
          <w:b w:val="false"/>
          <w:i/>
          <w:color w:val="000000"/>
          <w:sz w:val="20"/>
        </w:rPr>
        <w:t>Amortization.</w:t>
      </w:r>
      <w:r>
        <w:rPr>
          <w:color w:val="000000"/>
        </w:rPr>
        <w:t xml:space="preserve"> </w:t>
      </w:r>
      <w:r>
        <w:rPr>
          <w:rFonts w:ascii="Times New Roman;sans-serif" w:hAnsi="Times New Roman;sans-serif"/>
          <w:b w:val="false"/>
          <w:color w:val="000000"/>
          <w:sz w:val="20"/>
        </w:rPr>
        <w:t>Amortization expense is the ratable use of our capitalized intangible assets including product and license rights, patents, trademarks and patent defense costs. Amortization for the three months ended March 31, 2023 and 2022, totaled approximately $1.2 million and $1.6 million, respectively. The decline in amortization expense resulted from adjustments to the useful life of Sancuso during the valuation of the product in December 2022.</w:t>
      </w:r>
    </w:p>
    <w:p>
      <w:pPr>
        <w:pStyle w:val="TextBody"/>
        <w:bidi w:val="0"/>
        <w:spacing w:lineRule="auto" w:line="288" w:before="160" w:after="120"/>
        <w:jc w:val="both"/>
        <w:rPr/>
      </w:pPr>
      <w:r>
        <w:rPr>
          <w:rFonts w:ascii="Times New Roman;sans-serif" w:hAnsi="Times New Roman;sans-serif"/>
          <w:b w:val="false"/>
          <w:i/>
          <w:color w:val="000000"/>
          <w:sz w:val="20"/>
        </w:rPr>
        <w:t>Income taxes</w:t>
      </w:r>
      <w:r>
        <w:rPr>
          <w:rFonts w:ascii="Times New Roman;sans-serif" w:hAnsi="Times New Roman;sans-serif"/>
          <w:b w:val="false"/>
          <w:color w:val="000000"/>
          <w:sz w:val="20"/>
        </w:rPr>
        <w:t xml:space="preserve">. Income tax expense for the three months ended March 31, 2023, was comparable to the income tax expense for the three months ended March 31, 2022.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approximately $57.8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2023 and beyond, through the continued utilization of these net operating loss carryforwards, on any taxable income generated from our operations.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liquidity and working capital as of March 31, 2023 and December 31, 2022:</w:t>
      </w:r>
    </w:p>
    <w:tbl>
      <w:tblPr>
        <w:tblW w:w="8530" w:type="dxa"/>
        <w:jc w:val="left"/>
        <w:tblInd w:w="0" w:type="dxa"/>
        <w:tblLayout w:type="fixed"/>
        <w:tblCellMar>
          <w:top w:w="28" w:type="dxa"/>
          <w:left w:w="28" w:type="dxa"/>
          <w:bottom w:w="28" w:type="dxa"/>
          <w:right w:w="28" w:type="dxa"/>
        </w:tblCellMar>
      </w:tblPr>
      <w:tblGrid>
        <w:gridCol w:w="1809"/>
        <w:gridCol w:w="1588"/>
        <w:gridCol w:w="1597"/>
        <w:gridCol w:w="217"/>
        <w:gridCol w:w="1111"/>
        <w:gridCol w:w="112"/>
        <w:gridCol w:w="109"/>
        <w:gridCol w:w="109"/>
        <w:gridCol w:w="109"/>
        <w:gridCol w:w="258"/>
        <w:gridCol w:w="1323"/>
        <w:gridCol w:w="188"/>
      </w:tblGrid>
      <w:tr>
        <w:trPr/>
        <w:tc>
          <w:tcPr>
            <w:tcW w:w="180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16,386,166 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(current assets less current liabilities)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18,103,385 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17,290,378 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ratio (multiple of current assets to current liabilities)</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availability</w:t>
            </w:r>
          </w:p>
        </w:tc>
        <w:tc>
          <w:tcPr>
            <w:tcW w:w="21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3,927,714 </w:t>
            </w:r>
          </w:p>
        </w:tc>
        <w:tc>
          <w:tcPr>
            <w:tcW w:w="1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3,800,000 </w:t>
            </w:r>
          </w:p>
        </w:tc>
        <w:tc>
          <w:tcPr>
            <w:tcW w:w="18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net changes in cash and cash equivalents for the three months ended March 31, 2023 and March 31, 2022:</w:t>
      </w:r>
    </w:p>
    <w:tbl>
      <w:tblPr>
        <w:tblW w:w="7433" w:type="dxa"/>
        <w:jc w:val="left"/>
        <w:tblInd w:w="0" w:type="dxa"/>
        <w:tblLayout w:type="fixed"/>
        <w:tblCellMar>
          <w:top w:w="28" w:type="dxa"/>
          <w:left w:w="28" w:type="dxa"/>
          <w:bottom w:w="28" w:type="dxa"/>
          <w:right w:w="28" w:type="dxa"/>
        </w:tblCellMar>
      </w:tblPr>
      <w:tblGrid>
        <w:gridCol w:w="1564"/>
        <w:gridCol w:w="1372"/>
        <w:gridCol w:w="1383"/>
        <w:gridCol w:w="211"/>
        <w:gridCol w:w="1051"/>
        <w:gridCol w:w="109"/>
        <w:gridCol w:w="109"/>
        <w:gridCol w:w="109"/>
        <w:gridCol w:w="109"/>
        <w:gridCol w:w="211"/>
        <w:gridCol w:w="1051"/>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(150,498)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(3,371,804)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(9,774,031)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$3.4 million decrease in cash and cash equivalents for the three months ended March 31, 2023, was primarily attributable to cash used in operating and financing activities. A decrease of cash used in operating activities of $1.4 million was primarily the result of an increase of accounts receivable of $1.4 million (which includes a $1.8 million receivable for the approved PDUFA fee refund), a decrease of net accounts payable and other current liabilities of $1.1 million and the offsetting positive impact from the add backs of non-cash expenses of depreciation, amortization and share-based compensation expense totaling $1.3 million. Cash used in investing activities of $0.2 million was the result of additions to property and equipment and intangibles. Financing activities use of cash was $1.8 million and include the repayments on our line of credit of $0.1 million, the $0.2 million in cash used to repurchase shares of our common stock as well as the $1.5 million used for the payment of a Sancuso milestone, plus royalties on sales of Vibativ and Sancuso.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$9.8 million decrease in cash and cash equivalents for the three months ended March 31, 2022, was primarily attributable to cash used in investing and partially offset by cash provided by financing activities. Cash used in operating activities of $0.2 million was primarily the result of accounts receivable increasing by $7.8 million mainly from Sancuso sales, positively impacted by decreases in inventory of $2.3 million and increases in accounts payable and other liabilities of $4.4 million, as well as the add back of non-cash expenses of depreciation, amortization and share-based compensation expense totaling $1.8 million. Cash used in investing activities was the result of the acquisition of Sancuso. Our financing activities included the increase in our line of credit of $5.0 million partially offset by the $0.6 million in cash used to repurchase shares of our common stock as well as the $0.5 million used for the payment of royalties for sales of Vibativ and Sancuso.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Debt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quarter ended March 31, 2023, we were in compliance with the Funded Debt Ratio financial covenant.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2021, the Company and Pinnacle Bank entered into the Fifth Amendment to the Revolving Credit Note and the Sixth Amendment to the Revolving Credit Loan Agreement in order to increase the principal amount of the Note from $15 million to $20 million. On October 28, 2021, the Company entered into a Fourth Amendment to the Revolving Credit Note and Fifth Amendment to Revolving Credit Loan Agreement with Pinnacle Bank. Among other terms, the Fourth Amendment extended the maturity date to October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did not engage in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risk related to borrowings under our line of credit is based on LIBOR plus an interest rate spread. The current pricing under the Pinnacle Agreement provides for an interest rate spread of 1.75% to 2.75% above LIBOR with a minimum LIBOR of 0.90%. The applicable interest rate under the Pinnacle Agreement was 7.375% at March 31, 2023. As of March 31, 2023, we had $16.1 million in borrowings outstanding under our revolving credit facility.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2023 and 2022. Neither a five percent increase nor decrease from current exchange rates would have a material effect on our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there has not been any change in our internal control over financial reporting that has materially 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Part I, Item 1. Financial Statements, Notes to Unaudited Condensed Consolidated Financial Statements,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an investor should consider the risk factors included in the Company's Annual Report on Form 10-K for the year ended December 31, 2022.</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Our operations are subject to the effects of a rising rate of inflation.</w:t>
      </w:r>
    </w:p>
    <w:p>
      <w:pPr>
        <w:pStyle w:val="TextBody"/>
        <w:bidi w:val="0"/>
        <w:spacing w:lineRule="auto" w:line="288" w:before="160" w:after="283"/>
        <w:jc w:val="both"/>
        <w:rPr/>
      </w:pPr>
      <w:r>
        <w:rPr>
          <w:rFonts w:ascii="Times New Roman;sans-serif" w:hAnsi="Times New Roman;sans-serif"/>
          <w:b w:val="false"/>
          <w:color w:val="000000"/>
          <w:sz w:val="20"/>
        </w:rPr>
        <w:t>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w:t>
      </w:r>
      <w:r>
        <w:rPr>
          <w:color w:val="000000"/>
        </w:rPr>
        <w:t xml:space="preserve"> </w:t>
      </w:r>
      <w:r>
        <w:rPr>
          <w:rFonts w:ascii="Times New Roman;sans-serif" w:hAnsi="Times New Roman;sans-serif"/>
          <w:b w:val="false"/>
          <w:color w:val="000000"/>
          <w:sz w:val="20"/>
        </w:rPr>
        <w:t>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and the ongoing conflict between Russia and Ukraine, and employee availability and wage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by month, during the three months ended March 31, 2023:</w:t>
      </w:r>
    </w:p>
    <w:p>
      <w:pPr>
        <w:pStyle w:val="TextBody"/>
        <w:bidi w:val="0"/>
        <w:spacing w:lineRule="auto" w:line="288" w:before="0" w:after="0"/>
        <w:jc w:val="left"/>
        <w:rPr>
          <w:color w:val="000000"/>
        </w:rPr>
      </w:pPr>
      <w:r>
        <w:rPr>
          <w:color w:val="000000"/>
        </w:rPr>
        <w:t> </w:t>
      </w:r>
    </w:p>
    <w:tbl>
      <w:tblPr>
        <w:tblW w:w="10045" w:type="dxa"/>
        <w:jc w:val="left"/>
        <w:tblInd w:w="0" w:type="dxa"/>
        <w:tblLayout w:type="fixed"/>
        <w:tblCellMar>
          <w:top w:w="28" w:type="dxa"/>
          <w:left w:w="28" w:type="dxa"/>
          <w:bottom w:w="28" w:type="dxa"/>
          <w:right w:w="28" w:type="dxa"/>
        </w:tblCellMar>
      </w:tblPr>
      <w:tblGrid>
        <w:gridCol w:w="304"/>
        <w:gridCol w:w="266"/>
        <w:gridCol w:w="271"/>
        <w:gridCol w:w="1938"/>
        <w:gridCol w:w="1938"/>
        <w:gridCol w:w="1944"/>
        <w:gridCol w:w="109"/>
        <w:gridCol w:w="109"/>
        <w:gridCol w:w="109"/>
        <w:gridCol w:w="217"/>
        <w:gridCol w:w="526"/>
        <w:gridCol w:w="113"/>
        <w:gridCol w:w="109"/>
        <w:gridCol w:w="109"/>
        <w:gridCol w:w="109"/>
        <w:gridCol w:w="294"/>
        <w:gridCol w:w="1364"/>
        <w:gridCol w:w="216"/>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Number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or Units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which were also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Paid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 Share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Maximum Number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 Approximate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that May Yet Be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the Plans or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Programs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w:t>
            </w:r>
          </w:p>
        </w:tc>
        <w:tc>
          <w:tcPr>
            <w:tcW w:w="5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3,706,634 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3,678,628 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w:t>
            </w:r>
          </w:p>
        </w:tc>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3,565,836 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2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4"/>
        <w:gridCol w:w="194"/>
        <w:gridCol w:w="198"/>
        <w:gridCol w:w="109"/>
        <w:gridCol w:w="109"/>
        <w:gridCol w:w="109"/>
        <w:gridCol w:w="2890"/>
        <w:gridCol w:w="2813"/>
        <w:gridCol w:w="2837"/>
        <w:gridCol w:w="109"/>
        <w:gridCol w:w="109"/>
        <w:gridCol w:w="109"/>
        <w:gridCol w:w="109"/>
        <w:gridCol w:w="109"/>
        <w:gridCol w:w="157"/>
      </w:tblGrid>
      <w:tr>
        <w:trPr/>
        <w:tc>
          <w:tcPr>
            <w:tcW w:w="2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56" w:before="0" w:after="0"/>
              <w:jc w:val="both"/>
              <w:rPr/>
            </w:pPr>
            <w:hyperlink w:anchor="ajkazimiemploymentagreemen.htm">
              <w:r>
                <w:rPr>
                  <w:rStyle w:val="InternetLink"/>
                  <w:rFonts w:ascii="Times New Roman;sans-serif" w:hAnsi="Times New Roman;sans-serif"/>
                  <w:b w:val="false"/>
                  <w:color w:val="0000FF"/>
                  <w:sz w:val="20"/>
                  <w:u w:val="single"/>
                </w:rPr>
                <w:t>Employment Agreement dated March 9, 2023, effective as of January 1, 2023, by and between A.J. Kazimi and Cumberland Pharmaceuticals Inc. (incorporated by reference to Exhibit 10.11 of the Company’s Current Report on Form 8-K, File No. 001-33637, filed with the Securities and Exchange Commission on March 15,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jameshermanemploymentagree.htm">
              <w:r>
                <w:rPr>
                  <w:rStyle w:val="InternetLink"/>
                  <w:rFonts w:ascii="Times New Roman;sans-serif" w:hAnsi="Times New Roman;sans-serif"/>
                  <w:b w:val="false"/>
                  <w:color w:val="0000FF"/>
                  <w:sz w:val="20"/>
                  <w:u w:val="single"/>
                </w:rPr>
                <w:t>Employment Agreement dated March 9, 2023, effective as of January 1, 2023, by and between Jim Herman and Cumberland Pharmaceuticals Inc. (incorporated by reference to Exhibit 10.12 of the Company’s Current Report on Form 8-K, File No. 001-33637, filed with the Securities and Exchange Commission on March 15,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toddanthony-employmentagre.htm">
              <w:r>
                <w:rPr>
                  <w:rStyle w:val="InternetLink"/>
                  <w:rFonts w:ascii="Times New Roman;sans-serif" w:hAnsi="Times New Roman;sans-serif"/>
                  <w:b w:val="false"/>
                  <w:color w:val="0000FF"/>
                  <w:sz w:val="20"/>
                  <w:u w:val="single"/>
                </w:rPr>
                <w:t>Employment Agreement dated March 9, 2023, effective as of January 1, 2023, by and between Todd Anthony and Cumberland Pharmaceuticals Inc. (incorporated by reference to Exhibit 10.13 of the Company’s Current Report on Form 8-K, File No. 001-33637, filed with the Securities and Exchange Commission on March 15,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hrisbittermanemploymentag.htm">
              <w:r>
                <w:rPr>
                  <w:rStyle w:val="InternetLink"/>
                  <w:rFonts w:ascii="Times New Roman;sans-serif" w:hAnsi="Times New Roman;sans-serif"/>
                  <w:b w:val="false"/>
                  <w:color w:val="0000FF"/>
                  <w:sz w:val="20"/>
                  <w:u w:val="single"/>
                </w:rPr>
                <w:t>Employment Agreement dated March 9, 2023, effective as of January 1, 2023, by and between Chris Bitterman and Cumberland Pharmaceuticals Inc. (incorporated by reference to Exhibit 10.14 of the Company’s Current Report on Form 8-K, File No. 001-33637, filed with the Securities and Exchange Commission on March 15,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johnhammemploymentagreemen.htm">
              <w:r>
                <w:rPr>
                  <w:rStyle w:val="InternetLink"/>
                  <w:rFonts w:ascii="Times New Roman;sans-serif" w:hAnsi="Times New Roman;sans-serif"/>
                  <w:b w:val="false"/>
                  <w:color w:val="0000FF"/>
                  <w:sz w:val="20"/>
                  <w:u w:val="single"/>
                </w:rPr>
                <w:t>Employment Agreement dated March 9, 2023, effective as of January 1, 2023, by and between John M. Hamm and Cumberland Pharmaceuticals Inc. (incorporated by reference to Exhibit 10.15 of the Company’s Current Report on Form 8-K, File No. 001-33637, filed with the Securities and Exchange Commission on March 15,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1-exhibit311.htm">
              <w:r>
                <w:rPr>
                  <w:rStyle w:val="InternetLink"/>
                  <w:rFonts w:ascii="Times New Roman;sans-serif" w:hAnsi="Times New Roman;sans-serif"/>
                  <w:b w:val="false"/>
                  <w:color w:val="0000FF"/>
                  <w:sz w:val="20"/>
                  <w:u w:val="single"/>
                </w:rPr>
                <w:t>Certification of Chief Executive Officer Pursuant to Rule 13-14(a)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1-exhibit312.htm">
              <w:r>
                <w:rPr>
                  <w:rStyle w:val="InternetLink"/>
                  <w:rFonts w:ascii="Times New Roman;sans-serif" w:hAnsi="Times New Roman;sans-serif"/>
                  <w:b w:val="false"/>
                  <w:color w:val="0000FF"/>
                  <w:sz w:val="20"/>
                  <w:u w:val="single"/>
                </w:rPr>
                <w:t>Certification of Chief Financial Officer Pursuant to Rule 13-14(a)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023q1-exhibit321.htm">
              <w:r>
                <w:rPr>
                  <w:rStyle w:val="InternetLink"/>
                  <w:rFonts w:ascii="Times New Roman;sans-serif" w:hAnsi="Times New Roman;sans-serif"/>
                  <w:b w:val="false"/>
                  <w:color w:val="0000FF"/>
                  <w:sz w:val="20"/>
                  <w:u w:val="single"/>
                </w:rPr>
                <w:t>Certification of Chief Executive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40"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8963"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109"/>
        <w:gridCol w:w="109"/>
        <w:gridCol w:w="109"/>
        <w:gridCol w:w="109"/>
        <w:gridCol w:w="109"/>
        <w:gridCol w:w="109"/>
        <w:gridCol w:w="303"/>
        <w:gridCol w:w="303"/>
        <w:gridCol w:w="303"/>
        <w:gridCol w:w="303"/>
        <w:gridCol w:w="303"/>
        <w:gridCol w:w="303"/>
        <w:gridCol w:w="1271"/>
        <w:gridCol w:w="1271"/>
        <w:gridCol w:w="182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Duly Authorized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3752850" cy="857250"/>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3752850" cy="85725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9.1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9,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A.J. Kazimi </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1600 West End Avenue, Suite 1300</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Nashville, TN 37203</w:t>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AJ Kazimi as Chief Executive Officer by Cumberland Pharmaceuticals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AJ,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Effective January 1, 2023, this letter agreement (the “Agreement”) will evidence the terms and conditions under which you will be employed by Cumberland Pharmaceuticals Inc. (the “Company”) In consideration of your appointment as Chief Executive Officer of 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six hundred thirty-five thousand dollars ($675,000.00),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bidi w:val="0"/>
        <w:spacing w:before="0" w:after="0"/>
        <w:jc w:val="both"/>
        <w:rPr/>
      </w:pPr>
      <w:r>
        <w:rPr/>
      </w:r>
    </w:p>
    <w:p>
      <w:pPr>
        <w:pStyle w:val="TextBody"/>
        <w:bidi w:val="0"/>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xml:space="preserve">.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xml:space="preserve">.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Chief Executive Officer,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Chief Executive Officer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After you cease to be employed by the Company (or a Company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Standards of Business Conduct and Ethics.</w:t>
      </w:r>
      <w:r>
        <w:rPr>
          <w:color w:val="000000"/>
        </w:rPr>
        <w:t xml:space="preserve"> </w:t>
      </w:r>
      <w:r>
        <w:rPr>
          <w:rFonts w:ascii="Times New Roman;sans-serif" w:hAnsi="Times New Roman;sans-serif"/>
          <w:b w:val="false"/>
          <w:color w:val="000000"/>
          <w:sz w:val="24"/>
        </w:rPr>
        <w:t>Cumberland’s commitment to a culture of integrity, ethics and compliance with the law is comprised in this policy, which will be provided to you as part of the conditions of your employment. You will have the opportunity to read, discuss and understand this policy prior to accepting and signing its Letter of Agreement.</w:t>
      </w:r>
    </w:p>
    <w:p>
      <w:pPr>
        <w:pStyle w:val="TextBody"/>
        <w:bidi w:val="0"/>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In the event that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21.    </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0520"/>
                <wp:effectExtent l="0" t="0" r="0" b="0"/>
                <wp:wrapNone/>
                <wp:docPr id="40"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before="0" w:after="0"/>
        <w:jc w:val="center"/>
        <w:rPr/>
      </w:pPr>
      <w:r>
        <w:rPr/>
      </w:r>
    </w:p>
    <w:p>
      <w:pPr>
        <w:pStyle w:val="TextBody"/>
        <w:bidi w:val="0"/>
        <w:spacing w:lineRule="auto" w:line="240" w:before="0" w:after="0"/>
        <w:jc w:val="both"/>
        <w:rPr/>
      </w:pPr>
      <w:r>
        <w:rPr>
          <w:rFonts w:ascii="Times New Roman;sans-serif" w:hAnsi="Times New Roman;sans-serif"/>
          <w:b w:val="false"/>
          <w:color w:val="000000"/>
          <w:sz w:val="24"/>
        </w:rPr>
        <w:t>_____</w:t>
      </w:r>
      <w:r>
        <w:rPr>
          <w:color w:val="000000"/>
          <w:u w:val="single"/>
        </w:rPr>
        <w:t xml:space="preserve"> </w:t>
      </w:r>
      <w:r>
        <w:rPr>
          <w:rFonts w:ascii="Times New Roman;sans-serif" w:hAnsi="Times New Roman;sans-serif"/>
          <w:b w:val="false"/>
          <w:i/>
          <w:color w:val="000000"/>
          <w:sz w:val="24"/>
          <w:u w:val="single"/>
        </w:rPr>
        <w:t>Stephanie Smith</w:t>
      </w:r>
      <w:r>
        <w:rPr>
          <w:rFonts w:ascii="Times New Roman;sans-serif" w:hAnsi="Times New Roman;sans-serif"/>
          <w:b w:val="false"/>
          <w:color w:val="000000"/>
          <w:sz w:val="24"/>
        </w:rPr>
        <w:t xml:space="preserve">_________     </w:t>
      </w:r>
    </w:p>
    <w:p>
      <w:pPr>
        <w:pStyle w:val="TextBody"/>
        <w:bidi w:val="0"/>
        <w:spacing w:lineRule="auto" w:line="240" w:before="0" w:after="0"/>
        <w:ind w:left="0" w:right="0" w:firstLine="720"/>
        <w:jc w:val="both"/>
        <w:rPr>
          <w:color w:val="000000"/>
        </w:rPr>
      </w:pPr>
      <w:r>
        <w:rPr>
          <w:color w:val="000000"/>
        </w:rPr>
        <w:t xml:space="preserve">     </w:t>
      </w:r>
      <w:r>
        <w:rPr>
          <w:rFonts w:ascii="Times New Roman;sans-serif" w:hAnsi="Times New Roman;sans-serif"/>
          <w:b w:val="false"/>
          <w:color w:val="000000"/>
          <w:sz w:val="24"/>
        </w:rPr>
        <w:t>By:     Stephanie Smith, MBA, HRM</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HR Manager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bidi w:val="0"/>
        <w:spacing w:lineRule="auto" w:line="240" w:before="0" w:after="0"/>
        <w:jc w:val="left"/>
        <w:rPr/>
      </w:pPr>
      <w:r>
        <w:rPr>
          <w:rFonts w:ascii="Times New Roman;sans-serif" w:hAnsi="Times New Roman;sans-serif"/>
          <w:b w:val="false"/>
          <w:color w:val="000000"/>
          <w:sz w:val="24"/>
        </w:rPr>
        <w:t>as of the 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March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i/>
          <w:color w:val="000000"/>
          <w:sz w:val="24"/>
        </w:rPr>
        <w:t>______</w:t>
      </w:r>
      <w:r>
        <w:rPr>
          <w:rFonts w:ascii="Times New Roman;sans-serif" w:hAnsi="Times New Roman;sans-serif"/>
          <w:b w:val="false"/>
          <w:i/>
          <w:color w:val="000000"/>
          <w:sz w:val="24"/>
          <w:u w:val="single"/>
        </w:rPr>
        <w:t>/s/ A.J. Kazimi</w:t>
      </w:r>
      <w:r>
        <w:rPr>
          <w:rFonts w:ascii="Times New Roman;sans-serif" w:hAnsi="Times New Roman;sans-serif"/>
          <w:b w:val="false"/>
          <w:i/>
          <w:color w:val="000000"/>
          <w:sz w:val="24"/>
        </w:rPr>
        <w:t>_______________</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A.J. Kazimi </w:t>
      </w:r>
    </w:p>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9,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James “Jim” Herman</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430 Brentwood Oaks Dr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Nashville, TN 37221</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Jim Herman Executive Vice President National Accounts &amp; Chief Compliance Officer as by Cumberland Pharmaceuticals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Jim,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4"/>
        </w:rPr>
        <w:t xml:space="preserve">Executive Vice President National Accounts &amp; Chief Compliance Officer </w:t>
      </w:r>
      <w:r>
        <w:rPr>
          <w:rFonts w:ascii="Times New Roman;sans-serif" w:hAnsi="Times New Roman;sans-serif"/>
          <w:b w:val="false"/>
          <w:color w:val="000000"/>
          <w:sz w:val="24"/>
        </w:rPr>
        <w:t>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three hundred ten thousand ($310,000)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xml:space="preserve">. You shall notify the Company within three business days if no longer employed and immediately if still employed by the Company if you are contacted by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For a period of one year after you cease to be employed by the Company (or a Company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If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of the 9th of March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____________</w:t>
      </w:r>
      <w:r>
        <w:rPr>
          <w:rFonts w:ascii="Times New Roman;sans-serif" w:hAnsi="Times New Roman;sans-serif"/>
          <w:b w:val="false"/>
          <w:i/>
          <w:color w:val="000000"/>
          <w:sz w:val="24"/>
          <w:u w:val="single"/>
        </w:rPr>
        <w:t>/s/ Jim Herman</w:t>
      </w:r>
      <w:r>
        <w:rPr>
          <w:rFonts w:ascii="Times New Roman;sans-serif" w:hAnsi="Times New Roman;sans-serif"/>
          <w:b w:val="false"/>
          <w:color w:val="000000"/>
          <w:sz w:val="24"/>
        </w:rPr>
        <w:t>_____________</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James “Jim” Herman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9,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Todd Anthony</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702 Meeting Street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Franklin, TN 37064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Todd Anthony Vice President of Organizational Development as by Cumberland Pharmaceuticals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Todd,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4"/>
        </w:rPr>
        <w:t>Vice President of Organizational Development</w:t>
      </w:r>
      <w:r>
        <w:rPr>
          <w:color w:val="000000"/>
        </w:rPr>
        <w:t xml:space="preserve"> </w:t>
      </w:r>
      <w:r>
        <w:rPr>
          <w:rFonts w:ascii="Times New Roman;sans-serif" w:hAnsi="Times New Roman;sans-serif"/>
          <w:b w:val="false"/>
          <w:color w:val="000000"/>
          <w:sz w:val="24"/>
        </w:rPr>
        <w:t>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two hundred fifty-two thousand five hundred ($272,500.00),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xml:space="preserve">. You shall notify the Company within three business days if no longer employed and immediately if still employed by the Company if you are contacted by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For a period of one year after you cease to be employed by the Company (or a Company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If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of the 9th of March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____________</w:t>
      </w:r>
      <w:r>
        <w:rPr>
          <w:rFonts w:ascii="Times New Roman;sans-serif" w:hAnsi="Times New Roman;sans-serif"/>
          <w:b w:val="false"/>
          <w:i/>
          <w:color w:val="000000"/>
          <w:sz w:val="24"/>
          <w:u w:val="single"/>
        </w:rPr>
        <w:t>/s/ Todd Anthony</w:t>
      </w:r>
      <w:r>
        <w:rPr>
          <w:rFonts w:ascii="Times New Roman;sans-serif" w:hAnsi="Times New Roman;sans-serif"/>
          <w:b w:val="false"/>
          <w:color w:val="000000"/>
          <w:sz w:val="24"/>
        </w:rPr>
        <w:t>___________</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Todd Anthony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9,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Chris Bitterman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6440 Halcyon Garden Drive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Alpharetta, GA 37090</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Chris Bitterman, Vice President of Sales and Marketing as by Cumberland Pharmaceuticals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Chris,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4"/>
        </w:rPr>
        <w:t xml:space="preserve">Vice President of Sales and Marketing </w:t>
      </w:r>
      <w:r>
        <w:rPr>
          <w:rFonts w:ascii="Times New Roman;sans-serif" w:hAnsi="Times New Roman;sans-serif"/>
          <w:b w:val="false"/>
          <w:color w:val="000000"/>
          <w:sz w:val="24"/>
        </w:rPr>
        <w:t>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two hundred fifty-eight thousand five hundred ($258,500.00)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xml:space="preserve">. You shall notify the Company within three business days if no longer employed and immediately if still employed by the Company if you are contacted by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For a period of one year after you cease to be employed by the Company (or a Company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If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of the 9th of March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_________</w:t>
      </w:r>
      <w:r>
        <w:rPr>
          <w:rFonts w:ascii="Times New Roman;sans-serif" w:hAnsi="Times New Roman;sans-serif"/>
          <w:b w:val="false"/>
          <w:i/>
          <w:color w:val="000000"/>
          <w:sz w:val="24"/>
          <w:u w:val="single"/>
        </w:rPr>
        <w:t>/s/ Chris Bitterman</w:t>
      </w:r>
      <w:r>
        <w:rPr>
          <w:rFonts w:ascii="Times New Roman;sans-serif" w:hAnsi="Times New Roman;sans-serif"/>
          <w:b w:val="false"/>
          <w:color w:val="000000"/>
          <w:sz w:val="24"/>
        </w:rPr>
        <w:t>_____________</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Chris Bitterman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March 9, 2023</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John Hamm</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1659 Kirkwood Place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Brentwood, TN 37216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Re:    Employment of John Hamm Chief Financial Officer as by Cumberland Pharmaceuticals Inc.</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John,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Effective January 1, 2023, this letter agreement (the “Agreement”) will evidence the terms and conditions under which you will be employed by Cumberland Pharmaceuticals Inc. (the “Company”) In consideration of your appointment as </w:t>
      </w:r>
      <w:r>
        <w:rPr>
          <w:rFonts w:ascii="Times New Roman;sans-serif" w:hAnsi="Times New Roman;sans-serif"/>
          <w:b w:val="false"/>
          <w:i/>
          <w:color w:val="000000"/>
          <w:sz w:val="24"/>
        </w:rPr>
        <w:t xml:space="preserve">Chief Financial Officer </w:t>
      </w:r>
      <w:r>
        <w:rPr>
          <w:rFonts w:ascii="Times New Roman;sans-serif" w:hAnsi="Times New Roman;sans-serif"/>
          <w:b w:val="false"/>
          <w:color w:val="000000"/>
          <w:sz w:val="24"/>
        </w:rPr>
        <w:t>the Company, and other good and valuable consideration, the receipt and sufficiency of which is hereby acknowledged, the parties agree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Compensation.</w:t>
      </w:r>
      <w:r>
        <w:rPr>
          <w:color w:val="000000"/>
        </w:rPr>
        <w:t xml:space="preserve"> </w:t>
      </w:r>
      <w:r>
        <w:rPr>
          <w:rFonts w:ascii="Times New Roman;sans-serif" w:hAnsi="Times New Roman;sans-serif"/>
          <w:b w:val="false"/>
          <w:color w:val="000000"/>
          <w:sz w:val="24"/>
        </w:rPr>
        <w:t>The Company agrees to compensate you as follows: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(a)    The Company agrees to pay you on a salary basis for services performed based on an annual rate of two hundred and twenty-eight thousand ($228,000.00) payable in arrears in equal monthly installments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of each calendar month of 2023.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    You will receive a grant of Cumberland Pharmaceuticals common stock, pursuant to a stock options agreement (SOA). Such shares will be subject to the SOA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    Except as set forth in Section 2, the Company shall not be liable to you for any expense incurred by you unless you receive the Company's prior written consent to reimburse you for such expense.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9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Additional Payments</w:t>
      </w:r>
      <w:r>
        <w:rPr>
          <w:rFonts w:ascii="Times New Roman;sans-serif" w:hAnsi="Times New Roman;sans-serif"/>
          <w:b w:val="false"/>
          <w:color w:val="000000"/>
          <w:sz w:val="24"/>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Employment at Will</w:t>
      </w:r>
      <w:r>
        <w:rPr>
          <w:rFonts w:ascii="Times New Roman;sans-serif" w:hAnsi="Times New Roman;sans-serif"/>
          <w:b w:val="false"/>
          <w:color w:val="000000"/>
          <w:sz w:val="24"/>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when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Discoveries and Improvements</w:t>
      </w:r>
      <w:r>
        <w:rPr>
          <w:rFonts w:ascii="Times New Roman;sans-serif" w:hAnsi="Times New Roman;sans-serif"/>
          <w:b w:val="false"/>
          <w:color w:val="000000"/>
          <w:sz w:val="24"/>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always and remain the property of the Company.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Publication</w:t>
      </w:r>
      <w:r>
        <w:rPr>
          <w:rFonts w:ascii="Times New Roman;sans-serif" w:hAnsi="Times New Roman;sans-serif"/>
          <w:b w:val="false"/>
          <w:color w:val="000000"/>
          <w:sz w:val="24"/>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pStyle w:val="TextBody"/>
        <w:bidi w:val="0"/>
        <w:spacing w:before="0" w:after="0"/>
        <w:jc w:val="both"/>
        <w:rPr/>
      </w:pPr>
      <w:r>
        <w:rPr/>
      </w:r>
    </w:p>
    <w:p>
      <w:pPr>
        <w:pStyle w:val="TextBody"/>
        <w:bidi w:val="0"/>
        <w:spacing w:lineRule="auto" w:line="24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xml:space="preserve">. You shall notify the Company within three business days if no longer employed and immediately if still employed by the Company if you are contacted by any person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Competition</w:t>
      </w:r>
      <w:r>
        <w:rPr>
          <w:rFonts w:ascii="Times New Roman;sans-serif" w:hAnsi="Times New Roman;sans-serif"/>
          <w:b w:val="false"/>
          <w:color w:val="000000"/>
          <w:sz w:val="24"/>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Conflicting Contracts</w:t>
      </w:r>
      <w:r>
        <w:rPr>
          <w:rFonts w:ascii="Times New Roman;sans-serif" w:hAnsi="Times New Roman;sans-serif"/>
          <w:b w:val="false"/>
          <w:color w:val="000000"/>
          <w:sz w:val="24"/>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Solicitation</w:t>
      </w:r>
      <w:r>
        <w:rPr>
          <w:rFonts w:ascii="Times New Roman;sans-serif" w:hAnsi="Times New Roman;sans-serif"/>
          <w:b w:val="false"/>
          <w:color w:val="000000"/>
          <w:sz w:val="24"/>
        </w:rPr>
        <w:t xml:space="preserve">. For a period of one year after you cease to be employed by the Company (or a Company affiliate):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    You agree not to solicit, recruit, hire, or assist in the hiring of any employee of the Company to work for you or another person, firm, corporation, or business in competition with, or reasonably likely to become in competition with, the Company.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Return of Documents</w:t>
      </w:r>
      <w:r>
        <w:rPr>
          <w:rFonts w:ascii="Times New Roman;sans-serif" w:hAnsi="Times New Roman;sans-serif"/>
          <w:b w:val="false"/>
          <w:color w:val="000000"/>
          <w:sz w:val="24"/>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Best Efforts and Conflicts of Interest</w:t>
      </w:r>
      <w:r>
        <w:rPr>
          <w:rFonts w:ascii="Times New Roman;sans-serif" w:hAnsi="Times New Roman;sans-serif"/>
          <w:b w:val="false"/>
          <w:color w:val="000000"/>
          <w:sz w:val="24"/>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Debarment</w:t>
      </w:r>
      <w:r>
        <w:rPr>
          <w:rFonts w:ascii="Times New Roman;sans-serif" w:hAnsi="Times New Roman;sans-serif"/>
          <w:b w:val="false"/>
          <w:color w:val="000000"/>
          <w:sz w:val="24"/>
        </w:rPr>
        <w:t>. You represent and warrant that you have not been debarred and will notify the Company immediately if you are debarred, pursuant to subsection 306(a) or 306(b) of the Federal Food, Drug, and Cosmetic Act.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Any notice required or permitted to be given under this Agreement shall be sufficient if in writing and if sent by registered or certified mail to your residence or to the Company’s principal office in the case of the Company.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16.    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xml:space="preserve">. The waiver by either party of any provision of this Agreement shall not operate or be construed as a waiver of any subsequent breach.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17.    </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This Agreement contains the entire agreement of the parties and may not be changed orally, but only by an agreement in writing signed by the party against whom enforcement of any waiver, change, modification, extension, or discharge is sought.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18.    </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This Agreement shall be governed by the laws of the State of Tennessee. Any dispute arising out of this Agreement shall be resolved, at the Company’s sole option, by courts sitting in Nashville, Tennessee, and you waive any objection to such venue.</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19.    </w:t>
      </w:r>
      <w:r>
        <w:rPr>
          <w:rFonts w:ascii="Times New Roman;sans-serif" w:hAnsi="Times New Roman;sans-serif"/>
          <w:b w:val="false"/>
          <w:color w:val="000000"/>
          <w:sz w:val="24"/>
          <w:u w:val="single"/>
        </w:rPr>
        <w:t>Enforceability</w:t>
      </w:r>
      <w:r>
        <w:rPr>
          <w:rFonts w:ascii="Times New Roman;sans-serif" w:hAnsi="Times New Roman;sans-serif"/>
          <w:b w:val="false"/>
          <w:color w:val="000000"/>
          <w:sz w:val="24"/>
        </w:rPr>
        <w:t>. If any provision of this Agreement shall be held by a court to be unenforceable, such provision will be enforced to the maximum extent permissible, and the remaining portions of this Agreement shall remain in full force and effect.</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Notwithstanding any termination of your employment, this Agreement shall survive and remain in effect in accordance with its terms.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 # #</w:t>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letter agreement may be signed in one or more counterparts, each of which shall be an original and all of which will constitute one and the same instrument.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Sincerely yours,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CUMBERLAND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         By:     A.J. Kazimi</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Accepted as to all terms and conditions.</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of the 9th of March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____________</w:t>
      </w:r>
      <w:r>
        <w:rPr>
          <w:rFonts w:ascii="Times New Roman;sans-serif" w:hAnsi="Times New Roman;sans-serif"/>
          <w:b w:val="false"/>
          <w:i/>
          <w:color w:val="000000"/>
          <w:sz w:val="24"/>
          <w:u w:val="single"/>
        </w:rPr>
        <w:t>/s/ John Hamm</w:t>
      </w:r>
      <w:r>
        <w:rPr>
          <w:rFonts w:ascii="Times New Roman;sans-serif" w:hAnsi="Times New Roman;sans-serif"/>
          <w:b w:val="false"/>
          <w:color w:val="000000"/>
          <w:sz w:val="24"/>
        </w:rPr>
        <w:t>____________</w:t>
      </w:r>
    </w:p>
    <w:p>
      <w:pPr>
        <w:pStyle w:val="TextBody"/>
        <w:bidi w:val="0"/>
        <w:spacing w:lineRule="auto" w:line="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John Hamm, CFO</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A.J. Kazimi,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61" w:type="dxa"/>
        <w:jc w:val="left"/>
        <w:tblInd w:w="0" w:type="dxa"/>
        <w:tblLayout w:type="fixed"/>
        <w:tblCellMar>
          <w:top w:w="28" w:type="dxa"/>
          <w:left w:w="28" w:type="dxa"/>
          <w:bottom w:w="28" w:type="dxa"/>
          <w:right w:w="28" w:type="dxa"/>
        </w:tblCellMar>
      </w:tblPr>
      <w:tblGrid>
        <w:gridCol w:w="455"/>
        <w:gridCol w:w="401"/>
        <w:gridCol w:w="404"/>
        <w:gridCol w:w="134"/>
        <w:gridCol w:w="134"/>
        <w:gridCol w:w="136"/>
        <w:gridCol w:w="109"/>
        <w:gridCol w:w="109"/>
        <w:gridCol w:w="109"/>
        <w:gridCol w:w="604"/>
        <w:gridCol w:w="604"/>
        <w:gridCol w:w="862"/>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 Kazimi</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Hamm, certify that:</w:t>
      </w:r>
    </w:p>
    <w:tbl>
      <w:tblPr>
        <w:tblW w:w="6056" w:type="dxa"/>
        <w:jc w:val="left"/>
        <w:tblInd w:w="0" w:type="dxa"/>
        <w:tblLayout w:type="fixed"/>
        <w:tblCellMar>
          <w:top w:w="28" w:type="dxa"/>
          <w:left w:w="28" w:type="dxa"/>
          <w:bottom w:w="28" w:type="dxa"/>
          <w:right w:w="28" w:type="dxa"/>
        </w:tblCellMar>
      </w:tblPr>
      <w:tblGrid>
        <w:gridCol w:w="124"/>
        <w:gridCol w:w="109"/>
        <w:gridCol w:w="109"/>
        <w:gridCol w:w="1674"/>
        <w:gridCol w:w="1674"/>
        <w:gridCol w:w="2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Form 10-Q of Cumberland Pharmaceuticals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000" w:type="dxa"/>
        <w:jc w:val="left"/>
        <w:tblInd w:w="0" w:type="dxa"/>
        <w:tblLayout w:type="fixed"/>
        <w:tblCellMar>
          <w:top w:w="28" w:type="dxa"/>
          <w:left w:w="28" w:type="dxa"/>
          <w:bottom w:w="28" w:type="dxa"/>
          <w:right w:w="28" w:type="dxa"/>
        </w:tblCellMar>
      </w:tblPr>
      <w:tblGrid>
        <w:gridCol w:w="455"/>
        <w:gridCol w:w="401"/>
        <w:gridCol w:w="404"/>
        <w:gridCol w:w="134"/>
        <w:gridCol w:w="134"/>
        <w:gridCol w:w="136"/>
        <w:gridCol w:w="109"/>
        <w:gridCol w:w="109"/>
        <w:gridCol w:w="109"/>
        <w:gridCol w:w="588"/>
        <w:gridCol w:w="588"/>
        <w:gridCol w:w="833"/>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fiscal quarter ended March 31, 2023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tbl>
      <w:tblPr>
        <w:tblW w:w="10062" w:type="dxa"/>
        <w:jc w:val="left"/>
        <w:tblInd w:w="0" w:type="dxa"/>
        <w:tblLayout w:type="fixed"/>
        <w:tblCellMar>
          <w:top w:w="28" w:type="dxa"/>
          <w:left w:w="28" w:type="dxa"/>
          <w:bottom w:w="28" w:type="dxa"/>
          <w:right w:w="28" w:type="dxa"/>
        </w:tblCellMar>
      </w:tblPr>
      <w:tblGrid>
        <w:gridCol w:w="124"/>
        <w:gridCol w:w="109"/>
        <w:gridCol w:w="109"/>
        <w:gridCol w:w="2841"/>
        <w:gridCol w:w="2841"/>
        <w:gridCol w:w="40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7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6"/>
        <w:gridCol w:w="586"/>
        <w:gridCol w:w="832"/>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 J. Kazimi</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Hamm</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May 12, 2023</w:t>
            </w:r>
          </w:p>
        </w:tc>
      </w:tr>
    </w:tbl>
    <w:p>
      <w:pPr>
        <w:pStyle w:val="TextBody"/>
        <w:bidi w:val="0"/>
        <w:spacing w:lineRule="auto" w:line="288" w:before="0" w:after="0"/>
        <w:jc w:val="left"/>
        <w:rPr>
          <w:color w:val="000000"/>
        </w:rPr>
      </w:pPr>
      <w:r>
        <w:rPr>
          <w:color w:val="000000"/>
        </w:rPr>
        <w:t> </w:t>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27760</Words>
  <Characters>151507</Characters>
  <CharactersWithSpaces>178692</CharactersWithSpaces>
  <Paragraphs>1475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