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12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5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780" w:type="dxa"/>
            <w:vAlign w:val="bottom"/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jc w:val="center"/>
              <w:ind w:right="237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6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to Section 16. Form 4 or Form 5</w:t>
            </w:r>
          </w:p>
        </w:tc>
        <w:tc>
          <w:tcPr>
            <w:tcW w:w="1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780" w:type="dxa"/>
            <w:vAlign w:val="bottom"/>
            <w:gridSpan w:val="17"/>
            <w:vMerge w:val="restart"/>
          </w:tcPr>
          <w:p>
            <w:pPr>
              <w:jc w:val="center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ANNUAL STATEMENT OF CHANGES IN BENEFICIAL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678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760" w:type="dxa"/>
            <w:vAlign w:val="bottom"/>
            <w:gridSpan w:val="12"/>
            <w:vMerge w:val="restart"/>
          </w:tcPr>
          <w:p>
            <w:pPr>
              <w:jc w:val="center"/>
              <w:ind w:left="9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7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4 Transactions Reported.</w:t>
            </w:r>
          </w:p>
        </w:tc>
        <w:tc>
          <w:tcPr>
            <w:tcW w:w="57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or Section 30(h) of the Investment Company Act of 1940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Young Caroline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340" w:type="dxa"/>
            <w:vAlign w:val="bottom"/>
            <w:gridSpan w:val="15"/>
          </w:tcPr>
          <w:p>
            <w:pPr>
              <w:spacing w:after="0" w:line="174" w:lineRule="exact"/>
              <w:rPr>
                <w:rFonts w:ascii="Arial" w:cs="Arial" w:eastAsia="Arial" w:hAnsi="Arial"/>
                <w:sz w:val="17"/>
                <w:szCs w:val="17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7"/>
                  <w:szCs w:val="17"/>
                  <w:color w:val="0000EE"/>
                </w:rPr>
                <w:t xml:space="preserve">CUMBERLAND PHARMACEUTICALS 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(Check</w:t>
            </w:r>
            <w:r>
              <w:rPr>
                <w:rFonts w:ascii="Arial" w:cs="Arial" w:eastAsia="Arial" w:hAnsi="Arial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all applicable)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Statement for Issuer's Fiscal Year Ended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2525 WEST END AVENUE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12/31/2020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950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5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1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Issuer's Fiscal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restart"/>
          </w:tcPr>
          <w:p>
            <w:pPr>
              <w:jc w:val="right"/>
              <w:ind w:right="353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08/19/2020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80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0"/>
              </w:rPr>
              <w:t>(1)(2)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3.34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9,633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08/20/2020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3.32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9,648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08/21/2020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3.29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9,663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08/24/2020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3.31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9,678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08/25/2020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3.28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9,693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08/26/2020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3.31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9,708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08/27/2020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3.28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9,723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08/28/2020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3.24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9,738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08/31/2020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9,753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09/01/2020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3.24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9,768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09/02/2020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3.32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9,783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09/03/2020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3.35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9,798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09/04/2020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3.29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9,813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09/08/2020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9,828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09/09/2020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3.28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9,843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09/10/2020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3.34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9,858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09/11/2020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3.36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9,873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09/14/2020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3.41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9,888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09/15/2020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3.41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9,903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09/16/2020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3.39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9,918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09/17/2020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3.41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9,993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09/18/2020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3.41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9,948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09/21/2020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3.37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9,963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09/22/2020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3.36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9,978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09/23/2020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3.31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9,993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09/24/2020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09/25/2020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3.31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10,023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09/28/2020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3.27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10,038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09/29/2020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3.26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10,053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6925310</wp:posOffset>
            </wp:positionH>
            <wp:positionV relativeFrom="paragraph">
              <wp:posOffset>-10016490</wp:posOffset>
            </wp:positionV>
            <wp:extent cx="8255" cy="627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7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5619115</wp:posOffset>
            </wp:positionH>
            <wp:positionV relativeFrom="paragraph">
              <wp:posOffset>-10024745</wp:posOffset>
            </wp:positionV>
            <wp:extent cx="825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5644515</wp:posOffset>
            </wp:positionH>
            <wp:positionV relativeFrom="paragraph">
              <wp:posOffset>-9999345</wp:posOffset>
            </wp:positionV>
            <wp:extent cx="1263650" cy="5854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585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-9829800</wp:posOffset>
            </wp:positionV>
            <wp:extent cx="6963410" cy="99237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3410" cy="9923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-9829800</wp:posOffset>
            </wp:positionV>
            <wp:extent cx="6963410" cy="99237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3410" cy="9923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80"/>
          </w:cols>
          <w:pgMar w:left="460" w:top="225" w:right="459" w:bottom="0" w:gutter="0" w:footer="0" w:header="0"/>
        </w:sectPr>
      </w:pPr>
    </w:p>
    <w:bookmarkStart w:id="1" w:name="page2"/>
    <w:bookmarkEnd w:id="1"/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88900</wp:posOffset>
            </wp:positionV>
            <wp:extent cx="6963410" cy="11195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3410" cy="1119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12700</wp:posOffset>
            </wp:positionH>
            <wp:positionV relativeFrom="paragraph">
              <wp:posOffset>57785</wp:posOffset>
            </wp:positionV>
            <wp:extent cx="6946900" cy="6788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678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60" w:type="dxa"/>
            <w:vAlign w:val="bottom"/>
            <w:gridSpan w:val="5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09/30/2020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10,068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60" w:type="dxa"/>
            <w:vAlign w:val="bottom"/>
            <w:gridSpan w:val="1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5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-1981835</wp:posOffset>
            </wp:positionV>
            <wp:extent cx="7031355" cy="20269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026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purchase reported in this Form 5 were effected pursuant to a Rule 10b5-1 trading plan adopted by the reporting person during March 2020.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Filing 4 of 6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Caroline Young by /s/ Michael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02/05/2021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-27940</wp:posOffset>
            </wp:positionV>
            <wp:extent cx="135445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Bonner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-16510</wp:posOffset>
            </wp:positionV>
            <wp:extent cx="115697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5585460</wp:posOffset>
            </wp:positionH>
            <wp:positionV relativeFrom="paragraph">
              <wp:posOffset>-84455</wp:posOffset>
            </wp:positionV>
            <wp:extent cx="50228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32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87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8" Type="http://schemas.openxmlformats.org/officeDocument/2006/relationships/hyperlink" Target="http://www.sec.gov/cgi-bin/browse-edgar?action=getcompany&amp;CIK=0001684087" TargetMode="External"/><Relationship Id="rId9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2021-02-05T17:21:48Z</dcterms:created>
  <dcterms:modified xsi:type="dcterms:W3CDTF">2021-02-05T17:21:48Z</dcterms:modified>
</cp:coreProperties>
</file>