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May 16, 2023</w: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________________________________ </w:t>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FORM S-8</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REGISTRATION STATEMENT UNDER THE SECURITIES ACT OF 1933</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________________________________ </w:t>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Cumberland Pharmaceuticals Inc.</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________________________________ </w:t>
      </w:r>
    </w:p>
    <w:tbl>
      <w:tblPr>
        <w:tblW w:w="5336" w:type="dxa"/>
        <w:jc w:val="center"/>
        <w:tblInd w:w="0" w:type="dxa"/>
        <w:tblLayout w:type="fixed"/>
        <w:tblCellMar>
          <w:top w:w="28" w:type="dxa"/>
          <w:left w:w="28" w:type="dxa"/>
          <w:bottom w:w="28" w:type="dxa"/>
          <w:right w:w="28" w:type="dxa"/>
        </w:tblCellMar>
      </w:tblPr>
      <w:tblGrid>
        <w:gridCol w:w="1214"/>
        <w:gridCol w:w="1068"/>
        <w:gridCol w:w="1078"/>
        <w:gridCol w:w="109"/>
        <w:gridCol w:w="109"/>
        <w:gridCol w:w="109"/>
        <w:gridCol w:w="481"/>
        <w:gridCol w:w="481"/>
        <w:gridCol w:w="687"/>
      </w:tblGrid>
      <w:tr>
        <w:trPr/>
        <w:tc>
          <w:tcPr>
            <w:tcW w:w="121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Nashville,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37203</w:t>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________________________________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 2007 Long-Term Incentive Compensation Plan</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(Full Title of Plan)</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________________________________ </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J. Kazimi</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1600 West End Avenue, Suite 1300</w:t>
      </w:r>
    </w:p>
    <w:p>
      <w:pPr>
        <w:pStyle w:val="TextBody"/>
        <w:bidi w:val="0"/>
        <w:spacing w:lineRule="auto" w:line="268" w:before="0" w:after="0"/>
        <w:jc w:val="center"/>
        <w:rPr/>
      </w:pPr>
      <w:r>
        <w:rPr>
          <w:rFonts w:ascii="Times New Roman;sans-serif" w:hAnsi="Times New Roman;sans-serif"/>
          <w:b w:val="false"/>
          <w:color w:val="000000"/>
          <w:sz w:val="20"/>
        </w:rPr>
        <w:t>Nashville,</w:t>
      </w:r>
      <w:r>
        <w:rPr>
          <w:color w:val="000000"/>
        </w:rPr>
        <w:t xml:space="preserve"> </w:t>
      </w:r>
      <w:r>
        <w:rPr>
          <w:rFonts w:ascii="Times New Roman;sans-serif" w:hAnsi="Times New Roman;sans-serif"/>
          <w:b w:val="false"/>
          <w:color w:val="000000"/>
          <w:sz w:val="20"/>
        </w:rPr>
        <w:t>Tennessee</w:t>
      </w:r>
      <w:r>
        <w:rPr>
          <w:color w:val="000000"/>
        </w:rPr>
        <w:t xml:space="preserve"> </w:t>
      </w:r>
      <w:r>
        <w:rPr>
          <w:rFonts w:ascii="Times New Roman;sans-serif" w:hAnsi="Times New Roman;sans-serif"/>
          <w:b w:val="false"/>
          <w:color w:val="000000"/>
          <w:sz w:val="20"/>
        </w:rPr>
        <w:t>37203</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and address of agent for service)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(615) 255-0068</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number, including area code, of agent for service)</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________________________________ </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With a copy to:</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Tonya Mitchem Grindon, Esq.</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Nathanael P. Kibler, Esq.</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Baker, Donelson, Bearman, Caldwell &amp; Berkowitz, PC</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1600 West End Avenue, Suite 2000</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Nashville, TN 37203</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(615) 726-5600</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(615) 744-5607 (fax)</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________________________________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or a non-accelerated filer. See the definitions of “large accelerated filer,” “accelerated filer” and smaller reporting company in Rule 12b-2 of the Exchange Act:</w:t>
      </w:r>
    </w:p>
    <w:tbl>
      <w:tblPr>
        <w:tblW w:w="5585"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(the “Registrant”) is filing this Registration Statement on Form S-8 (this “Registration Statement”) to register an additional 750,000 shares of its common stock, no par value (the “Common Stock”), for issuance under the Registrant’s Amended and Restated 2007 Long-Term Incentive Compensation Plan (the “2007 Plan”). An amendment to increase the number of shares available to be awarded under the 2007 Plan from 2,400,000 shares to 3,150,000 shares was described in the Company’s definitive proxy statement, filed with the Securities Exchange Commission (the “SEC”) on March 15, 2023 and was approved by the Company’s shareholders on April 25, 2023. The additional shares of Common Stock under the 2007 Plan are securities of the same class as other securities for which an original registration statement on Form S-8 (File No. 333-164376) was filed with the SEC on January 15, 2010 (the “Prior Registration Statement”). Pursuant to General Instruction E to Form S-8, the contents of the Prior Registration Statement are incorporated herein by reference except to the extent supplemented, amended or superseded by the information set forth herein.</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lineRule="auto" w:line="288" w:before="80" w:after="283"/>
        <w:jc w:val="both"/>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 xml:space="preserve">Incorporation of Documents by Reference.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hereby incorporates by reference into this Registration Statement the following documents previously filed with the SEC:</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 xml:space="preserve">The contents of the Prior Registration Statement relating to the 2007 Plan filed with the SEC on </w:t>
      </w:r>
      <w:hyperlink r:id="rId2">
        <w:r>
          <w:rPr>
            <w:rStyle w:val="InternetLink"/>
          </w:rPr>
          <w:t>January 15, 2010 (File No. 333-164376)</w:t>
        </w:r>
      </w:hyperlink>
      <w:hyperlink r:id="rId3">
        <w:r>
          <w:rPr>
            <w:rStyle w:val="InternetLink"/>
          </w:rPr>
          <w:t>.</w:t>
        </w:r>
      </w:hyperlink>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 xml:space="preserve">The description of the Registrant’s Common Stock contained in its registration statement on Form 8-A filed with the SEC on </w:t>
      </w:r>
      <w:hyperlink r:id="rId4">
        <w:r>
          <w:rPr>
            <w:rStyle w:val="InternetLink"/>
            <w:rFonts w:ascii="Times New Roman;sans-serif" w:hAnsi="Times New Roman;sans-serif"/>
            <w:b w:val="false"/>
            <w:color w:val="0000FF"/>
            <w:sz w:val="20"/>
            <w:u w:val="single"/>
          </w:rPr>
          <w:t>August 1, 2007 (File No. 001-33637)</w:t>
        </w:r>
      </w:hyperlink>
      <w:r>
        <w:rPr>
          <w:rFonts w:ascii="Times New Roman;sans-serif" w:hAnsi="Times New Roman;sans-serif"/>
          <w:b w:val="false"/>
          <w:color w:val="000000"/>
          <w:sz w:val="20"/>
        </w:rPr>
        <w:t>, and any amendment or report subsequently filed for the purpose of updating such description.</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(3) The Registrant’s Annual Report on Form 10-K (File No. 001-33637) for the year ended December 31, 2022, filed with the SEC on </w:t>
      </w:r>
      <w:hyperlink r:id="rId5">
        <w:r>
          <w:rPr>
            <w:rStyle w:val="InternetLink"/>
            <w:rFonts w:ascii="Times New Roman;sans-serif" w:hAnsi="Times New Roman;sans-serif"/>
            <w:b w:val="false"/>
            <w:color w:val="0000FF"/>
            <w:sz w:val="20"/>
            <w:u w:val="single"/>
          </w:rPr>
          <w:t>March 13, 2023</w:t>
        </w:r>
      </w:hyperlink>
      <w:r>
        <w:rPr>
          <w:rFonts w:ascii="Times New Roman;sans-serif" w:hAnsi="Times New Roman;sans-serif"/>
          <w:b w:val="false"/>
          <w:color w:val="000000"/>
          <w:sz w:val="20"/>
        </w:rPr>
        <w: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 xml:space="preserve">The information specifically incorporated by reference into the Registrant’s Annual Report on Form 10-K for the year ended December 31, 2022 from its definitive proxy statement on Schedule 14A (File No. 001-33637) for the 2023 Annual Meeting of Stockholders, filed with the SEC on </w:t>
      </w:r>
      <w:hyperlink r:id="rId6">
        <w:r>
          <w:rPr>
            <w:rStyle w:val="InternetLink"/>
            <w:rFonts w:ascii="Times New Roman;sans-serif" w:hAnsi="Times New Roman;sans-serif"/>
            <w:b w:val="false"/>
            <w:color w:val="0000FF"/>
            <w:sz w:val="20"/>
            <w:u w:val="single"/>
          </w:rPr>
          <w:t>March 15, 2023</w:t>
        </w:r>
      </w:hyperlink>
      <w:r>
        <w:rPr>
          <w:rFonts w:ascii="Times New Roman;sans-serif" w:hAnsi="Times New Roman;sans-serif"/>
          <w:b w:val="false"/>
          <w:color w:val="000000"/>
          <w:sz w:val="20"/>
        </w:rPr>
        <w: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 xml:space="preserve">The Registrant’s Quarterly Report on Form 10-Q (File No. 001-33637) for the quarter ended March 31, 2023, filed with the SEC on </w:t>
      </w:r>
      <w:hyperlink r:id="rId7">
        <w:r>
          <w:rPr>
            <w:rStyle w:val="InternetLink"/>
            <w:rFonts w:ascii="Times New Roman;sans-serif" w:hAnsi="Times New Roman;sans-serif"/>
            <w:b w:val="false"/>
            <w:color w:val="0000FF"/>
            <w:sz w:val="20"/>
            <w:u w:val="single"/>
          </w:rPr>
          <w:t>May 12, 2023</w:t>
        </w:r>
      </w:hyperlink>
      <w:r>
        <w:rPr>
          <w:rFonts w:ascii="Times New Roman;sans-serif" w:hAnsi="Times New Roman;sans-serif"/>
          <w:b w:val="false"/>
          <w:color w:val="000000"/>
          <w:sz w:val="20"/>
        </w:rPr>
        <w: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(6)</w:t>
      </w:r>
      <w:r>
        <w:rPr>
          <w:color w:val="000000"/>
        </w:rPr>
        <w:t xml:space="preserve"> </w:t>
      </w:r>
      <w:r>
        <w:rPr>
          <w:rFonts w:ascii="Times New Roman;sans-serif" w:hAnsi="Times New Roman;sans-serif"/>
          <w:b w:val="false"/>
          <w:color w:val="000000"/>
          <w:sz w:val="20"/>
        </w:rPr>
        <w:t xml:space="preserve">The Registrant’s Current Reports on Form 8-K (File No. 001-33637), filed with the SEC, excluding the items furnished as exhibits to such reports, on </w:t>
      </w:r>
      <w:hyperlink r:id="rId8">
        <w:r>
          <w:rPr>
            <w:rStyle w:val="InternetLink"/>
            <w:rFonts w:ascii="Times New Roman;sans-serif" w:hAnsi="Times New Roman;sans-serif"/>
            <w:b w:val="false"/>
            <w:color w:val="0000FF"/>
            <w:sz w:val="20"/>
            <w:u w:val="single"/>
          </w:rPr>
          <w:t>January 17, 2023</w:t>
        </w:r>
      </w:hyperlink>
      <w:r>
        <w:rPr>
          <w:rFonts w:ascii="Times New Roman;sans-serif" w:hAnsi="Times New Roman;sans-serif"/>
          <w:b w:val="false"/>
          <w:color w:val="000000"/>
          <w:sz w:val="20"/>
        </w:rPr>
        <w:t xml:space="preserve">, </w:t>
      </w:r>
      <w:hyperlink r:id="rId9">
        <w:r>
          <w:rPr>
            <w:rStyle w:val="InternetLink"/>
            <w:rFonts w:ascii="Times New Roman;sans-serif" w:hAnsi="Times New Roman;sans-serif"/>
            <w:b w:val="false"/>
            <w:color w:val="0000FF"/>
            <w:sz w:val="20"/>
            <w:u w:val="single"/>
          </w:rPr>
          <w:t>March 15, 2023</w:t>
        </w:r>
      </w:hyperlink>
      <w:r>
        <w:rPr>
          <w:rFonts w:ascii="Times New Roman;sans-serif" w:hAnsi="Times New Roman;sans-serif"/>
          <w:b w:val="false"/>
          <w:color w:val="000000"/>
          <w:sz w:val="20"/>
        </w:rPr>
        <w:t xml:space="preserve">, </w:t>
      </w:r>
      <w:hyperlink r:id="rId10">
        <w:r>
          <w:rPr>
            <w:rStyle w:val="InternetLink"/>
            <w:rFonts w:ascii="Times New Roman;sans-serif" w:hAnsi="Times New Roman;sans-serif"/>
            <w:b w:val="false"/>
            <w:color w:val="0000FF"/>
            <w:sz w:val="20"/>
            <w:u w:val="single"/>
          </w:rPr>
          <w:t>April 4, 2023</w:t>
        </w:r>
      </w:hyperlink>
      <w:r>
        <w:rPr>
          <w:rFonts w:ascii="Times New Roman;sans-serif" w:hAnsi="Times New Roman;sans-serif"/>
          <w:b w:val="false"/>
          <w:color w:val="000000"/>
          <w:sz w:val="20"/>
        </w:rPr>
        <w:t xml:space="preserve">, </w:t>
      </w:r>
      <w:hyperlink r:id="rId11">
        <w:r>
          <w:rPr>
            <w:rStyle w:val="InternetLink"/>
            <w:rFonts w:ascii="Times New Roman;sans-serif" w:hAnsi="Times New Roman;sans-serif"/>
            <w:b w:val="false"/>
            <w:color w:val="0000FF"/>
            <w:sz w:val="20"/>
            <w:u w:val="single"/>
          </w:rPr>
          <w:t>April 17, 2023</w:t>
        </w:r>
      </w:hyperlink>
      <w:r>
        <w:rPr>
          <w:color w:val="000000"/>
        </w:rPr>
        <w:t xml:space="preserve"> </w:t>
      </w:r>
      <w:r>
        <w:rPr>
          <w:rFonts w:ascii="Times New Roman;sans-serif" w:hAnsi="Times New Roman;sans-serif"/>
          <w:b w:val="false"/>
          <w:color w:val="000000"/>
          <w:sz w:val="20"/>
        </w:rPr>
        <w:t xml:space="preserve">and </w:t>
      </w:r>
      <w:hyperlink r:id="rId12">
        <w:r>
          <w:rPr>
            <w:rStyle w:val="InternetLink"/>
            <w:rFonts w:ascii="Times New Roman;sans-serif" w:hAnsi="Times New Roman;sans-serif"/>
            <w:b w:val="false"/>
            <w:color w:val="0000FF"/>
            <w:sz w:val="20"/>
            <w:u w:val="single"/>
          </w:rPr>
          <w:t>April 28, 2023</w:t>
        </w:r>
      </w:hyperlink>
      <w:r>
        <w:rPr>
          <w:rFonts w:ascii="Times New Roman;sans-serif" w:hAnsi="Times New Roman;sans-serif"/>
          <w:b w:val="false"/>
          <w:color w:val="000000"/>
          <w:sz w:val="20"/>
        </w:rPr>
        <w:t>.</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documents that the Registrant subsequently files pursuant to Sections 13(a), 13(c), 14 and 15(d) of the Securities Exchange Act of 1934, as amended, after the date of this Registration Statement (except for any portions of the Registrant’s Current Reports on Form 8-K furnished pursuant to Item 2.02 or Item 7.01 thereof and any corresponding exhibits thereto not filed with the SEC),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 xml:space="preserve">Indemnification of Directors and Officers.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Tennessee Business Corporation Act (“TBCA”), a corporation shall indemnify a director or officer against reasonable expenses incurred in connection with the proceeding to the extent the director or officer has been wholly successful, on the merits or otherwise, in the defense of any proceeding to which the director or officer was a party because he or she is or was a director or officer of the corporation.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TBCA provides that a corporation may indemnify any of its directors and officers against liability incurred in connection with a proceeding if (a) such person acted in good faith; (b) in the case of conduct in an official capacity with the corporation, such person reasonably believed such conduct was in the corporation's best interests; (c) in all other cases, such person reasonably believed that his or her conduct was at least not opposed to the best interests of the corporation; and (d) in connection with any criminal proceeding, such person had no reasonable cause to believe his or her conduct was unlawful.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TCBA, a Tennessee business corporation may not eliminate or limit director monetary liability for (i) breaches of the director's duty of loyalty to the corporation or its shareholders; (ii) acts or omissions not in good faith or involving intentional misconduct or a knowing violation of law; or (iii) unlawful distributions to shareholders.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actions brought by or in the right of the corporation, however, the TBCA provides that no indemnification may be made if the director or officer was adjudged to be liable to the corporation. The TBCA also provides that in connection with any proceeding charging improper personal benefit to an officer or director, no indemnification may be made if such officer or director is adjudged liable on the basis that such personal benefit was improperly received.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Second Amended and Restated Bylaws include an indemnification provision under which the Registrant has the power to indemnify its directors, officers and former officers and directors (including heirs and personal representatives) against all costs, charges and expenses actually and reasonably incurred, including an amount paid to settle an action or satisfy a judgment to which the director or officer is made a party by reason of being or having been a director or officer of the Registrant or any of our subsidiaries.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Second Amended and Restated Bylaws also provide that the Registrant has the power to purchase and maintain insurance for the benefit of a person who is or was serving as a director, officer, employee or agent of the Registrant or any of our subsidiaries (including heirs and personal representatives) against a liability incurred by him or her as the Registrant’s director, officer, employee or agent.</w:t>
      </w:r>
    </w:p>
    <w:p>
      <w:pPr>
        <w:pStyle w:val="TextBody"/>
        <w:bidi w:val="0"/>
        <w:spacing w:before="160" w:after="283"/>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8. Exhibits.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list of exhibits filed with this Registration Statement or incorporated by reference is set forth in the Exhibit Index hereto and is incorporated herein by reference.</w:t>
      </w:r>
    </w:p>
    <w:tbl>
      <w:tblPr>
        <w:tblW w:w="10205" w:type="dxa"/>
        <w:jc w:val="left"/>
        <w:tblInd w:w="0" w:type="dxa"/>
        <w:tblLayout w:type="fixed"/>
        <w:tblCellMar>
          <w:top w:w="28" w:type="dxa"/>
          <w:left w:w="28" w:type="dxa"/>
          <w:bottom w:w="28" w:type="dxa"/>
          <w:right w:w="28" w:type="dxa"/>
        </w:tblCellMar>
      </w:tblPr>
      <w:tblGrid>
        <w:gridCol w:w="560"/>
        <w:gridCol w:w="492"/>
        <w:gridCol w:w="492"/>
        <w:gridCol w:w="492"/>
        <w:gridCol w:w="492"/>
        <w:gridCol w:w="492"/>
        <w:gridCol w:w="2094"/>
        <w:gridCol w:w="2094"/>
        <w:gridCol w:w="2997"/>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68" w:before="0" w:after="0"/>
              <w:ind w:left="0" w:right="0" w:firstLine="3520"/>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Exhibit</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3">
              <w:r>
                <w:rPr>
                  <w:rStyle w:val="InternetLink"/>
                  <w:rFonts w:ascii="Times New Roman;sans-serif" w:hAnsi="Times New Roman;sans-serif"/>
                  <w:b w:val="false"/>
                  <w:color w:val="0000FF"/>
                  <w:sz w:val="20"/>
                </w:rPr>
                <w:t>Third Amended and Restated Charter of Cumberland Pharmaceuticals Inc., incorporated herein by reference to Exhibit 3.1 of Amendment No. 19 of the Registrant’s Registration Statement on Form S-1 (File No. 333-142535) as filed with the SEC on July 17, 2009</w:t>
              </w:r>
            </w:hyperlink>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4">
              <w:r>
                <w:rPr>
                  <w:rStyle w:val="InternetLink"/>
                  <w:rFonts w:ascii="Times New Roman;sans-serif" w:hAnsi="Times New Roman;sans-serif"/>
                  <w:b w:val="false"/>
                  <w:color w:val="0000FF"/>
                  <w:sz w:val="20"/>
                </w:rPr>
                <w:t>Second Amended and Restated Bylaws of Cumberland Pharmaceuticals Inc., incorporated herein by reference to Exhibit 3.2 of Amendment No. 19 of the Registrant’s Registration Statement on Form S-1 (File No. 333-142535) as filed with the SEC on July 17, 2009</w:t>
              </w:r>
            </w:hyperlink>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5">
              <w:r>
                <w:rPr>
                  <w:rStyle w:val="InternetLink"/>
                  <w:rFonts w:ascii="Times New Roman;sans-serif" w:hAnsi="Times New Roman;sans-serif"/>
                  <w:b w:val="false"/>
                  <w:color w:val="0000FF"/>
                  <w:sz w:val="20"/>
                </w:rPr>
                <w:t>Specimen Common Stock Certificate of Cumberland Pharmaceuticals Inc., incorporated herein by reference to Exhibit 4.1 of Amendment No. 5 of the Registrant’s Registration Statement on Form S-1 (File No. 333-142535) as filed with the SEC on August 6, 2007</w:t>
              </w:r>
            </w:hyperlink>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6">
              <w:r>
                <w:rPr>
                  <w:rStyle w:val="InternetLink"/>
                  <w:rFonts w:ascii="Times New Roman;sans-serif" w:hAnsi="Times New Roman;sans-serif"/>
                  <w:b w:val="false"/>
                  <w:color w:val="0000FF"/>
                  <w:sz w:val="20"/>
                </w:rPr>
                <w:t>Preferred Stock Terms, Rights, and Provisions, incorporated herein by reference to Exhibit 4.2 of the Registrant's Registration Statement Form S-3 (File No. 333-221402) as filed with the SEC on December 19, 2017</w:t>
              </w:r>
            </w:hyperlink>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5"/>
        <w:gridCol w:w="162"/>
        <w:gridCol w:w="167"/>
        <w:gridCol w:w="109"/>
        <w:gridCol w:w="109"/>
        <w:gridCol w:w="109"/>
        <w:gridCol w:w="2743"/>
        <w:gridCol w:w="2743"/>
        <w:gridCol w:w="387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7">
              <w:r>
                <w:rPr>
                  <w:rStyle w:val="InternetLink"/>
                  <w:rFonts w:ascii="Times New Roman;sans-serif" w:hAnsi="Times New Roman;sans-serif"/>
                  <w:b w:val="false"/>
                  <w:color w:val="0000FF"/>
                  <w:sz w:val="20"/>
                </w:rPr>
                <w:t>Amended and Restated 2007 Long-Term Incentive Compensation Plan of Cumberland Pharmaceuticals Inc., incorporated herein by reference to Appendix A of the Registrant’s Schedule 14A as filed with the SEC on March 12, 2012 and approved by the Registrant's shareholders on April 17, 2012</w:t>
              </w:r>
            </w:hyperlink>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8">
              <w:r>
                <w:rPr>
                  <w:rStyle w:val="InternetLink"/>
                  <w:rFonts w:ascii="Times New Roman;sans-serif" w:hAnsi="Times New Roman;sans-serif"/>
                  <w:b w:val="false"/>
                  <w:color w:val="0000FF"/>
                  <w:sz w:val="20"/>
                </w:rPr>
                <w:t>Amendment Number 1 to the Amended and Restated 2007 Long-Term Incentive Compensation Plan, incorporated herein by reference to Appendix A of the Registrant’s Schedule 14A as filed with the SEC on March 16, 2017 and approved by the Registrant's shareholders on April 25, 2017</w:t>
              </w:r>
            </w:hyperlink>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9">
              <w:r>
                <w:rPr>
                  <w:rStyle w:val="InternetLink"/>
                  <w:rFonts w:ascii="Times New Roman;sans-serif" w:hAnsi="Times New Roman;sans-serif"/>
                  <w:b w:val="false"/>
                  <w:color w:val="0000FF"/>
                  <w:sz w:val="20"/>
                </w:rPr>
                <w:t>Amendment Number 2 to the Amended and Restated 2007 Long-Term Incentive Plan, incorporated herein by reference to Exhibit 10.1 of the Registrant’s Quarterly Report on Form 10-Q (File No. 001-33637) as filed with the SEC on August 14, 2020 and approved by the Registrant’s shareholders on May 5, 2020</w:t>
              </w:r>
            </w:hyperlink>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0">
              <w:r>
                <w:rPr>
                  <w:rStyle w:val="InternetLink"/>
                  <w:rFonts w:ascii="Times New Roman;sans-serif" w:hAnsi="Times New Roman;sans-serif"/>
                  <w:b w:val="false"/>
                  <w:color w:val="0000FF"/>
                  <w:sz w:val="20"/>
                </w:rPr>
                <w:t>Amendment Number 3 to the Amended and Restated 2007 Long-Term Incentive Compensation Plan, incorporated herein by reference to Appendix A of the Registrant’s Schedule 14A as filed with the SEC on March 15, 2023 and approved by the Registrant's shareholders on April 25, 2023</w:t>
              </w:r>
            </w:hyperlink>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51opinion-may2023.htm">
              <w:r>
                <w:rPr>
                  <w:rStyle w:val="InternetLink"/>
                  <w:rFonts w:ascii="Times New Roman;sans-serif" w:hAnsi="Times New Roman;sans-serif"/>
                  <w:b w:val="false"/>
                  <w:color w:val="000000"/>
                  <w:sz w:val="20"/>
                </w:rPr>
                <w:t>Legal Opinion of Baker, Donelson, Bearman, Caldwell &amp; Berkowitz, PC</w:t>
              </w:r>
            </w:hyperlink>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231toforms-8xmay2023.htm">
              <w:r>
                <w:rPr>
                  <w:rStyle w:val="InternetLink"/>
                  <w:rFonts w:ascii="Times New Roman;sans-serif" w:hAnsi="Times New Roman;sans-serif"/>
                  <w:b w:val="false"/>
                  <w:color w:val="000000"/>
                  <w:sz w:val="20"/>
                </w:rPr>
                <w:t>Consent of Independent Registered Public Accounting Firm, FORVIS, LLP</w:t>
              </w:r>
            </w:hyperlink>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Consent of Baker, Donelson, Bearman, Caldwell &amp; Berkowitz, PC (included as part of Exhibit 5.1)</w:t>
            </w:r>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as part of the signature page hereto)</w:t>
            </w:r>
          </w:p>
        </w:tc>
      </w:tr>
      <w:tr>
        <w:trPr/>
        <w:tc>
          <w:tcPr>
            <w:tcW w:w="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107filingfeetableto.htm">
              <w:r>
                <w:rPr>
                  <w:rStyle w:val="InternetLink"/>
                  <w:rFonts w:ascii="Times New Roman;sans-serif" w:hAnsi="Times New Roman;sans-serif"/>
                  <w:b w:val="false"/>
                  <w:color w:val="000000"/>
                  <w:sz w:val="20"/>
                </w:rPr>
                <w:t>Filing Fee Table</w:t>
              </w:r>
            </w:hyperlink>
          </w:p>
        </w:tc>
      </w:tr>
    </w:tbl>
    <w:p>
      <w:pPr>
        <w:pStyle w:val="TextBody"/>
        <w:bidi w:val="0"/>
        <w:spacing w:lineRule="auto" w:line="31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the registrant certifies that it has reasonable grounds to believe that it meets the requirements for filing on Form S-8 and has duly caused this registration statement to be signed on its behalf by the undersigned, thereunto duly authorized, in the City of Nashville, State of Tennessee, on May 16, 2023.</w:t>
      </w:r>
    </w:p>
    <w:p>
      <w:pPr>
        <w:pStyle w:val="TextBody"/>
        <w:bidi w:val="0"/>
        <w:spacing w:lineRule="auto" w:line="288" w:before="80" w:after="283"/>
        <w:ind w:left="0" w:right="0" w:firstLine="4590"/>
        <w:jc w:val="right"/>
        <w:rPr>
          <w:rFonts w:ascii="Times New Roman;sans-serif" w:hAnsi="Times New Roman;sans-serif"/>
          <w:b/>
          <w:color w:val="000000"/>
          <w:sz w:val="20"/>
        </w:rPr>
      </w:pPr>
      <w:r>
        <w:rPr>
          <w:rFonts w:ascii="Times New Roman;sans-serif" w:hAnsi="Times New Roman;sans-serif"/>
          <w:b/>
          <w:color w:val="000000"/>
          <w:sz w:val="20"/>
        </w:rPr>
        <w:t>CUMBERLAND PHARMACEUTICALS INC.</w:t>
      </w:r>
    </w:p>
    <w:tbl>
      <w:tblPr>
        <w:tblW w:w="3509" w:type="dxa"/>
        <w:jc w:val="right"/>
        <w:tblInd w:w="0" w:type="dxa"/>
        <w:tblLayout w:type="fixed"/>
        <w:tblCellMar>
          <w:top w:w="28" w:type="dxa"/>
          <w:left w:w="28" w:type="dxa"/>
          <w:bottom w:w="28" w:type="dxa"/>
          <w:right w:w="28" w:type="dxa"/>
        </w:tblCellMar>
      </w:tblPr>
      <w:tblGrid>
        <w:gridCol w:w="276"/>
        <w:gridCol w:w="242"/>
        <w:gridCol w:w="247"/>
        <w:gridCol w:w="803"/>
        <w:gridCol w:w="803"/>
        <w:gridCol w:w="1138"/>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ind w:left="0" w:right="0" w:hanging="111"/>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11"/>
              <w:jc w:val="both"/>
              <w:rPr>
                <w:color w:val="000000"/>
              </w:rPr>
            </w:pPr>
            <w:r>
              <w:rPr>
                <w:color w:val="000000"/>
              </w:rPr>
              <w:t>  </w:t>
            </w:r>
            <w:r>
              <w:rPr>
                <w:rFonts w:ascii="Times New Roman;sans-serif" w:hAnsi="Times New Roman;sans-serif"/>
                <w:b w:val="false"/>
                <w:color w:val="000000"/>
                <w:sz w:val="20"/>
              </w:rPr>
              <w:t>By:</w:t>
            </w:r>
          </w:p>
        </w:tc>
        <w:tc>
          <w:tcPr>
            <w:tcW w:w="2744"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11"/>
              <w:jc w:val="both"/>
              <w:rPr>
                <w:color w:val="000000"/>
              </w:rPr>
            </w:pPr>
            <w:r>
              <w:rPr>
                <w:color w:val="000000"/>
              </w:rPr>
              <w:t>    </w:t>
            </w:r>
            <w:r>
              <w:rPr>
                <w:rFonts w:ascii="Times New Roman;sans-serif" w:hAnsi="Times New Roman;sans-serif"/>
                <w:b w:val="false"/>
                <w:color w:val="000000"/>
                <w:sz w:val="20"/>
              </w:rPr>
              <w:t>/s/ A. J. Kazimi</w:t>
            </w:r>
          </w:p>
        </w:tc>
      </w:tr>
      <w:tr>
        <w:trPr/>
        <w:tc>
          <w:tcPr>
            <w:tcW w:w="765"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11"/>
              <w:jc w:val="both"/>
              <w:rPr>
                <w:color w:val="000000"/>
              </w:rPr>
            </w:pPr>
            <w:r>
              <w:rPr>
                <w:color w:val="000000"/>
              </w:rPr>
              <w:t>  </w:t>
            </w:r>
            <w:r>
              <w:rPr>
                <w:rFonts w:ascii="Times New Roman;sans-serif" w:hAnsi="Times New Roman;sans-serif"/>
                <w:b w:val="false"/>
                <w:color w:val="000000"/>
                <w:sz w:val="20"/>
              </w:rPr>
              <w:t>Name:</w:t>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hanging="111"/>
              <w:jc w:val="both"/>
              <w:rPr>
                <w:color w:val="000000"/>
              </w:rPr>
            </w:pPr>
            <w:r>
              <w:rPr>
                <w:color w:val="000000"/>
              </w:rPr>
              <w:t>    </w:t>
            </w:r>
            <w:r>
              <w:rPr>
                <w:rFonts w:ascii="Times New Roman;sans-serif" w:hAnsi="Times New Roman;sans-serif"/>
                <w:b w:val="false"/>
                <w:color w:val="000000"/>
                <w:sz w:val="20"/>
              </w:rPr>
              <w:t>A. J. Kazimi</w:t>
            </w:r>
          </w:p>
        </w:tc>
      </w:tr>
      <w:tr>
        <w:trPr/>
        <w:tc>
          <w:tcPr>
            <w:tcW w:w="765"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11"/>
              <w:jc w:val="both"/>
              <w:rPr>
                <w:color w:val="000000"/>
              </w:rPr>
            </w:pPr>
            <w:r>
              <w:rPr>
                <w:color w:val="000000"/>
              </w:rPr>
              <w:t>  </w:t>
            </w:r>
            <w:r>
              <w:rPr>
                <w:rFonts w:ascii="Times New Roman;sans-serif" w:hAnsi="Times New Roman;sans-serif"/>
                <w:b w:val="false"/>
                <w:color w:val="000000"/>
                <w:sz w:val="20"/>
              </w:rPr>
              <w:t>Title:</w:t>
            </w:r>
          </w:p>
        </w:tc>
        <w:tc>
          <w:tcPr>
            <w:tcW w:w="2744"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    </w:t>
            </w:r>
            <w:r>
              <w:rPr>
                <w:rFonts w:ascii="Times New Roman;sans-serif" w:hAnsi="Times New Roman;sans-serif"/>
                <w:b w:val="false"/>
                <w:color w:val="000000"/>
                <w:sz w:val="20"/>
              </w:rPr>
              <w:t>Chief Executive Officer</w:t>
            </w:r>
          </w:p>
        </w:tc>
      </w:tr>
      <w:tr>
        <w:trPr/>
        <w:tc>
          <w:tcPr>
            <w:tcW w:w="765" w:type="dxa"/>
            <w:gridSpan w:val="3"/>
            <w:tcBorders/>
            <w:tcMar>
              <w:top w:w="0" w:type="dxa"/>
              <w:left w:w="0" w:type="dxa"/>
              <w:bottom w:w="0" w:type="dxa"/>
              <w:right w:w="0" w:type="dxa"/>
            </w:tcMar>
            <w:vAlign w:val="center"/>
          </w:tcPr>
          <w:p>
            <w:pPr>
              <w:pStyle w:val="TableContents"/>
              <w:bidi w:val="0"/>
              <w:spacing w:before="0" w:after="283"/>
              <w:ind w:left="0" w:right="0" w:hanging="111"/>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    </w:t>
            </w:r>
            <w:r>
              <w:rPr>
                <w:rFonts w:ascii="Times New Roman;sans-serif" w:hAnsi="Times New Roman;sans-serif"/>
                <w:b w:val="false"/>
                <w:i/>
                <w:color w:val="000000"/>
                <w:sz w:val="20"/>
              </w:rPr>
              <w:t>(Principal Executive Officer)</w:t>
            </w:r>
          </w:p>
        </w:tc>
      </w:tr>
    </w:tbl>
    <w:p>
      <w:pPr>
        <w:pStyle w:val="TextBody"/>
        <w:bidi w:val="0"/>
        <w:spacing w:lineRule="auto" w:line="288" w:before="160" w:after="283"/>
        <w:ind w:left="0" w:right="0" w:firstLine="459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each person whose signature appears below hereby constitutes and appoints A. J. Kazimi his or her true and lawful attorney-in-fact and agent, with full power of substitution and resubstitution, for him or her and in his or her name, place and stead, in any and all capacities, to sign any and all amendments and post-effective amendments to this Registration Statement and any registration statement filed pursuant to Rule 462(b) under the Securities Act of 1933, as amended, and to file the same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substitute or substitutes, may lawfully do or cause to be done by virtue hereof.</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by the following persons in the capacities and on the date indicated.</w:t>
      </w:r>
    </w:p>
    <w:tbl>
      <w:tblPr>
        <w:tblW w:w="7583" w:type="dxa"/>
        <w:jc w:val="left"/>
        <w:tblInd w:w="0" w:type="dxa"/>
        <w:tblLayout w:type="fixed"/>
        <w:tblCellMar>
          <w:top w:w="28" w:type="dxa"/>
          <w:left w:w="28" w:type="dxa"/>
          <w:bottom w:w="28" w:type="dxa"/>
          <w:right w:w="28" w:type="dxa"/>
        </w:tblCellMar>
      </w:tblPr>
      <w:tblGrid>
        <w:gridCol w:w="753"/>
        <w:gridCol w:w="664"/>
        <w:gridCol w:w="668"/>
        <w:gridCol w:w="109"/>
        <w:gridCol w:w="109"/>
        <w:gridCol w:w="109"/>
        <w:gridCol w:w="1179"/>
        <w:gridCol w:w="1179"/>
        <w:gridCol w:w="1196"/>
        <w:gridCol w:w="109"/>
        <w:gridCol w:w="109"/>
        <w:gridCol w:w="109"/>
        <w:gridCol w:w="377"/>
        <w:gridCol w:w="377"/>
        <w:gridCol w:w="536"/>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Director and 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(Principal Financial and</w:t>
            </w:r>
            <w:r>
              <w:rPr>
                <w:color w:val="000000"/>
              </w:rPr>
              <w:t xml:space="preserve">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1617" w:type="dxa"/>
            <w:gridSpan w:val="6"/>
            <w:tcBorders/>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Caroline R.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Caroline R. Young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16,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60"/>
        <w:jc w:val="right"/>
        <w:rPr>
          <w:rFonts w:ascii="Times New Roman;sans-serif" w:hAnsi="Times New Roman;sans-serif"/>
          <w:b/>
          <w:color w:val="000000"/>
          <w:sz w:val="20"/>
        </w:rPr>
      </w:pPr>
      <w:r>
        <w:rPr>
          <w:rFonts w:ascii="Times New Roman;sans-serif" w:hAnsi="Times New Roman;sans-serif"/>
          <w:b/>
          <w:color w:val="000000"/>
          <w:sz w:val="20"/>
        </w:rPr>
        <w:br/>
        <w:t>Exhibit 107</w:t>
      </w:r>
    </w:p>
    <w:p>
      <w:pPr>
        <w:pStyle w:val="TextBody"/>
        <w:bidi w:val="0"/>
        <w:spacing w:before="0" w:after="16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 Type)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before="0" w:after="0"/>
        <w:jc w:val="center"/>
        <w:rPr/>
      </w:pPr>
      <w:r>
        <w:rPr/>
      </w:r>
    </w:p>
    <w:p>
      <w:pPr>
        <w:pStyle w:val="TextBody"/>
        <w:bidi w:val="0"/>
        <w:spacing w:lineRule="auto" w:line="240" w:before="0" w:after="0"/>
        <w:jc w:val="center"/>
        <w:rPr/>
      </w:pPr>
      <w:r>
        <w:rPr>
          <w:rFonts w:ascii="Times New Roman;sans-serif" w:hAnsi="Times New Roman;sans-serif"/>
          <w:b w:val="false"/>
          <w:color w:val="000000"/>
          <w:sz w:val="18"/>
        </w:rPr>
        <w:t>Newly</w:t>
      </w:r>
      <w:r>
        <w:rPr>
          <w:color w:val="000000"/>
        </w:rPr>
        <w:t> </w:t>
      </w:r>
      <w:r>
        <w:rPr>
          <w:rFonts w:ascii="Times New Roman;sans-serif" w:hAnsi="Times New Roman;sans-serif"/>
          <w:b w:val="false"/>
          <w:color w:val="000000"/>
          <w:sz w:val="20"/>
        </w:rPr>
        <w:t>Registered Securities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5"/>
        <w:gridCol w:w="225"/>
        <w:gridCol w:w="225"/>
        <w:gridCol w:w="225"/>
        <w:gridCol w:w="201"/>
        <w:gridCol w:w="161"/>
        <w:gridCol w:w="161"/>
        <w:gridCol w:w="161"/>
        <w:gridCol w:w="161"/>
        <w:gridCol w:w="113"/>
        <w:gridCol w:w="113"/>
        <w:gridCol w:w="113"/>
        <w:gridCol w:w="113"/>
        <w:gridCol w:w="113"/>
        <w:gridCol w:w="113"/>
        <w:gridCol w:w="113"/>
        <w:gridCol w:w="113"/>
        <w:gridCol w:w="114"/>
        <w:gridCol w:w="112"/>
        <w:gridCol w:w="112"/>
        <w:gridCol w:w="112"/>
        <w:gridCol w:w="112"/>
        <w:gridCol w:w="112"/>
        <w:gridCol w:w="112"/>
        <w:gridCol w:w="112"/>
        <w:gridCol w:w="112"/>
        <w:gridCol w:w="112"/>
        <w:gridCol w:w="121"/>
        <w:gridCol w:w="121"/>
        <w:gridCol w:w="121"/>
        <w:gridCol w:w="121"/>
        <w:gridCol w:w="121"/>
        <w:gridCol w:w="121"/>
        <w:gridCol w:w="121"/>
        <w:gridCol w:w="121"/>
        <w:gridCol w:w="121"/>
        <w:gridCol w:w="170"/>
        <w:gridCol w:w="117"/>
        <w:gridCol w:w="117"/>
        <w:gridCol w:w="117"/>
        <w:gridCol w:w="117"/>
        <w:gridCol w:w="117"/>
        <w:gridCol w:w="117"/>
        <w:gridCol w:w="117"/>
        <w:gridCol w:w="117"/>
        <w:gridCol w:w="121"/>
        <w:gridCol w:w="121"/>
        <w:gridCol w:w="121"/>
        <w:gridCol w:w="121"/>
        <w:gridCol w:w="121"/>
        <w:gridCol w:w="121"/>
        <w:gridCol w:w="121"/>
        <w:gridCol w:w="121"/>
        <w:gridCol w:w="128"/>
        <w:gridCol w:w="1099"/>
        <w:gridCol w:w="327"/>
        <w:gridCol w:w="327"/>
        <w:gridCol w:w="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Security Type</w:t>
            </w:r>
          </w:p>
        </w:tc>
        <w:tc>
          <w:tcPr>
            <w:tcW w:w="1745"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Security Class Title</w:t>
            </w:r>
          </w:p>
        </w:tc>
        <w:tc>
          <w:tcPr>
            <w:tcW w:w="1018"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Fee Calculation Rule</w:t>
            </w:r>
          </w:p>
        </w:tc>
        <w:tc>
          <w:tcPr>
            <w:tcW w:w="1008"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100"/>
              <w:jc w:val="center"/>
              <w:rPr/>
            </w:pPr>
            <w:r>
              <w:rPr>
                <w:rFonts w:ascii="Times New Roman;sans-serif" w:hAnsi="Times New Roman;sans-serif"/>
                <w:b/>
                <w:color w:val="000000"/>
                <w:sz w:val="18"/>
              </w:rPr>
              <w:t>Amount Registered</w:t>
            </w:r>
            <w:r>
              <w:rPr>
                <w:rFonts w:ascii="Times New Roman;sans-serif" w:hAnsi="Times New Roman;sans-serif"/>
                <w:b/>
                <w:color w:val="000000"/>
                <w:sz w:val="12"/>
              </w:rPr>
              <w:t>(1)</w:t>
            </w:r>
          </w:p>
        </w:tc>
        <w:tc>
          <w:tcPr>
            <w:tcW w:w="1089"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100"/>
              <w:jc w:val="center"/>
              <w:rPr/>
            </w:pPr>
            <w:r>
              <w:rPr>
                <w:rFonts w:ascii="Times New Roman;sans-serif" w:hAnsi="Times New Roman;sans-serif"/>
                <w:b/>
                <w:color w:val="000000"/>
                <w:sz w:val="18"/>
              </w:rPr>
              <w:t>Proposed Maximum Offering Price Per Unit</w:t>
            </w:r>
            <w:r>
              <w:rPr>
                <w:rFonts w:ascii="Times New Roman;sans-serif" w:hAnsi="Times New Roman;sans-serif"/>
                <w:b/>
                <w:color w:val="000000"/>
                <w:sz w:val="12"/>
              </w:rPr>
              <w:t>(2)</w:t>
            </w:r>
          </w:p>
        </w:tc>
        <w:tc>
          <w:tcPr>
            <w:tcW w:w="110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Maximum Aggregate Offering Price</w:t>
            </w:r>
          </w:p>
        </w:tc>
        <w:tc>
          <w:tcPr>
            <w:tcW w:w="109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Fee Rate</w:t>
            </w:r>
          </w:p>
        </w:tc>
        <w:tc>
          <w:tcPr>
            <w:tcW w:w="1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Registration Fee</w:t>
            </w:r>
          </w:p>
        </w:tc>
        <w:tc>
          <w:tcPr>
            <w:tcW w:w="1048" w:type="dxa"/>
            <w:gridSpan w:val="9"/>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745"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reserved for issuance pursuant to the Amended and Restated 2007 Long-Term Incentive Compensation Plan, as amended</w:t>
            </w:r>
          </w:p>
        </w:tc>
        <w:tc>
          <w:tcPr>
            <w:tcW w:w="1018"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457(h)</w:t>
            </w:r>
          </w:p>
        </w:tc>
        <w:tc>
          <w:tcPr>
            <w:tcW w:w="1008"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1089"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10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$1,260,000</w:t>
            </w:r>
          </w:p>
        </w:tc>
        <w:tc>
          <w:tcPr>
            <w:tcW w:w="109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0.00011020</w:t>
            </w:r>
          </w:p>
        </w:tc>
        <w:tc>
          <w:tcPr>
            <w:tcW w:w="1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$138.85</w:t>
            </w:r>
          </w:p>
        </w:tc>
        <w:tc>
          <w:tcPr>
            <w:tcW w:w="1048" w:type="dxa"/>
            <w:gridSpan w:val="9"/>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Total Offering Amounts</w:t>
            </w:r>
          </w:p>
        </w:tc>
        <w:tc>
          <w:tcPr>
            <w:tcW w:w="1089"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06"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$138.85</w:t>
            </w:r>
          </w:p>
        </w:tc>
        <w:tc>
          <w:tcPr>
            <w:tcW w:w="1048" w:type="dxa"/>
            <w:gridSpan w:val="9"/>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Total Fee Offsets</w:t>
            </w:r>
          </w:p>
        </w:tc>
        <w:tc>
          <w:tcPr>
            <w:tcW w:w="1089"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06"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gridSpan w:val="9"/>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Fee Due</w:t>
            </w:r>
          </w:p>
        </w:tc>
        <w:tc>
          <w:tcPr>
            <w:tcW w:w="1089"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06"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9"/>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$138.85</w:t>
            </w:r>
          </w:p>
        </w:tc>
        <w:tc>
          <w:tcPr>
            <w:tcW w:w="1048" w:type="dxa"/>
            <w:gridSpan w:val="9"/>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Pursuant to Rule 416(a) of the Securities Act of 1933, as amended (the “Securities Act”), this Registration Statement shall cover any additional securities as may be issuable under the Registrant’s Amended and Restated 2007 Long-Term Incentive Compensation Plan, as amended, by reason of any stock splits, stock dividends, recapitalizations or similar transactions.</w:t>
      </w:r>
    </w:p>
    <w:p>
      <w:pPr>
        <w:pStyle w:val="TextBody"/>
        <w:bidi w:val="0"/>
        <w:spacing w:lineRule="auto" w:line="240" w:before="0" w:after="0"/>
        <w:ind w:left="0" w:right="0" w:hanging="36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Estimated solely for purposes of calculating the registration fee pursuant to Rule 457(h) of the Securities Act based on the average of the high and low prices of the Registrant’s common stock on the NASDAQ Global Select Market on May 12, 2023.</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9689" w:type="dxa"/>
        <w:jc w:val="left"/>
        <w:tblInd w:w="0" w:type="dxa"/>
        <w:tblLayout w:type="fixed"/>
        <w:tblCellMar>
          <w:top w:w="28" w:type="dxa"/>
          <w:left w:w="28" w:type="dxa"/>
          <w:bottom w:w="28" w:type="dxa"/>
          <w:right w:w="28" w:type="dxa"/>
        </w:tblCellMar>
      </w:tblPr>
      <w:tblGrid>
        <w:gridCol w:w="3104"/>
        <w:gridCol w:w="2728"/>
        <w:gridCol w:w="3857"/>
      </w:tblGrid>
      <w:tr>
        <w:trPr/>
        <w:tc>
          <w:tcPr>
            <w:tcW w:w="3104"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657600" cy="2762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1"/>
                          <a:stretch>
                            <a:fillRect/>
                          </a:stretch>
                        </pic:blipFill>
                        <pic:spPr bwMode="auto">
                          <a:xfrm>
                            <a:off x="0" y="0"/>
                            <a:ext cx="3657600" cy="276225"/>
                          </a:xfrm>
                          <a:prstGeom prst="rect">
                            <a:avLst/>
                          </a:prstGeom>
                        </pic:spPr>
                      </pic:pic>
                    </a:graphicData>
                  </a:graphic>
                </wp:inline>
              </w:drawing>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entury Gothic;sans-serif" w:hAnsi="Century Gothic;sans-serif"/>
                <w:b w:val="false"/>
                <w:color w:val="6C6F70"/>
                <w:sz w:val="20"/>
              </w:rPr>
            </w:pPr>
            <w:r>
              <w:rPr>
                <w:rFonts w:ascii="Century Gothic;sans-serif" w:hAnsi="Century Gothic;sans-serif"/>
                <w:b w:val="false"/>
                <w:color w:val="6C6F70"/>
                <w:sz w:val="20"/>
              </w:rPr>
              <w:t>1600 WEST END SUITE 2000 NASHVILLE, TENNESSEE 37203 • 615.726.5590 • bakerdonelson.com</w:t>
            </w:r>
          </w:p>
        </w:tc>
      </w:tr>
    </w:tbl>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5.1</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May 16, 2023</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2525 West End Avenue, Suite 950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Nashville, Tennessee 37203</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    Registration Statement on Form S-8</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have served as counsel to Cumberland Pharmaceuticals Inc., a Tennessee corporation (the “Company”), in connection with certain matters of Tennessee law arising out of the issuance of up to an additional 750,000 shares (the “Shares”) of common stock, no par value (the “Common Stock”), of the Company, pursuant to Amendment Number 3 (the “Amendment”) to the Cumberland Pharmaceuticals Inc. Amended and Restated 2007 Long-Term Incentive Compensation Plan (as amended, the “Plan”), covered by the above-referenced Registration Statement (the “Registration Statement”), filed by the Company with the United States Securities and Exchange Commission (the “Commission”) under the Securities Act of 1933, as amended (the “1933 Act”), on the date 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The Registration 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fourth amended and restated charter of the Company (the “Charter”), certified as of a recent date by the Tennessee Secretary of State (the “TN SOS”);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 second amended and restated by-laws of the Company, certified as of the date hereof by an officer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A certificate of the TN SOS as to the good standing of the Company, dated as of a recent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Resolutions adopted by the Board of Directors (the “Board”) of the Company relating to the Plan (the “Resolutions”), certified as of the date hereof by an officer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The Plan, certified as of the date hereof by an officer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A certificate executed by an officer of the Company, dated as of the date hereof;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Such other documents and matters as we have deemed necessary or appropriate to express the opinion set forth below, subject to the assumptions, limitations and qualifications stated herein.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May 16, 2023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expressing the opinion set forth below, we have assumed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Each individual executing any of the Documents, whether on behalf of such individual or another person, is legally competent to do so.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Each individual executing any of the Documents on behalf of a party (other than the Company) is duly authorized to do so.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Upon the issuance of any Shares, the total number of shares of Common Stock issued and outstanding will not exceed the total number of shares of Common Stock that the Company is then authorized to issue under the Charter.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Each stock award, right or other security granted under the Plan pursuant to which Shares may be issued (each, an “Award”), will be duly authorized and validly granted in accordance with the Plan, and any such Shares will be so issued in accordance with the terms of the Plan and any applicable rights agreement or other award agreement entered into in connection with the grant of such Award (each, an “Award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Based upon the foregoing, and subject to the assumptions, limitations and qualifications stated herein, it is our opinion that the issuance of the Shares has been duly authorized and, when and if delivered against payment therefore in accordance with the Registration Statement, the Resolutions, the Plan, and any applicable Award Agreement, the Shares will be validly issued, fully paid and nonassessable.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opinion is limited to the laws of the State of Tennessee, and we do not express any opinion herein concerning any other law. We express no opinion as to the applicability or effect of federal or state securities laws, including the securities laws of the State of Tennessee, or as to federal or state laws regarding fraudulent transfers. To the extent that any matter as to which our opinion is expressed herein would be governed by the laws of any jurisdiction other than the State of Tennessee, we do not express any opinion on such matter. The opinion expressed herein is subject to the effect of any judicial decision which may permit the introduction of parol evidence to modify the terms or the interpretation of agreements.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opinion expressed herein is limited to the matters specifically set forth herein and no other opinion shall be inferred beyond the matters expressly stated. We assume no obligation to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May 16, 2023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supplement this opinion if any applicable law changes after the date hereof or if we become aware of any fact that might change the opinion expressed herein after the date hereof.</w:t>
      </w:r>
    </w:p>
    <w:p>
      <w:pPr>
        <w:pStyle w:val="TextBody"/>
        <w:bidi w:val="0"/>
        <w:spacing w:lineRule="auto" w:line="240" w:before="0" w:after="3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opinion is being furnished to you for submission to the Commission as an exhibit to the Registration Statement. We hereby consent to the filing of this opinion as Exhibit 5.1 to the Registration Statement. In giving this consent, we do not admit that we are within the category of persons whose consent is required by Section 7 of the 1933 Act.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Best regards,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BAKER, DONELSON, BEARMAN,</w:t>
        <w:br/>
        <w:t>CALDWELL &amp; BERKOWITZ, PC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 Baker, Donelson, Bearman,</w:t>
        <w:br/>
        <w:t>Caldwell &amp; Berkowitz, PC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lineRule="auto" w:line="240" w:before="0" w:after="0"/>
        <w:jc w:val="left"/>
        <w:rPr>
          <w:color w:val="000000"/>
        </w:rPr>
      </w:pPr>
      <w:r>
        <w:rPr>
          <w:color w:val="000000"/>
        </w:rPr>
        <w: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this Registration Statement on Form S-8 of Cumberland Pharmaceuticals Inc. (Company) of our report dated March 13, 2023, on our audits of the consolidated financial statements of the Company as of December 31, 2022 and 2021, and for each of the two years in the period ended December 31, 2022, which report is included in the Company’s Annual Report on Form 10-K for the year ended December 31,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FORVIS, LLP</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16, 2023</w:t>
      </w:r>
    </w:p>
    <w:p>
      <w:pPr>
        <w:pStyle w:val="TextBody"/>
        <w:bidi w:val="0"/>
        <w:spacing w:lineRule="auto" w:line="288" w:before="160" w:after="283"/>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87294/000095012310003029/g21769sv8.htm" TargetMode="External"/><Relationship Id="rId3" Type="http://schemas.openxmlformats.org/officeDocument/2006/relationships/hyperlink" Target="http://www.sec.gov/Archives/edgar/data/1087294/000095012310003029/g21769sv8.htm" TargetMode="External"/><Relationship Id="rId4" Type="http://schemas.openxmlformats.org/officeDocument/2006/relationships/hyperlink" Target="http://www.sec.gov/Archives/edgar/data/1087294/000095014407007080/g06286abe8va12b.htm" TargetMode="External"/><Relationship Id="rId5" Type="http://schemas.openxmlformats.org/officeDocument/2006/relationships/hyperlink" Target="http://www.sec.gov/ix?doc=/Archives/edgar/data/1087294/000162828023007727/cpix-20221231.htm" TargetMode="External"/><Relationship Id="rId6" Type="http://schemas.openxmlformats.org/officeDocument/2006/relationships/hyperlink" Target="http://www.sec.gov/Archives/edgar/data/1087294/000162828023007954/a2022proxystatement1.htm" TargetMode="External"/><Relationship Id="rId7" Type="http://schemas.openxmlformats.org/officeDocument/2006/relationships/hyperlink" Target="http://www.sec.gov/ix?doc=/Archives/edgar/data/1087294/000162828023017951/cpix-20230331.htm" TargetMode="External"/><Relationship Id="rId8" Type="http://schemas.openxmlformats.org/officeDocument/2006/relationships/hyperlink" Target="http://www.sec.gov/ix?doc=/Archives/edgar/data/1087294/000162828023001129/cpix-20230117.htm" TargetMode="External"/><Relationship Id="rId9" Type="http://schemas.openxmlformats.org/officeDocument/2006/relationships/hyperlink" Target="http://www.sec.gov/ix?doc=/Archives/edgar/data/1087294/000162828023007952/cpix-20230315.htm" TargetMode="External"/><Relationship Id="rId10" Type="http://schemas.openxmlformats.org/officeDocument/2006/relationships/hyperlink" Target="http://www.sec.gov/ix?doc=/Archives/edgar/data/1087294/000162828023010469/cpix-20230404.htm" TargetMode="External"/><Relationship Id="rId11" Type="http://schemas.openxmlformats.org/officeDocument/2006/relationships/hyperlink" Target="http://www.sec.gov/ix?doc=/Archives/edgar/data/1087294/000162828023011672/cpix-20230414.htm" TargetMode="External"/><Relationship Id="rId12" Type="http://schemas.openxmlformats.org/officeDocument/2006/relationships/hyperlink" Target="http://www.sec.gov/ix?doc=/Archives/edgar/data/1087294/000162828023014265/cpix-20230425.htm" TargetMode="External"/><Relationship Id="rId13" Type="http://schemas.openxmlformats.org/officeDocument/2006/relationships/hyperlink" Target="http://www.sec.gov/Archives/edgar/data/1087294/000095012309023228/c0628619exv3w1.htm" TargetMode="External"/><Relationship Id="rId14" Type="http://schemas.openxmlformats.org/officeDocument/2006/relationships/hyperlink" Target="http://www.sec.gov/Archives/edgar/data/1087294/000095012309023228/c0628619exv3w2.htm" TargetMode="External"/><Relationship Id="rId15" Type="http://schemas.openxmlformats.org/officeDocument/2006/relationships/hyperlink" Target="http://www.sec.gov/Archives/edgar/data/1087294/000095014407007248/g06286a5exv4w1.htm" TargetMode="External"/><Relationship Id="rId16" Type="http://schemas.openxmlformats.org/officeDocument/2006/relationships/hyperlink" Target="http://www.sec.gov/Archives/edgar/data/1087294/000119312517372414/d489256dex42.htm" TargetMode="External"/><Relationship Id="rId17" Type="http://schemas.openxmlformats.org/officeDocument/2006/relationships/hyperlink" Target="http://www.sec.gov/Archives/edgar/data/1087294/000119312512107956/d293470ddef14a.htm" TargetMode="External"/><Relationship Id="rId18" Type="http://schemas.openxmlformats.org/officeDocument/2006/relationships/hyperlink" Target="http://www.sec.gov/Archives/edgar/data/1087294/000162828017002649/a2017proxystatement.htm" TargetMode="External"/><Relationship Id="rId19" Type="http://schemas.openxmlformats.org/officeDocument/2006/relationships/hyperlink" Target="http://www.sec.gov/Archives/edgar/data/1087294/000162828020012738/exhibit101-amendment2l.htm" TargetMode="External"/><Relationship Id="rId20" Type="http://schemas.openxmlformats.org/officeDocument/2006/relationships/hyperlink" Target="http://www.sec.gov/Archives/edgar/data/1087294/000162828023007954/a2022proxystatement1.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3491</Words>
  <Characters>18589</Characters>
  <CharactersWithSpaces>21890</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