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001-33637</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470" w:type="dxa"/>
        <w:tblCellMar>
          <w:top w:w="0" w:type="dxa"/>
          <w:left w:w="0" w:type="dxa"/>
          <w:bottom w:w="0" w:type="dxa"/>
          <w:right w:w="0" w:type="dxa"/>
        </w:tblCellMar>
      </w:tblP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146"/>
        </w:trPr>
        <w:tc>
          <w:tcPr>
            <w:tcW w:w="28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1600 West End Avenue, Suite 1300,</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80" w:type="dxa"/>
            <w:vAlign w:val="bottom"/>
            <w:vMerge w:val="restart"/>
          </w:tcPr>
          <w:p>
            <w:pPr>
              <w:jc w:val="right"/>
              <w:ind w:right="958"/>
              <w:spacing w:after="0"/>
              <w:rPr>
                <w:sz w:val="20"/>
                <w:szCs w:val="20"/>
                <w:color w:val="auto"/>
              </w:rPr>
            </w:pPr>
            <w:r>
              <w:rPr>
                <w:rFonts w:ascii="Times New Roman" w:cs="Times New Roman" w:eastAsia="Times New Roman" w:hAnsi="Times New Roman"/>
                <w:sz w:val="18"/>
                <w:szCs w:val="18"/>
                <w:b w:val="1"/>
                <w:bCs w:val="1"/>
                <w:color w:val="auto"/>
              </w:rPr>
              <w:t>37203</w:t>
            </w:r>
          </w:p>
        </w:tc>
        <w:tc>
          <w:tcPr>
            <w:tcW w:w="0" w:type="dxa"/>
            <w:vAlign w:val="bottom"/>
          </w:tcPr>
          <w:p>
            <w:pPr>
              <w:spacing w:after="0"/>
              <w:rPr>
                <w:sz w:val="1"/>
                <w:szCs w:val="1"/>
                <w:color w:val="auto"/>
              </w:rPr>
            </w:pPr>
          </w:p>
        </w:tc>
      </w:tr>
      <w:tr>
        <w:trPr>
          <w:trHeight w:val="232"/>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(615) 255-0068</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auto"/>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34"/>
        </w:trPr>
        <w:tc>
          <w:tcPr>
            <w:tcW w:w="2820" w:type="dxa"/>
            <w:vAlign w:val="bottom"/>
            <w:tcBorders>
              <w:lef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w:t>
            </w:r>
          </w:p>
        </w:tc>
        <w:tc>
          <w:tcPr>
            <w:tcW w:w="2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80" w:type="dxa"/>
            <w:vAlign w:val="bottom"/>
            <w:tcBorders>
              <w:right w:val="single" w:sz="8" w:color="auto"/>
            </w:tcBorders>
          </w:tcPr>
          <w:p>
            <w:pPr>
              <w:jc w:val="center"/>
              <w:ind w:right="298"/>
              <w:spacing w:after="0"/>
              <w:rPr>
                <w:sz w:val="20"/>
                <w:szCs w:val="20"/>
                <w:color w:val="auto"/>
              </w:rPr>
            </w:pPr>
            <w:r>
              <w:rPr>
                <w:rFonts w:ascii="Times New Roman" w:cs="Times New Roman" w:eastAsia="Times New Roman" w:hAnsi="Times New Roman"/>
                <w:sz w:val="18"/>
                <w:szCs w:val="18"/>
                <w:color w:val="auto"/>
              </w:rPr>
              <w:t>Name of exchange on which registered</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0"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3"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w:t>
      </w: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the</w:t>
            </w:r>
          </w:p>
        </w:tc>
        <w:tc>
          <w:tcPr>
            <w:tcW w:w="4540" w:type="dxa"/>
            <w:vAlign w:val="bottom"/>
          </w:tcPr>
          <w:p>
            <w:pPr>
              <w:ind w:left="2820"/>
              <w:spacing w:after="0" w:line="187" w:lineRule="exact"/>
              <w:rPr>
                <w:sz w:val="20"/>
                <w:szCs w:val="20"/>
                <w:color w:val="auto"/>
              </w:rPr>
            </w:pPr>
            <w:r>
              <w:rPr>
                <w:rFonts w:ascii="Times New Roman" w:cs="Times New Roman" w:eastAsia="Times New Roman" w:hAnsi="Times New Roman"/>
                <w:sz w:val="17"/>
                <w:szCs w:val="17"/>
                <w:color w:val="auto"/>
              </w:rPr>
              <w:t>Exchange</w:t>
            </w:r>
          </w:p>
        </w:tc>
        <w:tc>
          <w:tcPr>
            <w:tcW w:w="3460" w:type="dxa"/>
            <w:vAlign w:val="bottom"/>
          </w:tcPr>
          <w:p>
            <w:pPr>
              <w:spacing w:after="0"/>
              <w:rPr>
                <w:sz w:val="16"/>
                <w:szCs w:val="16"/>
                <w:color w:val="auto"/>
              </w:rPr>
            </w:pPr>
          </w:p>
        </w:tc>
        <w:tc>
          <w:tcPr>
            <w:tcW w:w="800" w:type="dxa"/>
            <w:vAlign w:val="bottom"/>
          </w:tcPr>
          <w:p>
            <w:pPr>
              <w:ind w:left="520"/>
              <w:spacing w:after="0" w:line="187" w:lineRule="exact"/>
              <w:rPr>
                <w:sz w:val="20"/>
                <w:szCs w:val="20"/>
                <w:color w:val="auto"/>
              </w:rPr>
            </w:pPr>
            <w:r>
              <w:rPr>
                <w:rFonts w:ascii="Times New Roman" w:cs="Times New Roman" w:eastAsia="Times New Roman" w:hAnsi="Times New Roman"/>
                <w:sz w:val="17"/>
                <w:szCs w:val="17"/>
                <w:color w:val="auto"/>
                <w:w w:val="90"/>
              </w:rPr>
              <w:t>Act.</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87"/>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5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70"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196" w:lineRule="exact"/>
        <w:tabs>
          <w:tab w:leader="none" w:pos="84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07"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14,095,548 shares of common stock as of August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4460" w:type="dxa"/>
            <w:vAlign w:val="bottom"/>
            <w:gridSpan w:val="3"/>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8"/>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46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80" w:type="dxa"/>
            <w:vAlign w:val="bottom"/>
          </w:tcPr>
          <w:p>
            <w:pPr>
              <w:spacing w:after="0"/>
              <w:rPr>
                <w:sz w:val="24"/>
                <w:szCs w:val="24"/>
                <w:color w:val="auto"/>
              </w:rPr>
            </w:pP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2.</w:t>
            </w:r>
          </w:p>
        </w:tc>
        <w:tc>
          <w:tcPr>
            <w:tcW w:w="43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40" w:type="dxa"/>
            <w:vAlign w:val="bottom"/>
            <w:gridSpan w:val="9"/>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33</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9,758,176</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4,609,362</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2,322,725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3,025,248</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35,581,093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35,714,410</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367,903</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20,458,835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22,607,918</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6,365,790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6,674,394</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2,993,881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2,692,921</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78,519,175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81,776,075</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14,037,629</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348,092</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11,871,363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13,596,528</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27,982,249</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12,784,144</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6,538,970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6,453,566</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52,486,991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52,516,206</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175"/>
        </w:trPr>
        <w:tc>
          <w:tcPr>
            <w:tcW w:w="66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stock—no par value; 100,000,000 shares authorized; 14,083,183 and</w:t>
            </w: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175"/>
        </w:trPr>
        <w:tc>
          <w:tcPr>
            <w:tcW w:w="66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14,121,833 shares issued and outstanding as of June 30, 2024 and December 31, 2023,</w:t>
            </w: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43"/>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46,869,026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47,091,602</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(20,520,036)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(17,488,161)</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26,348,990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29,603,441</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(343,572)</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26,032,184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29,259,869</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78,519,175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81,776,075</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1" w:right="4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6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20,113,515</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2,771,038</w:t>
            </w:r>
          </w:p>
        </w:tc>
        <w:tc>
          <w:tcPr>
            <w:tcW w:w="0" w:type="dxa"/>
            <w:vAlign w:val="bottom"/>
          </w:tcPr>
          <w:p>
            <w:pPr>
              <w:spacing w:after="0"/>
              <w:rPr>
                <w:sz w:val="1"/>
                <w:szCs w:val="1"/>
                <w:color w:val="auto"/>
              </w:rPr>
            </w:pPr>
          </w:p>
        </w:tc>
      </w:tr>
      <w:tr>
        <w:trPr>
          <w:trHeight w:val="229"/>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4,248,401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8,949,393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2,644,708</w:t>
            </w:r>
          </w:p>
        </w:tc>
        <w:tc>
          <w:tcPr>
            <w:tcW w:w="0" w:type="dxa"/>
            <w:vAlign w:val="bottom"/>
          </w:tcPr>
          <w:p>
            <w:pPr>
              <w:spacing w:after="0"/>
              <w:rPr>
                <w:sz w:val="1"/>
                <w:szCs w:val="1"/>
                <w:color w:val="auto"/>
              </w:rPr>
            </w:pPr>
          </w:p>
        </w:tc>
      </w:tr>
      <w:tr>
        <w:trPr>
          <w:trHeight w:val="229"/>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2,369,883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4,868,876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2,388,319</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10,875,537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21,242,488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21,622,334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(1,508,819)</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2,828,871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(378,988)</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1,048,315</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1,034,440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 at subsidiary attributable to noncontrolling interests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29,944</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1,064,384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0"/>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14,118,091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14,376,260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14,570,798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(3,005,109)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1,034,440</w:t>
            </w: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2,456,590</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468,359</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188,034</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(476,606)</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 over premiums paid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(95,997)</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noncash 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944,925</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(232,110)</w:t>
            </w: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808,699</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(1,042,792)</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386,614</w:t>
            </w:r>
          </w:p>
        </w:tc>
      </w:tr>
      <w:tr>
        <w:trPr>
          <w:trHeight w:val="230"/>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(630,813)</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3,817,152</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(179,453)</w:t>
            </w:r>
          </w:p>
        </w:tc>
      </w:tr>
      <w:tr>
        <w:trPr>
          <w:trHeight w:val="230"/>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(91,808)</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(271,261)</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(18,692,552)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(19,051,875)</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(1,652,990)</w:t>
            </w:r>
          </w:p>
        </w:tc>
      </w:tr>
      <w:tr>
        <w:trPr>
          <w:trHeight w:val="230"/>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(349,910)</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(5,054,775)</w:t>
            </w:r>
          </w:p>
        </w:tc>
      </w:tr>
      <w:tr>
        <w:trPr>
          <w:trHeight w:val="22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(1,508,884)</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19,757,970</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17,336,446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18,249,086</w:t>
            </w: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80" w:type="dxa"/>
            <w:vAlign w:val="bottom"/>
            <w:tcBorders>
              <w:bottom w:val="single" w:sz="8" w:color="auto"/>
            </w:tcBorders>
            <w:gridSpan w:val="6"/>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14,366,616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47,474,973</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(11,208,841)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35,974,006</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(187,961)</w:t>
            </w: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47,377,168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(11,016,657)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36,048,487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120" w:type="dxa"/>
            <w:vAlign w:val="bottom"/>
          </w:tcPr>
          <w:p>
            <w:pPr>
              <w:spacing w:after="0"/>
              <w:rPr>
                <w:sz w:val="24"/>
                <w:szCs w:val="24"/>
                <w:color w:val="auto"/>
              </w:rPr>
            </w:pPr>
          </w:p>
        </w:tc>
        <w:tc>
          <w:tcPr>
            <w:tcW w:w="380" w:type="dxa"/>
            <w:vAlign w:val="bottom"/>
            <w:vMerge w:val="restart"/>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14,430,047</w:t>
            </w:r>
          </w:p>
        </w:tc>
        <w:tc>
          <w:tcPr>
            <w:tcW w:w="44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47,377,168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(11,016,657)</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(312,024)</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36,048,487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(171,616)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(171,616)</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15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872,200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862,154</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14,330,990</w:t>
            </w:r>
          </w:p>
        </w:tc>
        <w:tc>
          <w:tcPr>
            <w:tcW w:w="8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14330990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47,303,429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(322,070)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36,836,902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920" w:type="dxa"/>
            <w:vAlign w:val="bottom"/>
            <w:tcBorders>
              <w:bottom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3520" w:type="dxa"/>
            <w:vAlign w:val="bottom"/>
          </w:tcPr>
          <w:p>
            <w:pPr>
              <w:spacing w:after="0"/>
              <w:rPr>
                <w:sz w:val="21"/>
                <w:szCs w:val="21"/>
                <w:color w:val="auto"/>
              </w:rPr>
            </w:pPr>
          </w:p>
        </w:tc>
        <w:tc>
          <w:tcPr>
            <w:tcW w:w="15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14,121,833</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47,091,602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(17,488,161)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29,259,869</w:t>
            </w:r>
          </w:p>
        </w:tc>
        <w:tc>
          <w:tcPr>
            <w:tcW w:w="60" w:type="dxa"/>
            <w:vAlign w:val="bottom"/>
          </w:tcPr>
          <w:p>
            <w:pPr>
              <w:spacing w:after="0"/>
              <w:rPr>
                <w:sz w:val="19"/>
                <w:szCs w:val="19"/>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6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c>
          <w:tcPr>
            <w:tcW w:w="60" w:type="dxa"/>
            <w:vAlign w:val="bottom"/>
          </w:tcPr>
          <w:p>
            <w:pPr>
              <w:spacing w:after="0"/>
              <w:rPr>
                <w:sz w:val="19"/>
                <w:szCs w:val="19"/>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c>
          <w:tcPr>
            <w:tcW w:w="60" w:type="dxa"/>
            <w:vAlign w:val="bottom"/>
          </w:tcPr>
          <w:p>
            <w:pPr>
              <w:spacing w:after="0"/>
              <w:rPr>
                <w:sz w:val="19"/>
                <w:szCs w:val="19"/>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14,159,954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46,923,757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c>
          <w:tcPr>
            <w:tcW w:w="60" w:type="dxa"/>
            <w:vAlign w:val="bottom"/>
          </w:tcPr>
          <w:p>
            <w:pPr>
              <w:spacing w:after="0"/>
              <w:rPr>
                <w:sz w:val="21"/>
                <w:szCs w:val="2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3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14,159,954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46,923,757</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(299,781)</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c>
          <w:tcPr>
            <w:tcW w:w="6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71,958</w:t>
            </w:r>
          </w:p>
        </w:tc>
        <w:tc>
          <w:tcPr>
            <w:tcW w:w="6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(76,771)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(126,689)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(126,689)</w:t>
            </w: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(1,085,612)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(1,102,637)</w:t>
            </w: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14,083,183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46,869,026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(20,520,036)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(316,806)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26,032,184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forces in the United States. We continue to build a network of established international partners with the needed regulatory and commercial capabilities to register and provide our medicines to patients in their countries.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FDA in the United States. We are also continuing to build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products are manufactured by third parties, which are overseen by our quality control and manufacturing professionals. We work closely with our warehousing and distribution partners to make our products available in the U.S.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of the Company have been prepared on a basis consistent with the December 31, 2023,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2023 (the "2023 Annual Report on Form 10-K"). The results of operations for the three and six months ended June 30, 2024, are not necessarily indicative of the results to be expected for the entire fiscal year or any future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Instruments-Credit Losses," which changes the impairment model for most financial assets and certain other instruments. For trade and other receivables, held-to-maturity debt securities, loans and other instruments, companies are required to use a new forward-looking "expected loss" model that generally results in an earlier recognition of allowances for losses. For available-for-sale debt securities with unrealized losses, companies measure credit losses in a manner similar with previous guidance, except that the losses are recognized as allowances rather than as reductions in the amortized cost of the securities. Companies have to disclose additional information, including information they use to track credit quality by year of origination for most financing receivables. Companies apply the ASU’s provisions as a cumulative-effect adjustment, if any, to the accumulated deficit as of the beginning of the first reporting period in which the guidance is adopted.</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adopted both ASU 2016-13 and ASU 2019-05 on January 1, 2023. Please refer to </w:t>
      </w:r>
      <w:r>
        <w:rPr>
          <w:rFonts w:ascii="Times New Roman" w:cs="Times New Roman" w:eastAsia="Times New Roman" w:hAnsi="Times New Roman"/>
          <w:sz w:val="18"/>
          <w:szCs w:val="18"/>
          <w:i w:val="1"/>
          <w:iCs w:val="1"/>
          <w:color w:val="auto"/>
        </w:rPr>
        <w:t>Trade and Notes Receivables Policy</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final guidance intended to improve transparency of segment disclosures, primarily through expanded disclosures for significant segment expenses. The guidance is effective for annual periods beginning in 2024 and interim periods beginning in 2025. Early adoption is permitted. This new guidance will result in incremental disclosures in the notes to the Company’s segment reporting disclosures. We intend to adopt this standard in our Annual Report on Form 10-K for the year ending December 31, 2025. We are currently evaluating the potential impact of adopting this standard on our disclosures.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final guidance to improve transparency of income tax disclosures. The final guidance requires enhanced disclosures primarily related to existing rate reconciliation and income taxes paid information. The guidance is effective for 2025 annual reporting. Early adoption is permitted. This new guidance will result in incremental disclosures in the notes to the Company’s income tax disclosures. We are currently assessing the impact of the requirements on our consolidated financial statements and disclosures. We intend to adopt this standard in our Annual Report on Form 10-K for the year ending December 31, 2024. We are currently evaluating the potential impact of adopting this standard on our disclosures.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Segments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Trade and Note Receivables Policy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the application of Current Expected Credit Losses (CECL) to all of its financial instruments including trade and note receivables. CECL is applicable to all financial instruments measured at amortized cost.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spacing w:after="0" w:line="7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or external credit score/rating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ratings or classification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 type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location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or expected credit loss patterns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supportable forecast periods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standard requires entities to pool financial assets but allows them to choose which risk characteristics to use. Under the requirements of the guidance, the Company reassesses at the end of each reporting period whether the pool of assets continues to display similar risk characteristics.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The adoption of ASC 326 did not result in a material impact to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to calculate basic and diluted earnings (loss) per share for the three and six months ended June 30, 2024 and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(1,085,612)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872,200</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14,118,091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14,393,711</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160,553</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14,118,091</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14,554,264</w:t>
            </w:r>
          </w:p>
        </w:tc>
      </w:tr>
      <w:tr>
        <w:trPr>
          <w:trHeight w:val="20"/>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(3,031,875)</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1,064,384</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14,107,852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14,376,260</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194,538</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14,107,852</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14,570,798</w:t>
            </w:r>
          </w:p>
        </w:tc>
      </w:tr>
      <w:tr>
        <w:trPr>
          <w:trHeight w:val="20"/>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and 2023, restricted stock awards and options to purchase 576,517 and 413,074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revenues from contracts with customers under ASC 606.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revenues consisted of the following for the three and six months ended June 30, 2024 and 2023:</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0"/>
                <w:szCs w:val="20"/>
                <w:color w:val="auto"/>
              </w:rPr>
            </w:pPr>
          </w:p>
        </w:tc>
        <w:tc>
          <w:tcPr>
            <w:tcW w:w="34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3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4,107,834</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4,110,718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7,303,444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8,425,846</w:t>
            </w:r>
          </w:p>
        </w:tc>
      </w:tr>
      <w:tr>
        <w:trPr>
          <w:trHeight w:val="230"/>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2,188,776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4,016,544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3,803,759</w:t>
            </w:r>
          </w:p>
        </w:tc>
      </w:tr>
      <w:tr>
        <w:trPr>
          <w:trHeight w:val="229"/>
        </w:trPr>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2,454,481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2,147,826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4,059,970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3,996,013</w:t>
            </w:r>
          </w:p>
        </w:tc>
      </w:tr>
      <w:tr>
        <w:trPr>
          <w:trHeight w:val="229"/>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844,248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2,161,356</w:t>
            </w:r>
          </w:p>
        </w:tc>
      </w:tr>
      <w:tr>
        <w:trPr>
          <w:trHeight w:val="230"/>
        </w:trPr>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320,019</w:t>
            </w:r>
          </w:p>
        </w:tc>
      </w:tr>
      <w:tr>
        <w:trPr>
          <w:trHeight w:val="229"/>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30"/>
        </w:trPr>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39,866</w:t>
            </w:r>
          </w:p>
        </w:tc>
      </w:tr>
      <w:tr>
        <w:trPr>
          <w:trHeight w:val="229"/>
        </w:trPr>
        <w:tc>
          <w:tcPr>
            <w:tcW w:w="2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(131,552)</w:t>
            </w:r>
          </w:p>
        </w:tc>
      </w:tr>
      <w:tr>
        <w:trPr>
          <w:trHeight w:val="229"/>
        </w:trPr>
        <w:tc>
          <w:tcPr>
            <w:tcW w:w="2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1,492,664</w:t>
            </w:r>
          </w:p>
        </w:tc>
      </w:tr>
      <w:tr>
        <w:trPr>
          <w:trHeight w:val="248"/>
        </w:trPr>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10,888,877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20,113,515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Omeclamox-Pak net revenue for the second quarter of 2024 due to our lack of commercial inventory of this product. The packager for our Omeclamox-Pak product encountered financial difficulties due to the impact of COVID-19. As we have not been able to identify an alternative site to package the product, we decided to discontinue the sales of Omeclamox-Pak and expense the remaining brand intangible assets in late 2023. For the three and six months ended June 30, 2024, the amounts noted resulted from normal distribution adjustments.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regard to Vaprisol, we are in the process of transitioning to a new manufacturing partner, who was issued a U.S. Food and Drug Administration ("FDA") Form 483 in the second quarter of 2022. Once these FDA Form 483 related issues are satisfactorily resolved, we will then resubmit our application for their facility to the FDA for approval. Meanwhile, we have been working with them to support a special, interim supply of compounded product for critically ill patients, which they introduced to the market in late 2023. For the three and six months ended June 30, 2024, the amounts reflected our share of sales of the compounded product and normal sales deduction adjustments. For the three and six months ended June 30, 2023, net revenue was impacted by normal accrual adjustments.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June 30, 2023, the Company returned all rights of RediTrex back and will receive a long-term royalty on any sales of the product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the revenue amounts represented normal distribution and accrual adjustments.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include funding from federal grant programs including those provided by the FDA and from those secured by Cumberland Emerging Technologies Inc. ("CET") through the Small Business Administration's Small Business Innovation Research and Small Business Technology Transfer ("SBIR/STTR") programs. Grant revenue from these federal grant programs totaled approximately $0.1 million for the six months ended June 30, 2024 and 2023.</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also include lease income generated by CET’s Life Sciences Center which is a research facility that provides scientists with access to flexible lab space and other resources to develop biomedical products. This lease income, as noted in Footnote 5 - Leases, was approximately $0.1 million for the three months ended June 30, 2024 and 2023, respectively, and $0.3 million and $0.2 million for the six months ended June 30, 2024 and 2023,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June 30, 2024, the Company had recognized and maintained cumulative net realizable value charges for potential obsolescence and discontinuance losses of approximately $0.02 million. At December 31, 2023, there were no cumulative obsolescence and discontinuance losses necessary.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the active pharmaceutical ingredient ("API") for Kristalose and maintains the inventory of that raw material. API for the Company's Vaprisol and Vibativ brands were included in the assets associated with the acquisition of those brands and are also included in the raw materials inventory. As part of the Vibativ acquisition, the Company acquired API and work in process inventories of $15.6 million that were all initially classified as non-current inventories at the date of acquisition.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these APIs are consumed in the manufacture of our products, the value of the API involved is transferred from raw materials to finished goods.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Consigned inventory represents Authorized Generic inventory stored with our partner until shipment to their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the Company's net inventories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42"/>
        </w:trPr>
        <w:tc>
          <w:tcPr>
            <w:tcW w:w="6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12,684,573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12,619,092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Consigned inventory</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3,300,414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4,645,098</w:t>
            </w:r>
          </w:p>
        </w:tc>
      </w:tr>
      <w:tr>
        <w:trPr>
          <w:trHeight w:val="223"/>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17,413,891</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non-current inventories</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(11,868,487)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current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4,302,159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4,609,362</w:t>
            </w:r>
          </w:p>
        </w:tc>
      </w:tr>
      <w:tr>
        <w:trPr>
          <w:trHeight w:val="21"/>
        </w:trPr>
        <w:tc>
          <w:tcPr>
            <w:tcW w:w="670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588"/>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 June 30, 2024 and December 31, 2023, the Company's non-current inventories consisted of the following:</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91"/>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75"/>
        </w:trPr>
        <w:tc>
          <w:tcPr>
            <w:tcW w:w="67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940" w:type="dxa"/>
            <w:vAlign w:val="bottom"/>
            <w:tcBorders>
              <w:top w:val="single" w:sz="8" w:color="auto"/>
            </w:tcBorders>
          </w:tcPr>
          <w:p>
            <w:pPr>
              <w:spacing w:after="0"/>
              <w:rPr>
                <w:sz w:val="6"/>
                <w:szCs w:val="6"/>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Vibativ Raw Materials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6,781,071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6,611,426</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Kristalose Raw Materials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3,263,516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Vaprisol Raw Materials</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1,170,641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Raw Materials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574,502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Raw Materials</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Acetadote Raw Materials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Ifetroban Raw Materials</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Finished Goods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810,454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Finished Goods</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67,307</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Acetadote Finished Goods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Omeclamox</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69,622</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non-current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11,868,487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15, 2021, Cumberland entered into a lease (the "Lease"), pursuant to which the Company leases approximately 16,903 rentable square feet of space (the "Leased Premise") at the Broadwest office campus located in Nashville, Tennessee with 1600 West End Avenue Partners, LLC (the "Landlord"). The Leased Premise serves as the Company's corporate headquarters. The initial term of the Lease is one hundred fifty-seven (157) months, with two consecutive options to renew for a period of 5 years each, with the commencement date of October 25, 2022. This lease currently expires in November 2035.</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was used to build out the space.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CET provided the notice of exercise to extend the lease with The Gateway to Nashville, LLC for 5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Also included within the right-of-use assets are start up expenditures related to a new supply agreement with Nephron Pharmaceuticals Corporation ("Nephron") for our Vaprisol product. These expenditures are classified as an embedded lease resulting in a right-of-use asset to be amortized over the life of the Nephron contract. As of June 30, 2024, the right-of-use asset was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October 25, 2022 and May 1, 2023. Incremental borrowing rates reflect the Company’s estimated interest rates for collateralized borrowings over similar lease terms.</w:t>
      </w:r>
    </w:p>
    <w:p>
      <w:pPr>
        <w:spacing w:after="0" w:line="1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weighted-average remaining lease term for the Broadwest and Gateway leases is 10 and 10.9 years at June 30, 2024 and June 30, 2023, respectively. The weighted-average incremental borrowing rate used to discount the present value of the remaining lease payments for both leases is 9.39% and 9.40% at June 30, 2024 and December 31, 2023,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Position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the Company's lease assets and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3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6,365,790</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6,674,394</w:t>
            </w:r>
          </w:p>
        </w:tc>
      </w:tr>
      <w:tr>
        <w:trPr>
          <w:trHeight w:val="439"/>
        </w:trPr>
        <w:tc>
          <w:tcPr>
            <w:tcW w:w="66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40" w:type="dxa"/>
            <w:vAlign w:val="bottom"/>
          </w:tcPr>
          <w:p>
            <w:pPr>
              <w:spacing w:after="0"/>
              <w:rPr>
                <w:sz w:val="24"/>
                <w:szCs w:val="24"/>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376,780</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348,092</w:t>
            </w:r>
          </w:p>
        </w:tc>
      </w:tr>
      <w:tr>
        <w:trPr>
          <w:trHeight w:val="229"/>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5,100,260</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5,477,040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5,644,339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cumulative future minimum sublease income under non-cancelable operating subleases totals approximately $0.2 million which includes the 90-day notice required for lease termination. Future minimum lease payments under non-cancelable operating leases (with initial or remaining lease terms in excess of one year)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Maturity of Lease Liabilities at June 30, 2024</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434,255</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836,100</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909,911</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934,180</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740,791</w:t>
            </w:r>
          </w:p>
        </w:tc>
      </w:tr>
      <w:tr>
        <w:trPr>
          <w:trHeight w:val="229"/>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4,847,401</w:t>
            </w:r>
          </w:p>
        </w:tc>
      </w:tr>
      <w:tr>
        <w:trPr>
          <w:trHeight w:val="223"/>
        </w:trPr>
        <w:tc>
          <w:tcPr>
            <w:tcW w:w="8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8,702,638</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3,225,598</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5,477,040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226,772</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501,029</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130,842</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245,499</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SHAREHOLDERS’ EQUITY AND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currently has a share repurchase program available to repurchase up to $10 million of its common stock pursuant to Rule 10b-18 of the Securities Exchange Act of 1934. In January 2019, the Company's Board of Directors established the current $10 million repurchase program to replace the prior authorizations. During the six months ended June 30, 2024 and June 30, 2023, the Company repurchased 202,641 shares and 185,886 shares of common stock for approximately $0.4 million for each period. At June 30, 2024, there remains approximately $2.6 million available under the current repurchase program for common share repurchases.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purchases and sales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Company's March 2024 trading window, several members of Cumberland's Board of Directors entered into agreements for trading plans to purchase shares of the Company's stock pursuant to Rule 10b5-1 of the Securities Exchange Act of 1934. These purchases are designed to increase ownership in the Company by the members of the Board. The plans became effective on June 13, 2024, and as of June 30, 2024, a total of 3,529 shares have been purchased through these trading plans.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Sales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2023, which was declared effective December 26, 2023. On March 20, 2024, the Company filed a related prospectus supplement in connection with the sale and issuance of shares having an aggregate gross sales price of up to $5.8 million. The Company intends to continue an ATM feature through H.C. Wainwright &amp; Co., LLC, that would allow the Company to issue shares of its common stock. The Company did not issue any shares under an ATM during the six months ended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Grants and Incentive Stock Options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and June 30, 2023, the Company issued 50,500 shares and 34,250 shares of restricted stock, respectively, to employees, advisors and directors. Restricted stock issued to employees and advisors generally cliff-vests on the fourth anniversary of the date of grant and for directors on the one-year anniversary of the date of grant. During the six months ended June 30, 2024 and June 30, 2023, the Company also issued 189,250 and 184,500 incentive stock options, respectively, to employees that cliff-vest on the fourth anniversary of the date of grant, and are largely set to expire in 2034 and 2033, respectively.</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compensation expense is presented as a component of general and administrative expense in the condensed consolidated statements of operations as it relates to these restricted share grants and options. For the six months ended June 30, 2024, we recorded a credit of $0.02 million to stock compensation expense related to the forfeiture of unvested restricted stock awards and incentive stock options.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3-year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$16.1 million and $12.8 million, respectively, in borrowings outstanding under its revolving credit facility. The applicable interest rate under the Pinnacle Agreement was 8.125% at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Agreement</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Cumberland entered into an agreement with WinHealth Investment (Singapore) Ltd creating </w:t>
      </w:r>
      <w:r>
        <w:rPr>
          <w:rFonts w:ascii="Times New Roman" w:cs="Times New Roman" w:eastAsia="Times New Roman" w:hAnsi="Times New Roman"/>
          <w:sz w:val="18"/>
          <w:szCs w:val="18"/>
          <w:i w:val="1"/>
          <w:iCs w:val="1"/>
          <w:color w:val="auto"/>
        </w:rPr>
        <w:t>WHC Biopharmaceuticals, Pte. Ltd</w:t>
      </w:r>
      <w:r>
        <w:rPr>
          <w:rFonts w:ascii="Times New Roman" w:cs="Times New Roman" w:eastAsia="Times New Roman" w:hAnsi="Times New Roman"/>
          <w:sz w:val="18"/>
          <w:szCs w:val="18"/>
          <w:color w:val="auto"/>
        </w:rPr>
        <w:t>. The joint venture, as a limited liability company, will focuses on acquiring, developing, registering, and commercializing development stage and commercial stage biopharmaceuticals for China, Hong Kong and other Asian markets. The agreement provided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has approximately $52.1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2024 and beyond, through the continued utilization of these net operating loss carryforwards, on any taxable income generated from our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COLLABORATIVE AGREEMENTS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Cumberland is a party to several collaborative arrangements with research institutions to identify and pursue promising pharmaceutical product candidates. The funding for these programs is primarily provided through SBIR/STTR programs and other grant awards. The Company has determined that these collaborative agreements, with the exception of the collaborative payment discussed in Note 10, related to Vibativ and Sancuso contingent consideration payments, do not meet the criteria for accounting under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right="540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(10) PRODUCT ACQUISITIONS AND RETURN OF PRODUCT RIGHTS </w:t>
      </w:r>
      <w:r>
        <w:rPr>
          <w:rFonts w:ascii="Times New Roman" w:cs="Times New Roman" w:eastAsia="Times New Roman" w:hAnsi="Times New Roman"/>
          <w:sz w:val="18"/>
          <w:szCs w:val="18"/>
          <w:i w:val="1"/>
          <w:iCs w:val="1"/>
          <w:color w:val="auto"/>
        </w:rPr>
        <w:t>Vibativ</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$3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 The contingent consideration earned and accrued in operating expenses is paid to Theravance quarterly.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4,033,373</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(394,426)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219,143</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3,850,372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of $3.9 million was accounted for as $1.4 million of other current liabilities and $2.5 million of other long-term liabilities on the condensed consolidated balance sheet as of June 30,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Sancuso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 2022, Cumberland acquired the U.S. rights to the FDA-approved oncology-supportive care medicine Sancuso from Kyowa Kirin,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("Kyowa Kirin"), the U.S. affiliate of Japan-based Kyowa Kirin Co., Ltd.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acquired U.S. rights to Sancuso and assumed full commercial responsibility for the product in the U.S. – including its marketing, promotion, distribution, manufacturing and medical support activities. The product’s FDA registration was subsequently transferred from Kyowa Kirin to Cumberland in August 2023.</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has also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January 2023, Cumberland made a $1.0 million milestone payment to Kwoya Kirin based on the FDA approval of a manufacturing site for the product. In October 2023, Cumberland made a $0.5 million milestone payment based on the successful transfer of the product’s FDA registration from Kyowa Kirin to Cumberland.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$2.0 million in milestones are tied to achievement of certain annual sales levels for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Cumberland has agreed to pay a royalty of up to 10% of on-going net sales of Sancuso.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2,306,000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milestones and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(419,052)</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(434,603)</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401,655</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liability earned and accrued in operating expenses is paid to Kyowa Kirin quarterly. The contingent consideration liability of $1.9 million was accounted for as $1.2 million of current liabilities and $0.6 million of other long-term liabilities on the condensed consolidated balance sheet as of June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RediTrex</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2022, the Cumberland entered into an amendment to an agreement with Nordic Group B.V.("Nordic") returning all the U.S. rights to RediTrex back to Nordic including the trademark and market authorization effective June 30, 2023. The companies have cooperated on the transition and Cumberland will receive a long-term royalty on any Nordic sales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 w:lineRule="exact"/>
        <w:rPr>
          <w:sz w:val="20"/>
          <w:szCs w:val="20"/>
          <w:color w:val="auto"/>
        </w:rPr>
      </w:pPr>
    </w:p>
    <w:p>
      <w:pPr>
        <w:ind w:right="38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Disclosure regarding forward-looking statements</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2023,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We continue to build a network of established international partners with the needed regulatory and commercial capabilities to register and provide our medicines to patients in their countries.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 includes:</w:t>
      </w:r>
    </w:p>
    <w:p>
      <w:pPr>
        <w:spacing w:after="0" w:line="1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for oral solution, a prescription laxative, for the treatment of constipation;</w:t>
      </w:r>
    </w:p>
    <w:p>
      <w:pPr>
        <w:spacing w:after="0" w:line="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for the prevention of nausea and vomiting in patients receiving certain types of chemotherapy treatment;</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 hyponatremia; and</w:t>
      </w:r>
    </w:p>
    <w:p>
      <w:pPr>
        <w:spacing w:after="0" w:line="87"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 hospital-acquired and ventilator-associated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bacterial pneumonia, as well as complicated skin and skin structure infections.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have Phase II clinical programs underway evaluating our ifetroban product candidate in 1) </w:t>
      </w:r>
      <w:r>
        <w:rPr>
          <w:rFonts w:ascii="Times New Roman" w:cs="Times New Roman" w:eastAsia="Times New Roman" w:hAnsi="Times New Roman"/>
          <w:sz w:val="18"/>
          <w:szCs w:val="18"/>
          <w:i w:val="1"/>
          <w:iCs w:val="1"/>
          <w:color w:val="auto"/>
        </w:rPr>
        <w:t>Systemic Sclerosis</w:t>
      </w:r>
      <w:r>
        <w:rPr>
          <w:rFonts w:ascii="Times New Roman" w:cs="Times New Roman" w:eastAsia="Times New Roman" w:hAnsi="Times New Roman"/>
          <w:sz w:val="18"/>
          <w:szCs w:val="18"/>
          <w:color w:val="auto"/>
        </w:rPr>
        <w:t xml:space="preserve"> ("SSc") or scleroderma, a debilitating autoimmune disorder characterized by diffuse fibrosis of the skin and internal organs, 2) patients with cardiomyopathy associated with </w:t>
      </w:r>
      <w:r>
        <w:rPr>
          <w:rFonts w:ascii="Times New Roman" w:cs="Times New Roman" w:eastAsia="Times New Roman" w:hAnsi="Times New Roman"/>
          <w:sz w:val="18"/>
          <w:szCs w:val="18"/>
          <w:i w:val="1"/>
          <w:iCs w:val="1"/>
          <w:color w:val="auto"/>
        </w:rPr>
        <w:t>Duchenne Muscular Dystrophy</w:t>
      </w:r>
      <w:r>
        <w:rPr>
          <w:rFonts w:ascii="Times New Roman" w:cs="Times New Roman" w:eastAsia="Times New Roman" w:hAnsi="Times New Roman"/>
          <w:sz w:val="18"/>
          <w:szCs w:val="18"/>
          <w:color w:val="auto"/>
        </w:rPr>
        <w:t xml:space="preserve"> ("DMD"), a rare, fatal, genetic neuromuscular disease results in deterioration of the skeletal, heart and lung muscles and 3) patients with </w:t>
      </w:r>
      <w:r>
        <w:rPr>
          <w:rFonts w:ascii="Times New Roman" w:cs="Times New Roman" w:eastAsia="Times New Roman" w:hAnsi="Times New Roman"/>
          <w:sz w:val="18"/>
          <w:szCs w:val="18"/>
          <w:i w:val="1"/>
          <w:iCs w:val="1"/>
          <w:color w:val="auto"/>
        </w:rPr>
        <w:t>Idiopathic Pulmonary Fibrosis</w:t>
      </w:r>
      <w:r>
        <w:rPr>
          <w:rFonts w:ascii="Times New Roman" w:cs="Times New Roman" w:eastAsia="Times New Roman" w:hAnsi="Times New Roman"/>
          <w:sz w:val="18"/>
          <w:szCs w:val="18"/>
          <w:color w:val="auto"/>
        </w:rPr>
        <w:t xml:space="preserve"> ("IPF"), the most common form of progressive fibrosing interstitial lung disease. Investigational new study applications ("INDs") have been cleared by the FDA enabling us to launch Phase II clinical studies in each of these areas.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and commercialization of pharmaceutical products, and we believe we can leverage this existing infrastructure to support our growth. Our management team consists of pharmaceutical industry veterans with experience in business development, product development, regulatory, manufacturing, sales, marketing and finance.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 promotion agreements.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FDA in the United States. We are also continuing to build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can further develop and commercialize.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are seeking long-term, sustainable growth by:</w:t>
      </w:r>
    </w:p>
    <w:p>
      <w:pPr>
        <w:spacing w:after="0" w:line="140" w:lineRule="exact"/>
        <w:rPr>
          <w:sz w:val="20"/>
          <w:szCs w:val="20"/>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and expanding the use of our marketed products. </w:t>
      </w:r>
      <w:r>
        <w:rPr>
          <w:rFonts w:ascii="Times New Roman" w:cs="Times New Roman" w:eastAsia="Times New Roman" w:hAnsi="Times New Roman"/>
          <w:sz w:val="18"/>
          <w:szCs w:val="18"/>
          <w:color w:val="auto"/>
        </w:rPr>
        <w:t>We continue to evaluate our products following their FDA approval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additional clinical data could expand their market and use. For example, we have secured pediatric approval of Acetadote and Caldolor and expanded the labeling for both brands accordingly. We also added pre-surgery dosing for Caldolor, and recently included newborns to the patients who can benefit from the product.</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adding complementary brands. </w:t>
      </w:r>
      <w:r>
        <w:rPr>
          <w:rFonts w:ascii="Times New Roman" w:cs="Times New Roman" w:eastAsia="Times New Roman" w:hAnsi="Times New Roman"/>
          <w:sz w:val="18"/>
          <w:szCs w:val="18"/>
          <w:color w:val="auto"/>
        </w:rPr>
        <w:t>In addition to our product development activities, we are also seeking to acquire approved brands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spacing w:after="0" w:line="11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Progressing our clinical pipeline and incubating future product opportunities at CET. </w:t>
      </w:r>
      <w:r>
        <w:rPr>
          <w:rFonts w:ascii="Times New Roman" w:cs="Times New Roman" w:eastAsia="Times New Roman" w:hAnsi="Times New Roman"/>
          <w:sz w:val="18"/>
          <w:szCs w:val="18"/>
          <w:color w:val="auto"/>
        </w:rPr>
        <w:t>We believe it is important to build a pipeline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new product opportunities, as we are doing through our ifetroban Phase II development programs. We are also supplementing our acquisitions and late-stage development activities with the early-stage drug development activities at CET.</w:t>
      </w:r>
    </w:p>
    <w:p>
      <w:pPr>
        <w:spacing w:after="0" w:line="8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infrastructure through co-promotion partnerships. </w:t>
      </w:r>
      <w:r>
        <w:rPr>
          <w:rFonts w:ascii="Times New Roman" w:cs="Times New Roman" w:eastAsia="Times New Roman" w:hAnsi="Times New Roman"/>
          <w:sz w:val="18"/>
          <w:szCs w:val="18"/>
          <w:color w:val="auto"/>
        </w:rPr>
        <w:t>We believe that our commercial infrastructure can help drive prescription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and product sales. We also look for strategic partners that can complement our capabilities and enhance opportunities for our brands. For example, our co-promotion partnerships have allowed us to expand the support for Kristalose across the U.S.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an international contribution to our business. </w:t>
      </w:r>
      <w:r>
        <w:rPr>
          <w:rFonts w:ascii="Times New Roman" w:cs="Times New Roman" w:eastAsia="Times New Roman" w:hAnsi="Times New Roman"/>
          <w:sz w:val="18"/>
          <w:szCs w:val="18"/>
          <w:color w:val="auto"/>
        </w:rPr>
        <w:t>We have established our own commercial capabilities, including three sales divisions,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focus on the U.S. market for our products. We are also working with a network of select international partners to register our products and make them available to patients in their countries. We will continue to support our partners’ registration and commercialization efforts in their respective territories. The acquisition of Vibativ resulted in several new international partners and market opportunities.</w:t>
      </w:r>
    </w:p>
    <w:p>
      <w:pPr>
        <w:spacing w:after="0" w:line="108"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Managing our operations with financial discipline. </w:t>
      </w:r>
      <w:r>
        <w:rPr>
          <w:rFonts w:ascii="Times New Roman" w:cs="Times New Roman" w:eastAsia="Times New Roman" w:hAnsi="Times New Roman"/>
          <w:sz w:val="18"/>
          <w:szCs w:val="18"/>
          <w:color w:val="auto"/>
        </w:rPr>
        <w:t>We continually work to manage our expenses in line with our revenues, to deliver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flow from operations. We seek to maintain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Kristalose Covered on Wisconsin Medicaid Plans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found that Kristalose, our prescription-strength laxative, performs best in states where we have Medicaid coverage. Wisconsin recently added Kristalose to its Medicaid formulary, and we are implementing a special initiative to announce this development in that market. We also have Medicaid coverage for the brand in New York state and Texas, two of the largest states for the product.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Kristalose Recommended for Opioid-induced Constipation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recently launched a campaign featuring the </w:t>
      </w:r>
      <w:r>
        <w:rPr>
          <w:rFonts w:ascii="Times New Roman" w:cs="Times New Roman" w:eastAsia="Times New Roman" w:hAnsi="Times New Roman"/>
          <w:sz w:val="18"/>
          <w:szCs w:val="18"/>
          <w:i w:val="1"/>
          <w:iCs w:val="1"/>
          <w:color w:val="auto"/>
        </w:rPr>
        <w:t>American Gastroenterological Association’s</w:t>
      </w:r>
      <w:r>
        <w:rPr>
          <w:rFonts w:ascii="Times New Roman" w:cs="Times New Roman" w:eastAsia="Times New Roman" w:hAnsi="Times New Roman"/>
          <w:sz w:val="18"/>
          <w:szCs w:val="18"/>
          <w:color w:val="auto"/>
        </w:rPr>
        <w:t xml:space="preserve"> (“AGA”) guidelines that include Kristalose as a first-line treatment option for opioid-induced constipation. As the guidelines state, “Constipation is by far the most common and debilitating gastrointestinal effect of opioids, and some degree of constipation is near universal in patients taking opioid medications.” We believe the AGA’s recommendation will support the use of Kristalose in those patients.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Study Supports Vibativ as an Effective Treatment for Anthrax Infections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June, </w:t>
      </w:r>
      <w:r>
        <w:rPr>
          <w:rFonts w:ascii="Times New Roman" w:cs="Times New Roman" w:eastAsia="Times New Roman" w:hAnsi="Times New Roman"/>
          <w:sz w:val="18"/>
          <w:szCs w:val="18"/>
          <w:i w:val="1"/>
          <w:iCs w:val="1"/>
          <w:color w:val="auto"/>
        </w:rPr>
        <w:t>Antimicrobial Agents and Chemotherapy</w:t>
      </w:r>
      <w:r>
        <w:rPr>
          <w:rFonts w:ascii="Times New Roman" w:cs="Times New Roman" w:eastAsia="Times New Roman" w:hAnsi="Times New Roman"/>
          <w:sz w:val="18"/>
          <w:szCs w:val="18"/>
          <w:color w:val="auto"/>
        </w:rPr>
        <w:t xml:space="preserve"> published a study evaluating Vibativ (telavancin) as a novel therapeutic against anthrax inhalation, the most dangerous form of those infections. Researchers were particularly interested in finding alternatives to current antibiotics in case anthrax bacteria become resistant to them.</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Researchers tested telavancin against 17 different anthrax strains in the lab to determine how well it could stop their growth. Additionally, they tested telavancin in rabbits that were infected with a deadly dose of airborne anthrax spores and compared telavancin’s effectiveness to another antibiotic (levofloxacin) and a placebo.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showed that:</w:t>
      </w:r>
    </w:p>
    <w:p>
      <w:pPr>
        <w:spacing w:after="0" w:line="158"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Telavancin was very effective at killing all the anthrax strains tested in the lab.</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rabbit study, all the animals treated with telavancin survived.</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Telavancin was better at clearing anthrax from the blood and organs than levofloxacin.</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these results, the researchers concluded that telavancin could potentially be an effective new treatment option for anthrax infections, especially if current antibiotics become less effective due to resistance.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Antimicrobial resistance continues to pose a significant challenge in the treatment of bacterial infections, necessitating the development of new antibiotic therapies. While many recently introduced antibiotics are quickly losing the battle to fight the bacteria they were designed to kill because those bacteria have become drug-resistant, Vibativ was specifically designed to kill drug-resistant bacteria.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support our international partners in their efforts to register Vibativ in their countries.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late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 Tabuk has obtained the final approvals needed to commercialize Vibativ in Saudi Arabia and has now begun ordering the product in preparation for its launch planned for this year.</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 2022, we entered into an agreement with D.B. Pharm to register and commercialize our Vibativ product in South Korea. D.B. Pharm also distributes our Caldolor product there. They filed for the approval of Vibativ in November 2022 and we have been supporting their efforts through the review process of their application in the country. The Korean regulatory authorities did not approve the submission, and indicated that additional manufacturing information will be required, which we will work with D.B. Pharm to address.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Meanwhile, our Vibativ partner for the Chinese market, SciClone Pharmaceuticals, had their approval application in China accepted for review in September 2021. We have since been supporting SciClone and their requests associated with the review of that submission. They are working toward the approval and believe that there is significant potential for Vibativ in their country.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Ifetroban Clinical Studies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evaluating our ifetroban product candidate, a selective thromboxane-prostanoid receptor antagonist, in a series of clinical studies. It has now been dosed in nearly 1,400 subjects and has been found to be safe and well tolerated in healthy volunteers and various patient populations. We have three Phase II clinical programs underway evaluating our ifetroban product candidate in patients with 1) Systemic Sclerosis or scleroderma, a debilitating autoimmune disorder characterized by diffuse fibrosis of the skin and internal organs, 2) cardiomyopathy associated with Duchenne Muscular Dystrophy, a rare, fatal, genetic neuromuscular disease results in deterioration of the skeletal, heart, and lung muscles and 3) Idiopathic Pulmonary Fibrosis, the most common form of progressive fibrosing interstitial lung disease. This third program is our newest, with enrollment now underway.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recently applied for two FDA designations for our Duchenne Muscular Dystrophy product candidate:</w:t>
      </w:r>
    </w:p>
    <w:p>
      <w:pPr>
        <w:spacing w:after="0" w:line="156" w:lineRule="exact"/>
        <w:rPr>
          <w:sz w:val="20"/>
          <w:szCs w:val="20"/>
          <w:color w:val="auto"/>
        </w:rPr>
      </w:pPr>
    </w:p>
    <w:p>
      <w:pPr>
        <w:jc w:val="both"/>
        <w:ind w:left="660" w:hanging="4"/>
        <w:spacing w:after="0" w:line="267" w:lineRule="auto"/>
        <w:tabs>
          <w:tab w:leader="none" w:pos="8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Orphan Drug Designation</w:t>
      </w:r>
      <w:r>
        <w:rPr>
          <w:rFonts w:ascii="Times New Roman" w:cs="Times New Roman" w:eastAsia="Times New Roman" w:hAnsi="Times New Roman"/>
          <w:sz w:val="18"/>
          <w:szCs w:val="18"/>
          <w:color w:val="auto"/>
        </w:rPr>
        <w:t>, which is granted to products that show promise in the treatment, prevention or diagnosis of rare – or orphan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diseases; such designation can result in a number of benefits associated with the FDA review process including exclusivity after approval of the product.</w:t>
      </w:r>
    </w:p>
    <w:p>
      <w:pPr>
        <w:spacing w:after="0" w:line="92" w:lineRule="exact"/>
        <w:rPr>
          <w:rFonts w:ascii="Times New Roman" w:cs="Times New Roman" w:eastAsia="Times New Roman" w:hAnsi="Times New Roman"/>
          <w:sz w:val="18"/>
          <w:szCs w:val="18"/>
          <w:color w:val="auto"/>
        </w:rPr>
      </w:pPr>
    </w:p>
    <w:p>
      <w:pPr>
        <w:jc w:val="both"/>
        <w:ind w:left="660" w:hanging="4"/>
        <w:spacing w:after="0" w:line="267" w:lineRule="auto"/>
        <w:tabs>
          <w:tab w:leader="none" w:pos="8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Rare Pediatric Disease Designation</w:t>
      </w:r>
      <w:r>
        <w:rPr>
          <w:rFonts w:ascii="Times New Roman" w:cs="Times New Roman" w:eastAsia="Times New Roman" w:hAnsi="Times New Roman"/>
          <w:sz w:val="18"/>
          <w:szCs w:val="18"/>
          <w:color w:val="auto"/>
        </w:rPr>
        <w:t>, which is given to products intended to prevent or treat serious or life-threatening diseases that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children from birth to 18 years of age. Upon FDA approval this designation may result in a priority review voucher from the FDA for a different product.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hear back on both applications this year.</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pilot studies of ifetroban are underway, including several investigator-initiated trials.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plan going forward is to complete each of our Company-sponsored studies, analyze their final data, announce top-line results and decide on the best development path for the registration of ifetroban, which we continue to believe has the potential to benefit many patients with orphan diseases that represent unmet medical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NOPAIN Act</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announced in April 2023 that we expected that Caldolor would be eligible for special Medicare reimbursement under the </w:t>
      </w:r>
      <w:r>
        <w:rPr>
          <w:rFonts w:ascii="Times New Roman" w:cs="Times New Roman" w:eastAsia="Times New Roman" w:hAnsi="Times New Roman"/>
          <w:sz w:val="18"/>
          <w:szCs w:val="18"/>
          <w:i w:val="1"/>
          <w:iCs w:val="1"/>
          <w:color w:val="auto"/>
        </w:rPr>
        <w:t>Non-Opioids Prevent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Addiction in the Nation Act </w:t>
      </w:r>
      <w:r>
        <w:rPr>
          <w:rFonts w:ascii="Times New Roman" w:cs="Times New Roman" w:eastAsia="Times New Roman" w:hAnsi="Times New Roman"/>
          <w:sz w:val="18"/>
          <w:szCs w:val="18"/>
          <w:color w:val="auto"/>
        </w:rPr>
        <w:t>(which was enacted as part of the Consolidated Appropriations Act of 2023 (the “NOPAIN Act”).</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NOPAIN Act requires Medicare to provide separate reimbursement for non-opioid products that are used to manage pain during surgeries conducted in hospital outpatient departments or in ambulatory surgical centers. The NOPAIN Act applies, in part, to products that are indicated to provide analgesia, without acting upon the body’s opioid receptors. As a result, we expected that the NOPAIN Act would affect Medicare reimbursement for Caldolor, our non-opioid analgesic injection product.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reimbursement for non-opioid pain alternatives under the NOPAIN Act will apply to those products that are furnished between January 1, 2025 and January 1, 2028. It is anticipated that in late 2024, the Centers for Medicare &amp; Medicaid Services (“CMS”) will issue regulations implementing the NOPAIN Act and detailing the conditions for, and amount of, the separate reimbursement.</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July 2023, </w:t>
      </w:r>
      <w:r>
        <w:rPr>
          <w:rFonts w:ascii="Times New Roman" w:cs="Times New Roman" w:eastAsia="Times New Roman" w:hAnsi="Times New Roman"/>
          <w:sz w:val="18"/>
          <w:szCs w:val="18"/>
          <w:i w:val="1"/>
          <w:iCs w:val="1"/>
          <w:color w:val="auto"/>
        </w:rPr>
        <w:t>Medicare Hospital Outpatient Prospective Payment System (“OPPS”) Proposed Rule</w:t>
      </w:r>
      <w:r>
        <w:rPr>
          <w:rFonts w:ascii="Times New Roman" w:cs="Times New Roman" w:eastAsia="Times New Roman" w:hAnsi="Times New Roman"/>
          <w:sz w:val="18"/>
          <w:szCs w:val="18"/>
          <w:color w:val="auto"/>
        </w:rPr>
        <w:t xml:space="preserve">, CMS requested that manufacturers with potentially applicable non-opioid products submit comments and supporting clinical evidence regarding products that they believe should be eligible for separate payment. We submitted a comment letter along with the requisite clinical information to CMS in September 2023, explaining why Caldolor should be included and separately reimbursed. In July 2024 </w:t>
      </w:r>
      <w:r>
        <w:rPr>
          <w:rFonts w:ascii="Times New Roman" w:cs="Times New Roman" w:eastAsia="Times New Roman" w:hAnsi="Times New Roman"/>
          <w:sz w:val="18"/>
          <w:szCs w:val="18"/>
          <w:i w:val="1"/>
          <w:iCs w:val="1"/>
          <w:color w:val="auto"/>
        </w:rPr>
        <w:t>Medicare OPPS Proposed Rule,</w:t>
      </w:r>
      <w:r>
        <w:rPr>
          <w:rFonts w:ascii="Times New Roman" w:cs="Times New Roman" w:eastAsia="Times New Roman" w:hAnsi="Times New Roman"/>
          <w:sz w:val="18"/>
          <w:szCs w:val="18"/>
          <w:color w:val="auto"/>
        </w:rPr>
        <w:t xml:space="preserve"> CMS proposed that, in 2025, several drugs that were previously eligible for separate payment via existing CMS policies continue to be eligible for separate payment in the hospital outpatient setting under the CAA of 2023 and solicited comments on whether there are additional drugs or biologicals that meet the statutory definition. In response, we plan to submit a comment letter along with the requisite information in September 2024 and will then await information from CMS regarding the reimbursement status and price for Caldolor in the CY 2025 </w:t>
      </w:r>
      <w:r>
        <w:rPr>
          <w:rFonts w:ascii="Times New Roman" w:cs="Times New Roman" w:eastAsia="Times New Roman" w:hAnsi="Times New Roman"/>
          <w:sz w:val="18"/>
          <w:szCs w:val="18"/>
          <w:i w:val="1"/>
          <w:iCs w:val="1"/>
          <w:color w:val="auto"/>
        </w:rPr>
        <w:t>OPPS Final Rule.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Manufacturing &amp; Supplies of Sancuso</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acquiring U.S. rights to Sancuso, we successfully completed the transition from Kyowa Kirin to Cumberland in 2023, including the NDA transfer. A new facility was approved by the FDA for Sancuso and we have completed the manufacturing of Cumberland-packaged product there. We began shipping these new supplies of our Cumberland-branded product this summer. We continue to support the product through our expanded oncology sales division to help cancer patients by addressing certain side effects associated with their chemotherapy treatments.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Vaprisol Supply Update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Demand for our Vaprisol product increased in 2020 during the pandemic, and we worked to support the expanded use of the product in hospitals and clinics during the health care crisis. In 2021, we shipped all remaining inventory of the product and notified the FDA that supplies of the product are not currently available. We have since transferred the manufacturing of the product to a new facility. Our new manufacturing and distribution partner, Nephron, is working with the FDA to address several Form 483 and warning letter issues in a timely manner.</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await FDA approval for making the branded product there, Nephron is providing a special supply of compounded product in support of critically ill patients. The companies will share in the sales of this compounded product. Vaprisol is the first and only intravenously administered vasopressin receptor antagonist. It is used to raise serum sodium levels in hospitalized patients with hyponatremia, the most common electrolyte disorder among such patients.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dedicated to our mission of working together to provide unique products that improve the quality of patient care. We have pursued our mission by building a portfolio of FDA-approved brands, with outstanding safety and efficacy profiles that can make a difference in patients’ lives.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build our portfolio of innovative and differentiated products through a multifaceted strategy that includes the development of new candidates, as well as the acquisition of established brands. Our resulting, diversified product line has enabled us to weather external challenges while our team remains responsive to the evolving market.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in those efforts and look forward to future opportunities to carry out and our mission and report on our progress throughout the remainder of the year and beyond.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2023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and Judgments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the three months ended June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three months ended June 30, 2024 and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10,888,877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(1,040,028)</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190,170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4,248,401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4,672,075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(423,674)</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(85,851)</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2,757,148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2,369,883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387,265</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(58,391)</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10,875,537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10,866,018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(1,049,547)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(981,806)</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(1,960,285)</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(1,964,791)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4,107,834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4,110,718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271,810</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2,147,826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306,655</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(382,066)</w:t>
            </w: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(106,767)</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(25,438)</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w:t>
            </w:r>
          </w:p>
        </w:tc>
      </w:tr>
      <w:tr>
        <w:trPr>
          <w:trHeight w:val="229"/>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1,295,478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(1,081,686)</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9,848,849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10,888,877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(1,040,028)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three months ended June 30, 2024, were $9.8 million compared to $10.9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Kristalose revenue of $4.1 million for the second quarter of 2024, was similar to the same period in the prior year.</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second quarter of 2024, there was a decrease of $0.1 million in the product's revenue when compared to the prior year period due to a decrease in shipments.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Vaprisol branded product sales for the second quarter of 2024 as Cumberland is currently out of inventory of the product as we await FDA approval on a new manufacturer. The revenue stated represents our share of sales of the compounded product offset by expired product returns.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revenue was $0.8 million for the second quarter of 2024, compared to $1.2 million for the second quarter of 2023 primarily due to decreased international shipments in the current quarter.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Vibativ revenue was $2.5 million for the three months ended June 30, 2024, an increase of $0.3 million from the same prior year period. The increase in net revenue of the product was the result of international shipments and the introduction of our 4-pak carton.</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Sancuso revenue was $2.2 million for the second quarter of 2024, compared to $1.9 million for the second quarter of 2023 resulting in an increase of $0.3 million. The increase resulted primarily from increased sales volume along with lower sales deductions associated with the product.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was $0.2 million for the three months ended June 30, 2024, compared to $1.3 million for the three months ended June 30, 2023. The prior year period included two $500,000 milestone payments associated with Vibativ.</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second quarter of 2024 and 2023 were $1.7 million and $1.5 million, respectively. Cost of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as a percentage of net revenues, were 17.4% during the three months ended June 30, 2024, compared to 14.0% during the three months ended June 30, 2023. The increase is primarily due to the mix of products sold.</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second quarter of 2024 decreased $0.4 million compared to the same period last year.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primarily attributable to the timing of advertising costs and accrual adjustments.</w:t>
      </w:r>
    </w:p>
    <w:p>
      <w:pPr>
        <w:spacing w:after="0" w:line="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for the second quarter of 2024 and 2023 were relatively the same at $1.1 million. A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second quarter of 2024 was $2.8 million compared to $2.4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The increase is due to higher salaries and contract labor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3,147,826</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270,571</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597,019</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1,304,891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2,280,236</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Sancuso: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1,916,966</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281,828</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1,407,097</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886,875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228,041</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three months ended June 30, 2024 and 2023, totaled approximately $1.1 million and $1.2 million, respectively. The decrease in amortization expense resulted from the write down of Omeclamox-Pak intangible assets as we discontinued the sales of the product in late 2023.</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three months ended June 30, 2024, was comparable to the income tax expense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the six months ended June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six months ended June 30, 2024 and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6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20,113,515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(1,766,965)</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515,448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8,402,989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8,949,393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(546,404)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2,644,708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(427,268)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4,868,876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256,179</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(177,801)</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21,242,488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21,622,334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(379,846)</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(1,387,119)</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51,336</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2,828,871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(2,828,871)</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134,115</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(4,030,539)</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(4,039,549)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7,303,444</w:t>
            </w:r>
          </w:p>
        </w:tc>
        <w:tc>
          <w:tcPr>
            <w:tcW w:w="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8,425,846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(1,122,402)</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4,016,544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3,803,759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212,785</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4,059,970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63,957</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153,591</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(196,420)</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(32,785)</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165,952</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(1,003,543)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18,346,550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20,113,515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(1,766,965)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six months ended June 30, 2024, were $18.3 million compared to $20.1 million for the six months ended June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$1.8 million.</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Kristalose revenue was $7.3 million during the first six months of 2024, compared to $8.4 million for the prior year period. Revenue decreased due to the result of timing of shipments to one of our co-promotion partners.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six months ended June 30, 2024, there was a decrease of $0.2 million in the product's revenue when compared to the prior year period due to a decrease in shipments.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Sancuso revenue was $4.0 million for the six months ended June 30, 2024, compared to $3.8 million for the same period last year. The increase resulted primarily from reduced sales deductions for product returns.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Vibativ revenue was $4.1 million for the six months ended June 30, 2024, compared to $4.0 million for the same period last year. The increase in net revenue of the product was the result of international shipments in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$0.01 million of Vaprisol revenue for the six months ended June 30, 2024 related to the sales of our compounded product.</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Omeclamox-Pak had no sales for the six months ended June 30, 2024, as Cumberland is currently out of commercial inventory of this product. The packager for our Omeclamox-Pak product encountered financial difficulties and currently is under new management and a reorganization.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revenue was $2.3 million for the six months ended June 30, 2024, a $0.2 million increase over the same period in 2023. Higher international revenue is driving the increase.</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 was $0.5 million for the six months ended June 30, 2024, representing a $1.0 million decrease from the same period in 2023, as a result of a settlement recognized in 2023.</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first six months of 2024 were $3.3 million, an increase of $0.5 million compared to the same period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due to higher international sales with corresponding higher cost of goods.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six months ended June 30, 2024, decreased $0.5 million compared to the prior year period.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is primarily attributable to the timing of the expenditures.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were $2.2 million for the first six months of 2024 compared to $2.6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last year.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 The year over year reduction results from lower FDA fees in 2024.</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six months ended June 30, 2024, increased to $5.1 million compared to $4.9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six months ended June 30,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4,059,970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4,996,013</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517,313</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1,078,480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1,116,627</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2,154,844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3,362,073</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Since Acquisition</w:t>
            </w:r>
          </w:p>
        </w:tc>
      </w:tr>
      <w:tr>
        <w:trPr>
          <w:trHeight w:val="223"/>
        </w:trPr>
        <w:tc>
          <w:tcPr>
            <w:tcW w:w="90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57,631,147</w:t>
            </w:r>
          </w:p>
        </w:tc>
      </w:tr>
      <w:tr>
        <w:trPr>
          <w:trHeight w:val="230"/>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17,975,152</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9,995,609</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29,660,386</w:t>
            </w:r>
          </w:p>
        </w:tc>
      </w:tr>
      <w:tr>
        <w:trPr>
          <w:trHeight w:val="20"/>
        </w:trPr>
        <w:tc>
          <w:tcPr>
            <w:tcW w:w="9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revenue includes a $1,000,000 payment to Cumberland related to a settlement agreement of milestone payments.</w:t>
      </w:r>
    </w:p>
    <w:p>
      <w:pPr>
        <w:spacing w:after="0" w:line="82"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4,016,544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3,803,759</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571,306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1,530,051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1,822,804</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1,930,368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1,409,649</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w:t>
      </w:r>
    </w:p>
    <w:p>
      <w:pPr>
        <w:sectPr>
          <w:pgSz w:w="11900" w:h="16838" w:orient="portrait"/>
          <w:cols w:equalWidth="0" w:num="1">
            <w:col w:w="11240"/>
          </w:cols>
          <w:pgMar w:left="320" w:top="1440" w:right="3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Sancuso contribution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8"/>
          <w:szCs w:val="18"/>
          <w:b w:val="1"/>
          <w:bCs w:val="1"/>
          <w:color w:val="auto"/>
        </w:rPr>
        <w:t>Since Acquisition</w:t>
      </w:r>
    </w:p>
    <w:p>
      <w:pPr>
        <w:spacing w:after="0" w:line="40" w:lineRule="exact"/>
        <w:rPr>
          <w:sz w:val="20"/>
          <w:szCs w:val="20"/>
          <w:color w:val="auto"/>
        </w:rPr>
      </w:pPr>
    </w:p>
    <w:p>
      <w:pPr>
        <w:ind w:left="1289" w:hanging="1289"/>
        <w:spacing w:after="0"/>
        <w:tabs>
          <w:tab w:leader="none" w:pos="128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25,668,935</w:t>
      </w:r>
    </w:p>
    <w:p>
      <w:pPr>
        <w:spacing w:after="0" w:line="38" w:lineRule="exact"/>
        <w:rPr>
          <w:rFonts w:ascii="Times New Roman" w:cs="Times New Roman" w:eastAsia="Times New Roman" w:hAnsi="Times New Roman"/>
          <w:sz w:val="17"/>
          <w:szCs w:val="17"/>
          <w:color w:val="auto"/>
        </w:rPr>
      </w:pPr>
    </w:p>
    <w:p>
      <w:pPr>
        <w:ind w:left="13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3,314,551</w:t>
      </w:r>
    </w:p>
    <w:p>
      <w:pPr>
        <w:spacing w:after="0" w:line="22" w:lineRule="exact"/>
        <w:rPr>
          <w:rFonts w:ascii="Times New Roman" w:cs="Times New Roman" w:eastAsia="Times New Roman" w:hAnsi="Times New Roman"/>
          <w:sz w:val="17"/>
          <w:szCs w:val="17"/>
          <w:color w:val="auto"/>
        </w:rPr>
      </w:pPr>
    </w:p>
    <w:p>
      <w:pPr>
        <w:ind w:left="13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9,107,900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388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 w:lineRule="exact"/>
        <w:rPr>
          <w:sz w:val="20"/>
          <w:szCs w:val="20"/>
          <w:color w:val="auto"/>
        </w:rPr>
      </w:pPr>
    </w:p>
    <w:p>
      <w:pPr>
        <w:ind w:left="1289" w:hanging="1289"/>
        <w:spacing w:after="0"/>
        <w:tabs>
          <w:tab w:leader="none" w:pos="128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13,246,484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38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388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8351" w:space="720"/>
            <w:col w:w="2169"/>
          </w:cols>
          <w:pgMar w:left="320" w:top="1440" w:right="339" w:bottom="1440" w:gutter="0" w:footer="0" w:header="0"/>
          <w:type w:val="continuous"/>
        </w:sect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six months ended June 30, 2024, and six months ended June 30, 2023, totaled approximately $2.2 million and $2.4 million, respectively. The decrease was attributable to a reduction to the valuation of Omeclamox acquisition recognized in December 2023.</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six months ended June 30, 2024, was $0.02 million, comparable to the income tax expense recognized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we had approximately $52.1 million in federal net operating loss carryforwards including approximately $44.1 million of net operating loss carryforwards resulting from the exercise of nonqualified stock options that have historically been used to significantly offset income tax obligations. We expect to continue to pay minimal income taxes during 2024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liquidity and working capital as of June 30, 2024 and December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02"/>
        </w:trPr>
        <w:tc>
          <w:tcPr>
            <w:tcW w:w="66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17,336,446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(current assets less current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10,824,924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7,732,161</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ratio (multiple of current assets to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62"/>
        </w:trPr>
        <w:tc>
          <w:tcPr>
            <w:tcW w:w="6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availability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3,908,408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7,215,856</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changes in cash and cash equivalents for the six months ended June 30, 2024 and June 30,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(2,992,307)</w:t>
            </w:r>
          </w:p>
        </w:tc>
        <w:tc>
          <w:tcPr>
            <w:tcW w:w="12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3,817,152</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(271,261)</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2,112,119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(5,054,775)</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(985,178)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(1,508,884)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$1.0 million decrease in cash and cash equivalents for the six months ended June 30, 2024, was primarily attributable to cash used in operating activities partially offset by cash provided by financing activities.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totaled $3.0 million for the six months ended June 30, 2024, primarily is due to the result of $3.0 million net loss, a $1.9 million decrease in accounts payable and other current liabilities and a $1.9 million increase in account receivable partially offset by a $2.3 million increase in depreciation and amortization expense and a $1.2 million decrease in inventories.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totaled $2.1 million for the six months ended June 30, 2024, primarily due to $3.3 million borrowings net on our line of credit, partially offset by the $0.8 million used for the payment of a Sancuso milestone, plus royalties on sales of Vibativ and Sancuso and the $0.4 million in cash used to repurchase shares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Agreement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2023, we did not engage in any off-balance sheet arrangements.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1" w:name="page32"/>
    <w:bookmarkEnd w:id="3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June 30, 2024.</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risk related to borrowings under our line of credit was based on Term SOFR plus an interest rate spread. The pricing under the Pinnacle Agreement provides for an interest rate spread of 1.75% to 2.75% above Term SOFR with a minimum Term SOFR of 0.90%. The applicable interest rate under the Pinnacle Agreement was 8.125% at June 30, 2024. As of June 30, 2024, we had $16.1 million in borrowings outstanding under our revolving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six months ended June 30, 2024 and 2023. Neither a five percent increase nor decrease from current exchange rates would have a material effect on our operating results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Part I, Item 1. Financial Statements, Notes to Unaudited Condensed Consolidated Financial Statements, Note 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an investor should consider the risk factors included in the Company's Annual Report on Form 10-K for the year ended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ectPr>
          <w:pgSz w:w="11900" w:h="16838" w:orient="portrait"/>
          <w:cols w:equalWidth="0" w:num="1">
            <w:col w:w="11240"/>
          </w:cols>
          <w:pgMar w:left="320" w:top="1251" w:right="339" w:bottom="1440" w:gutter="0" w:footer="0" w:header="0"/>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by month, during the three months ended June 30, 2024:</w:t>
      </w:r>
    </w:p>
    <w:p>
      <w:pPr>
        <w:spacing w:after="0" w:line="31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1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660" w:type="dxa"/>
            <w:vAlign w:val="bottom"/>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140" w:type="dxa"/>
            <w:vAlign w:val="bottom"/>
          </w:tcPr>
          <w:p>
            <w:pPr>
              <w:jc w:val="center"/>
              <w:ind w:left="308"/>
              <w:spacing w:after="0" w:line="146"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6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1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1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Maximum number (or</w:t>
      </w:r>
    </w:p>
    <w:p>
      <w:pPr>
        <w:spacing w:after="0" w:line="6" w:lineRule="exact"/>
        <w:rPr>
          <w:sz w:val="20"/>
          <w:szCs w:val="20"/>
          <w:color w:val="auto"/>
        </w:rPr>
      </w:pPr>
    </w:p>
    <w:p>
      <w:pPr>
        <w:ind w:left="20" w:right="680"/>
        <w:spacing w:after="0" w:line="211" w:lineRule="auto"/>
        <w:rPr>
          <w:sz w:val="20"/>
          <w:szCs w:val="20"/>
          <w:color w:val="auto"/>
        </w:rPr>
      </w:pPr>
      <w:r>
        <w:rPr>
          <w:rFonts w:ascii="Times New Roman" w:cs="Times New Roman" w:eastAsia="Times New Roman" w:hAnsi="Times New Roman"/>
          <w:sz w:val="14"/>
          <w:szCs w:val="14"/>
          <w:b w:val="1"/>
          <w:bCs w:val="1"/>
          <w:color w:val="auto"/>
        </w:rPr>
        <w:t>Approximate Dollar Value) of Shares (or Units) that May be</w:t>
      </w:r>
    </w:p>
    <w:p>
      <w:pPr>
        <w:ind w:right="640" w:firstLine="24"/>
        <w:spacing w:after="0" w:line="239" w:lineRule="auto"/>
        <w:rPr>
          <w:sz w:val="20"/>
          <w:szCs w:val="20"/>
          <w:color w:val="auto"/>
        </w:rPr>
      </w:pPr>
      <w:r>
        <w:rPr>
          <w:rFonts w:ascii="Times New Roman" w:cs="Times New Roman" w:eastAsia="Times New Roman" w:hAnsi="Times New Roman"/>
          <w:sz w:val="14"/>
          <w:szCs w:val="14"/>
          <w:b w:val="1"/>
          <w:bCs w:val="1"/>
          <w:color w:val="auto"/>
        </w:rPr>
        <w:t>Purchased Under the Publicly Announced Plans or Programs</w:t>
      </w:r>
    </w:p>
    <w:p>
      <w:pPr>
        <w:spacing w:after="0" w:line="1" w:lineRule="exact"/>
        <w:rPr>
          <w:sz w:val="20"/>
          <w:szCs w:val="20"/>
          <w:color w:val="auto"/>
        </w:rPr>
      </w:pPr>
    </w:p>
    <w:p>
      <w:pPr>
        <w:sectPr>
          <w:pgSz w:w="11900" w:h="16838" w:orient="portrait"/>
          <w:cols w:equalWidth="0" w:num="2">
            <w:col w:w="8420" w:space="300"/>
            <w:col w:w="2520"/>
          </w:cols>
          <w:pgMar w:left="320" w:top="1251" w:right="339" w:bottom="1440" w:gutter="0" w:footer="0" w:header="0"/>
          <w:type w:val="continuous"/>
        </w:sectPr>
      </w:pPr>
    </w:p>
    <w:tbl>
      <w:tblPr>
        <w:tblLayout w:type="fixed"/>
        <w:tblInd w:w="220" w:type="dxa"/>
        <w:tblCellMar>
          <w:top w:w="0" w:type="dxa"/>
          <w:left w:w="0" w:type="dxa"/>
          <w:bottom w:w="0" w:type="dxa"/>
          <w:right w:w="0" w:type="dxa"/>
        </w:tblCellMar>
      </w:tblPr>
      <w:tr>
        <w:trPr>
          <w:trHeight w:val="233"/>
        </w:trPr>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w:t>
            </w:r>
          </w:p>
        </w:tc>
        <w:tc>
          <w:tcPr>
            <w:tcW w:w="120" w:type="dxa"/>
            <w:vAlign w:val="bottom"/>
            <w:tcBorders>
              <w:top w:val="single" w:sz="8" w:color="CCEEFF"/>
            </w:tcBorders>
            <w:shd w:val="clear" w:color="auto" w:fill="CCEEFF"/>
          </w:tcPr>
          <w:p>
            <w:pPr>
              <w:spacing w:after="0"/>
              <w:rPr>
                <w:sz w:val="20"/>
                <w:szCs w:val="20"/>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w:t>
            </w:r>
          </w:p>
        </w:tc>
        <w:tc>
          <w:tcPr>
            <w:tcW w:w="4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w:t>
            </w:r>
          </w:p>
        </w:tc>
        <w:tc>
          <w:tcPr>
            <w:tcW w:w="76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2,714,207</w:t>
            </w:r>
          </w:p>
        </w:tc>
      </w:tr>
      <w:tr>
        <w:trPr>
          <w:trHeight w:val="229"/>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420" w:type="dxa"/>
            <w:vAlign w:val="bottom"/>
          </w:tcPr>
          <w:p>
            <w:pPr>
              <w:spacing w:after="0"/>
              <w:rPr>
                <w:sz w:val="19"/>
                <w:szCs w:val="19"/>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2,667,681</w:t>
            </w:r>
          </w:p>
        </w:tc>
      </w:tr>
      <w:tr>
        <w:trPr>
          <w:trHeight w:val="230"/>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4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2"/>
              </w:rPr>
              <w:t>(1)</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7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2,632,097</w:t>
            </w:r>
          </w:p>
        </w:tc>
      </w:tr>
      <w:tr>
        <w:trPr>
          <w:trHeight w:val="223"/>
        </w:trPr>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76,771</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Of this amount, 3,834 shares were repurchased directly in private purchases at the then-current fair market value of common 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during the three months ended June 30, 2024, as such terms are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3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660" w:type="dxa"/>
            <w:vAlign w:val="bottom"/>
            <w:gridSpan w:val="8"/>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First Amendment to Amended and Restated Revolving Credit Loan Agreement, dated March 31, 2024, by and between Cumberland</w:t>
              </w:r>
            </w:hyperlink>
          </w:p>
        </w:tc>
      </w:tr>
      <w:tr>
        <w:trPr>
          <w:trHeight w:val="156"/>
        </w:trPr>
        <w:tc>
          <w:tcPr>
            <w:tcW w:w="1580" w:type="dxa"/>
            <w:vAlign w:val="bottom"/>
          </w:tcPr>
          <w:p>
            <w:pPr>
              <w:spacing w:after="0"/>
              <w:rPr>
                <w:sz w:val="13"/>
                <w:szCs w:val="13"/>
                <w:color w:val="auto"/>
              </w:rPr>
            </w:pPr>
          </w:p>
        </w:tc>
        <w:tc>
          <w:tcPr>
            <w:tcW w:w="964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Pharmaceuticals Inc. and Pinnacle Bank, incorporated herein by reference to Exhibit 10.6 of the Company's Quarterly Report on</w:t>
              </w:r>
            </w:hyperlink>
          </w:p>
        </w:tc>
        <w:tc>
          <w:tcPr>
            <w:tcW w:w="20" w:type="dxa"/>
            <w:vAlign w:val="bottom"/>
          </w:tcPr>
          <w:p>
            <w:pPr>
              <w:spacing w:after="0"/>
              <w:rPr>
                <w:sz w:val="13"/>
                <w:szCs w:val="13"/>
                <w:color w:val="auto"/>
              </w:rPr>
            </w:pPr>
          </w:p>
        </w:tc>
      </w:tr>
      <w:tr>
        <w:trPr>
          <w:trHeight w:val="169"/>
        </w:trPr>
        <w:tc>
          <w:tcPr>
            <w:tcW w:w="158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Form 10-Q (File No. 001-33637)) as filed with the SEC on May 10, 2024</w:t>
              </w:r>
            </w:hyperlink>
          </w:p>
        </w:tc>
        <w:tc>
          <w:tcPr>
            <w:tcW w:w="432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13-14(a) of the Securities Exchange Act of 1934 as Adopted Pursuant to</w:t>
            </w:r>
          </w:p>
        </w:tc>
      </w:tr>
      <w:tr>
        <w:trPr>
          <w:trHeight w:val="156"/>
        </w:trPr>
        <w:tc>
          <w:tcPr>
            <w:tcW w:w="158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6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72"/>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13-14(a) of the Securities Exchange Act of 1934 as Adopted Pursuant to</w:t>
            </w:r>
          </w:p>
        </w:tc>
      </w:tr>
      <w:tr>
        <w:trPr>
          <w:trHeight w:val="155"/>
        </w:trPr>
        <w:tc>
          <w:tcPr>
            <w:tcW w:w="158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614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72"/>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w:t>
            </w:r>
          </w:p>
        </w:tc>
      </w:tr>
      <w:tr>
        <w:trPr>
          <w:trHeight w:val="155"/>
        </w:trPr>
        <w:tc>
          <w:tcPr>
            <w:tcW w:w="158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120" w:type="dxa"/>
            <w:vAlign w:val="bottom"/>
            <w:tcBorders>
              <w:top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r>
      <w:tr>
        <w:trPr>
          <w:trHeight w:val="234"/>
        </w:trPr>
        <w:tc>
          <w:tcPr>
            <w:tcW w:w="1580" w:type="dxa"/>
            <w:vAlign w:val="bottom"/>
          </w:tcPr>
          <w:p>
            <w:pPr>
              <w:spacing w:after="0"/>
              <w:rPr>
                <w:sz w:val="20"/>
                <w:szCs w:val="20"/>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r>
      <w:tr>
        <w:trPr>
          <w:trHeight w:val="38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44" w:lineRule="exact"/>
        <w:rPr>
          <w:sz w:val="20"/>
          <w:szCs w:val="20"/>
          <w:color w:val="auto"/>
        </w:rPr>
      </w:pPr>
    </w:p>
    <w:p>
      <w:pPr>
        <w:ind w:left="1140" w:right="780" w:hanging="1114"/>
        <w:spacing w:after="0" w:line="355" w:lineRule="auto"/>
        <w:tabs>
          <w:tab w:leader="none" w:pos="15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ind w:left="1580" w:hanging="447"/>
        <w:spacing w:after="0"/>
        <w:tabs>
          <w:tab w:leader="none" w:pos="1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9" w:right="41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68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25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John Hamm</w:t>
            </w:r>
          </w:p>
        </w:tc>
      </w:tr>
      <w:tr>
        <w:trPr>
          <w:trHeight w:val="21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251"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00" w:right="340" w:hanging="574"/>
        <w:spacing w:after="0" w:line="237"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860"/>
        <w:spacing w:after="0"/>
        <w:tabs>
          <w:tab w:leader="none" w:pos="6800" w:val="left"/>
        </w:tabs>
        <w:rPr>
          <w:sz w:val="20"/>
          <w:szCs w:val="20"/>
          <w:color w:val="auto"/>
        </w:rPr>
      </w:pPr>
      <w:r>
        <w:rPr>
          <w:rFonts w:ascii="Times New Roman" w:cs="Times New Roman" w:eastAsia="Times New Roman" w:hAnsi="Times New Roman"/>
          <w:sz w:val="18"/>
          <w:szCs w:val="18"/>
          <w:color w:val="auto"/>
        </w:rPr>
        <w:t>August 9, 2024 By:</w:t>
      </w:r>
      <w:r>
        <w:rPr>
          <w:sz w:val="20"/>
          <w:szCs w:val="20"/>
          <w:color w:val="auto"/>
        </w:rPr>
        <w:tab/>
      </w:r>
      <w:r>
        <w:rPr>
          <w:rFonts w:ascii="Times New Roman" w:cs="Times New Roman" w:eastAsia="Times New Roman" w:hAnsi="Times New Roman"/>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920"/>
        <w:spacing w:after="0"/>
        <w:tabs>
          <w:tab w:leader="none" w:pos="6800" w:val="left"/>
        </w:tabs>
        <w:rPr>
          <w:sz w:val="20"/>
          <w:szCs w:val="20"/>
          <w:color w:val="auto"/>
        </w:rPr>
      </w:pPr>
      <w:r>
        <w:rPr>
          <w:rFonts w:ascii="Times New Roman" w:cs="Times New Roman" w:eastAsia="Times New Roman" w:hAnsi="Times New Roman"/>
          <w:sz w:val="18"/>
          <w:szCs w:val="18"/>
          <w:color w:val="auto"/>
        </w:rPr>
        <w:t>August 9, 2024 By:</w:t>
      </w:r>
      <w:r>
        <w:rPr>
          <w:sz w:val="20"/>
          <w:szCs w:val="20"/>
          <w:color w:val="auto"/>
        </w:rPr>
        <w:tab/>
      </w:r>
      <w:r>
        <w:rPr>
          <w:rFonts w:ascii="Times New Roman" w:cs="Times New Roman" w:eastAsia="Times New Roman" w:hAnsi="Times New Roman"/>
          <w:sz w:val="17"/>
          <w:szCs w:val="17"/>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June 30, 2024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ind w:left="680" w:hanging="65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August 9,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August 9, 2024</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04"/>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47" Type="http://schemas.openxmlformats.org/officeDocument/2006/relationships/hyperlink" Target="https://www.sec.gov/Archives/edgar/data/1087294/000162828024022658/a2024q1-exhibit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2024-08-09T16:48:22Z</dcterms:created>
  <dcterms:modified xsi:type="dcterms:W3CDTF">2024-08-09T16:48:22Z</dcterms:modified>
</cp:coreProperties>
</file>