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October 9, 2020 (October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8"/>
        </w:trPr>
        <w:tc>
          <w:tcPr>
            <w:tcW w:w="3340" w:type="dxa"/>
            <w:vAlign w:val="bottom"/>
            <w:gridSpan w:val="3"/>
          </w:tcPr>
          <w:p>
            <w:pPr>
              <w:jc w:val="center"/>
              <w:ind w:right="820"/>
              <w:spacing w:after="0"/>
              <w:rPr>
                <w:sz w:val="20"/>
                <w:szCs w:val="20"/>
                <w:color w:val="auto"/>
              </w:rPr>
            </w:pPr>
            <w:r>
              <w:rPr>
                <w:rFonts w:ascii="Arial" w:cs="Arial" w:eastAsia="Arial" w:hAnsi="Arial"/>
                <w:sz w:val="14"/>
                <w:szCs w:val="14"/>
                <w:color w:val="auto"/>
                <w:w w:val="95"/>
              </w:rPr>
              <w:t>(State or other jurisdiction of incorporation)</w:t>
            </w:r>
          </w:p>
        </w:tc>
        <w:tc>
          <w:tcPr>
            <w:tcW w:w="3140" w:type="dxa"/>
            <w:vAlign w:val="bottom"/>
            <w:gridSpan w:val="3"/>
          </w:tcPr>
          <w:p>
            <w:pPr>
              <w:jc w:val="center"/>
              <w:spacing w:after="0"/>
              <w:rPr>
                <w:sz w:val="20"/>
                <w:szCs w:val="20"/>
                <w:color w:val="auto"/>
              </w:rPr>
            </w:pPr>
            <w:r>
              <w:rPr>
                <w:rFonts w:ascii="Arial" w:cs="Arial" w:eastAsia="Arial" w:hAnsi="Arial"/>
                <w:sz w:val="14"/>
                <w:szCs w:val="14"/>
                <w:color w:val="auto"/>
                <w:w w:val="94"/>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63"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(Address of principal executive offices) (Zip Code)</w:t>
      </w:r>
    </w:p>
    <w:p>
      <w:pPr>
        <w:spacing w:after="0" w:line="3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(615) 255-0068</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(Registrant’s telephone number, including area code)</w:t>
      </w:r>
    </w:p>
    <w:p>
      <w:pPr>
        <w:spacing w:after="0" w:line="2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1"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Arial" w:cs="Arial" w:eastAsia="Arial" w:hAnsi="Arial"/>
          <w:sz w:val="18"/>
          <w:szCs w:val="18"/>
          <w:color w:val="auto"/>
        </w:rPr>
      </w:pPr>
    </w:p>
    <w:p>
      <w:pPr>
        <w:ind w:right="2020" w:firstLine="568"/>
        <w:spacing w:after="0" w:line="434" w:lineRule="auto"/>
        <w:tabs>
          <w:tab w:leader="none" w:pos="100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80" w:type="dxa"/>
            <w:vAlign w:val="bottom"/>
            <w:gridSpan w:val="2"/>
          </w:tcPr>
          <w:p>
            <w:pPr>
              <w:ind w:left="1580"/>
              <w:spacing w:after="0"/>
              <w:rPr>
                <w:sz w:val="20"/>
                <w:szCs w:val="20"/>
                <w:color w:val="auto"/>
              </w:rPr>
            </w:pPr>
            <w:r>
              <w:rPr>
                <w:rFonts w:ascii="Arial" w:cs="Arial" w:eastAsia="Arial" w:hAnsi="Arial"/>
                <w:sz w:val="18"/>
                <w:szCs w:val="18"/>
                <w:color w:val="auto"/>
              </w:rPr>
              <w:t>Class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w:t>
            </w: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6"/>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Common stock, no par value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CPIX</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663" w:right="4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33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On October 7, 2020, Cumberland Pharmaceuticals Inc. (the “Company” or “Cumberland”) entered into a Third Amendment to the Revolving Credit Note and Fourth Amendment (“Fourth Amendment”) to the Revolving Credit Loan Agreement with Pinnacle Bank (the “Pinnacle Agreement”). The original Pinnacle Agreement was dated July 31, 2017. The Fourth Amendment provides for a principal available for borrowing of up to $15 million and Cumberland has the ability to request an increase of up to an additional $5 million, upon the satisfaction of certain conditions and approval by Pinnacle Bank. If fully expanded, the Fourth Amendment would provide a maximum principal available for borrowing of up to $20 million, which was also the maximum aggregate principal available for borrowing under the previously amended Pinnacle Agreement.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The Fourth Amendment extends the maturity date of the Pinnacle Agreement through October 1, 2022.</w:t>
      </w:r>
    </w:p>
    <w:p>
      <w:pPr>
        <w:spacing w:after="0" w:line="112" w:lineRule="exact"/>
        <w:rPr>
          <w:sz w:val="20"/>
          <w:szCs w:val="20"/>
          <w:color w:val="auto"/>
        </w:rPr>
      </w:pPr>
    </w:p>
    <w:p>
      <w:pPr>
        <w:ind w:right="280"/>
        <w:spacing w:after="0" w:line="302" w:lineRule="auto"/>
        <w:rPr>
          <w:sz w:val="20"/>
          <w:szCs w:val="20"/>
          <w:color w:val="auto"/>
        </w:rPr>
      </w:pPr>
      <w:r>
        <w:rPr>
          <w:rFonts w:ascii="Arial" w:cs="Arial" w:eastAsia="Arial" w:hAnsi="Arial"/>
          <w:sz w:val="19"/>
          <w:szCs w:val="19"/>
          <w:color w:val="auto"/>
        </w:rPr>
        <w:t>The interest rate on the Pinnacle Agreement, as amended, is based on LIBOR plus an interest rate spread. The pricing provides for an interest rate spread of 1.75% to 2.75% above LIBOR with a minimum LIBOR of 0.90%. Cumberland is subject to a financial covenant, maintenance of either the Funded Debt Ratio or a Tangible Capital Ratio, as defined, determined on a quarterly basis. Borrowings under the line of credit are collateralized by substantially all of the Company’s assets.</w:t>
      </w:r>
    </w:p>
    <w:p>
      <w:pPr>
        <w:sectPr>
          <w:pgSz w:w="11900" w:h="16838" w:orient="portrait"/>
          <w:cols w:equalWidth="0" w:num="1">
            <w:col w:w="11240"/>
          </w:cols>
          <w:pgMar w:left="320" w:top="558"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Cumberland Pharmaceuticals Inc.</w:t>
      </w:r>
    </w:p>
    <w:p>
      <w:pPr>
        <w:spacing w:after="0" w:line="387" w:lineRule="exact"/>
        <w:rPr>
          <w:sz w:val="20"/>
          <w:szCs w:val="20"/>
          <w:color w:val="auto"/>
        </w:rPr>
      </w:pPr>
    </w:p>
    <w:p>
      <w:pPr>
        <w:ind w:left="40"/>
        <w:spacing w:after="0"/>
        <w:tabs>
          <w:tab w:leader="none" w:pos="7000" w:val="left"/>
          <w:tab w:leader="none" w:pos="8340" w:val="left"/>
        </w:tabs>
        <w:rPr>
          <w:sz w:val="20"/>
          <w:szCs w:val="20"/>
          <w:color w:val="auto"/>
        </w:rPr>
      </w:pPr>
      <w:r>
        <w:rPr>
          <w:rFonts w:ascii="Arial" w:cs="Arial" w:eastAsia="Arial" w:hAnsi="Arial"/>
          <w:sz w:val="18"/>
          <w:szCs w:val="18"/>
          <w:color w:val="auto"/>
        </w:rPr>
        <w:t>Dated: October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31750</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75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2020-10-09T16:22:02Z</dcterms:created>
  <dcterms:modified xsi:type="dcterms:W3CDTF">2020-10-09T16:22:02Z</dcterms:modified>
</cp:coreProperties>
</file>