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5" w:lineRule="exact"/>
        <w:rPr>
          <w:sz w:val="24"/>
          <w:szCs w:val="24"/>
          <w:color w:val="auto"/>
        </w:rPr>
      </w:pPr>
    </w:p>
    <w:p>
      <w:pPr>
        <w:ind w:left="700" w:hanging="654"/>
        <w:spacing w:after="0"/>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04"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001-33637</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470" w:type="dxa"/>
        <w:tblCellMar>
          <w:top w:w="0" w:type="dxa"/>
          <w:left w:w="0" w:type="dxa"/>
          <w:bottom w:w="0" w:type="dxa"/>
          <w:right w:w="0" w:type="dxa"/>
        </w:tblCellMar>
      </w:tblPr>
      <w:tr>
        <w:trPr>
          <w:trHeight w:val="227"/>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tcPr>
          <w:p>
            <w:pPr>
              <w:jc w:val="right"/>
              <w:ind w:right="758"/>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149"/>
        </w:trPr>
        <w:tc>
          <w:tcPr>
            <w:tcW w:w="2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jc w:val="center"/>
              <w:ind w:left="83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3"/>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1600 West End Avenue, Suite 1300,</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80" w:type="dxa"/>
            <w:vAlign w:val="bottom"/>
            <w:vMerge w:val="restart"/>
          </w:tcPr>
          <w:p>
            <w:pPr>
              <w:jc w:val="right"/>
              <w:ind w:right="958"/>
              <w:spacing w:after="0"/>
              <w:rPr>
                <w:sz w:val="20"/>
                <w:szCs w:val="20"/>
                <w:color w:val="auto"/>
              </w:rPr>
            </w:pPr>
            <w:r>
              <w:rPr>
                <w:rFonts w:ascii="Times New Roman" w:cs="Times New Roman" w:eastAsia="Times New Roman" w:hAnsi="Times New Roman"/>
                <w:sz w:val="18"/>
                <w:szCs w:val="18"/>
                <w:b w:val="1"/>
                <w:bCs w:val="1"/>
                <w:color w:val="auto"/>
              </w:rPr>
              <w:t>37203</w:t>
            </w:r>
          </w:p>
        </w:tc>
        <w:tc>
          <w:tcPr>
            <w:tcW w:w="0" w:type="dxa"/>
            <w:vAlign w:val="bottom"/>
          </w:tcPr>
          <w:p>
            <w:pPr>
              <w:spacing w:after="0"/>
              <w:rPr>
                <w:sz w:val="1"/>
                <w:szCs w:val="1"/>
                <w:color w:val="auto"/>
              </w:rPr>
            </w:pPr>
          </w:p>
        </w:tc>
      </w:tr>
      <w:tr>
        <w:trPr>
          <w:trHeight w:val="232"/>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(615) 255-0068</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auto"/>
            </w:tcBorders>
            <w:gridSpan w:val="6"/>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60" w:type="dxa"/>
            <w:vAlign w:val="bottom"/>
            <w:tcBorders>
              <w:left w:val="single" w:sz="8" w:color="auto"/>
              <w:right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34"/>
        </w:trPr>
        <w:tc>
          <w:tcPr>
            <w:tcW w:w="2820" w:type="dxa"/>
            <w:vAlign w:val="bottom"/>
            <w:tcBorders>
              <w:lef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w:t>
            </w:r>
          </w:p>
        </w:tc>
        <w:tc>
          <w:tcPr>
            <w:tcW w:w="20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80" w:type="dxa"/>
            <w:vAlign w:val="bottom"/>
            <w:tcBorders>
              <w:right w:val="single" w:sz="8" w:color="auto"/>
            </w:tcBorders>
          </w:tcPr>
          <w:p>
            <w:pPr>
              <w:jc w:val="center"/>
              <w:ind w:right="298"/>
              <w:spacing w:after="0"/>
              <w:rPr>
                <w:sz w:val="20"/>
                <w:szCs w:val="20"/>
                <w:color w:val="auto"/>
              </w:rPr>
            </w:pPr>
            <w:r>
              <w:rPr>
                <w:rFonts w:ascii="Times New Roman" w:cs="Times New Roman" w:eastAsia="Times New Roman" w:hAnsi="Times New Roman"/>
                <w:sz w:val="18"/>
                <w:szCs w:val="18"/>
                <w:color w:val="auto"/>
              </w:rPr>
              <w:t>Name of exchange on which registered</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CPIX</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right w:val="single" w:sz="8" w:color="auto"/>
            </w:tcBorders>
          </w:tcPr>
          <w:p>
            <w:pPr>
              <w:jc w:val="center"/>
              <w:ind w:right="278"/>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0"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6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3"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of</w:t>
            </w:r>
          </w:p>
        </w:tc>
        <w:tc>
          <w:tcPr>
            <w:tcW w:w="290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the</w:t>
            </w:r>
          </w:p>
        </w:tc>
        <w:tc>
          <w:tcPr>
            <w:tcW w:w="510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Exchange</w:t>
            </w:r>
          </w:p>
        </w:tc>
        <w:tc>
          <w:tcPr>
            <w:tcW w:w="820" w:type="dxa"/>
            <w:vAlign w:val="bottom"/>
          </w:tcPr>
          <w:p>
            <w:pPr>
              <w:ind w:left="520"/>
              <w:spacing w:after="0"/>
              <w:rPr>
                <w:sz w:val="20"/>
                <w:szCs w:val="20"/>
                <w:color w:val="auto"/>
              </w:rPr>
            </w:pPr>
            <w:r>
              <w:rPr>
                <w:rFonts w:ascii="Times New Roman" w:cs="Times New Roman" w:eastAsia="Times New Roman" w:hAnsi="Times New Roman"/>
                <w:sz w:val="17"/>
                <w:szCs w:val="17"/>
                <w:color w:val="auto"/>
                <w:w w:val="97"/>
              </w:rPr>
              <w:t>Act.</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Accelerated filer</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69"/>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growth company</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178"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7" w:lineRule="exact"/>
        <w:rPr>
          <w:sz w:val="24"/>
          <w:szCs w:val="24"/>
          <w:color w:val="auto"/>
        </w:rPr>
      </w:pPr>
    </w:p>
    <w:p>
      <w:pPr>
        <w:spacing w:after="0" w:line="196" w:lineRule="exact"/>
        <w:tabs>
          <w:tab w:leader="none" w:pos="84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97"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14,464,127 shares of common stock as of November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180" w:type="dxa"/>
            <w:vAlign w:val="bottom"/>
            <w:gridSpan w:val="9"/>
          </w:tcPr>
          <w:p>
            <w:pPr>
              <w:spacing w:after="0"/>
              <w:rPr>
                <w:sz w:val="17"/>
                <w:szCs w:val="17"/>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7"/>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5"/>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Unaudited Condensed Consolidated Financial Statements</w:t>
            </w:r>
          </w:p>
        </w:tc>
        <w:tc>
          <w:tcPr>
            <w:tcW w:w="3660" w:type="dxa"/>
            <w:vAlign w:val="bottom"/>
            <w:gridSpan w:val="2"/>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210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3920" w:type="dxa"/>
            <w:vAlign w:val="bottom"/>
            <w:tcBorders>
              <w:left w:val="single" w:sz="8" w:color="0000FF"/>
            </w:tcBorders>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4.</w:t>
            </w: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tcPr>
          <w:p>
            <w:pPr>
              <w:spacing w:after="0"/>
              <w:rPr>
                <w:sz w:val="24"/>
                <w:szCs w:val="24"/>
                <w:color w:val="auto"/>
              </w:rPr>
            </w:pPr>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32</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1.</w:t>
            </w: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40" w:type="dxa"/>
            <w:vAlign w:val="bottom"/>
          </w:tcPr>
          <w:p>
            <w:pPr>
              <w:spacing w:after="0"/>
              <w:rPr>
                <w:sz w:val="24"/>
                <w:szCs w:val="24"/>
                <w:color w:val="auto"/>
              </w:rPr>
            </w:pPr>
          </w:p>
        </w:tc>
        <w:tc>
          <w:tcPr>
            <w:tcW w:w="650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300" w:type="dxa"/>
            <w:vAlign w:val="bottom"/>
          </w:tcPr>
          <w:p>
            <w:pPr>
              <w:spacing w:after="0"/>
              <w:rPr>
                <w:sz w:val="24"/>
                <w:szCs w:val="24"/>
                <w:color w:val="auto"/>
              </w:rPr>
            </w:pPr>
          </w:p>
        </w:tc>
        <w:tc>
          <w:tcPr>
            <w:tcW w:w="694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2.</w:t>
            </w:r>
          </w:p>
        </w:tc>
        <w:tc>
          <w:tcPr>
            <w:tcW w:w="43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760" w:type="dxa"/>
            <w:vAlign w:val="bottom"/>
            <w:gridSpan w:val="10"/>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6.</w:t>
            </w:r>
          </w:p>
        </w:tc>
        <w:tc>
          <w:tcPr>
            <w:tcW w:w="43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392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34</w:t>
            </w:r>
          </w:p>
        </w:tc>
      </w:tr>
      <w:tr>
        <w:trPr>
          <w:trHeight w:val="128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19,541,538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27,040,816</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15,232,697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6,877,346</w:t>
            </w: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10,647,529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8,429,882</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3,738,842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3,339,969</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49,160,606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45,688,013</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9,048,567</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442,635</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29,048,043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23,954,475</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882,000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1,024,200</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2,426,996</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3,419,908</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90,776,553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84,459,798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9,640,980</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969,677</w:t>
            </w: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13,565,862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8,668,303</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25,306,223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19,278,960</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2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90,016</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9,279,208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7,488,844</w:t>
            </w:r>
          </w:p>
        </w:tc>
      </w:tr>
      <w:tr>
        <w:trPr>
          <w:trHeight w:val="223"/>
        </w:trPr>
        <w:tc>
          <w:tcPr>
            <w:tcW w:w="6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52,285,431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41,857,820</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175"/>
        </w:trPr>
        <w:tc>
          <w:tcPr>
            <w:tcW w:w="66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stock—no par value; 100,000,000 shares authorized; 14,436,583 and</w:t>
            </w: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5"/>
        </w:trPr>
        <w:tc>
          <w:tcPr>
            <w:tcW w:w="66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14,742,754 shares issued and outstanding as of September 30, 2022 and December 31,</w:t>
            </w: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3"/>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2021 , respectively</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47,532,375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48,452,906</w:t>
            </w: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(8,768,112)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(5,638,600)</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38,764,263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42,814,306</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(212,328)</w:t>
            </w:r>
          </w:p>
        </w:tc>
      </w:tr>
      <w:tr>
        <w:trPr>
          <w:trHeight w:val="223"/>
        </w:trPr>
        <w:tc>
          <w:tcPr>
            <w:tcW w:w="6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38,491,122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42,601,978</w:t>
            </w:r>
          </w:p>
        </w:tc>
      </w:tr>
      <w:tr>
        <w:trPr>
          <w:trHeight w:val="248"/>
        </w:trPr>
        <w:tc>
          <w:tcPr>
            <w:tcW w:w="6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90,776,553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84,459,798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0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7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3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11,413,072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32,887,269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27,665,182</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6,468,212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5,486,005</w:t>
            </w:r>
          </w:p>
        </w:tc>
      </w:tr>
      <w:tr>
        <w:trPr>
          <w:trHeight w:val="23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4,110,397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13,281,511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11,709,445</w:t>
            </w:r>
          </w:p>
        </w:tc>
      </w:tr>
      <w:tr>
        <w:trPr>
          <w:trHeight w:val="229"/>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5,283,083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4,071,638</w:t>
            </w:r>
          </w:p>
        </w:tc>
      </w:tr>
      <w:tr>
        <w:trPr>
          <w:trHeight w:val="229"/>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2,166,118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2,039,799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6,672,442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6,367,438</w:t>
            </w:r>
          </w:p>
        </w:tc>
      </w:tr>
      <w:tr>
        <w:trPr>
          <w:trHeight w:val="23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1,486,448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3,354,080</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11,701,660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9,635,935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36,314,394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30,988,606</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(3,323,424)</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2,187,140</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 gain on insurance proceeds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(70,297)</w:t>
            </w:r>
          </w:p>
        </w:tc>
      </w:tr>
      <w:tr>
        <w:trPr>
          <w:trHeight w:val="22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(3,169,625)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(1,187,170)</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(22,375)</w:t>
            </w:r>
          </w:p>
        </w:tc>
      </w:tr>
      <w:tr>
        <w:trPr>
          <w:trHeight w:val="22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(3,190,325)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(1,209,545)</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1,491,004</w:t>
            </w:r>
          </w:p>
        </w:tc>
      </w:tr>
      <w:tr>
        <w:trPr>
          <w:trHeight w:val="22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(423,226)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(1,086,693)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(3,190,325)</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281,459</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 subsidiary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58,651</w:t>
            </w:r>
          </w:p>
        </w:tc>
      </w:tr>
      <w:tr>
        <w:trPr>
          <w:trHeight w:val="22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(1,055,278)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(3,129,512)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340,110</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53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Continuing operations - 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Discontinued operations - basic</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23"/>
        </w:trPr>
        <w:tc>
          <w:tcPr>
            <w:tcW w:w="53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0"/>
        </w:trPr>
        <w:tc>
          <w:tcPr>
            <w:tcW w:w="5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Continuing operations -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Discontinued operations - diluted</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23"/>
        </w:trPr>
        <w:tc>
          <w:tcPr>
            <w:tcW w:w="53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14,477,478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14,880,887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14,618,975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14,939,919</w:t>
            </w:r>
          </w:p>
        </w:tc>
      </w:tr>
      <w:tr>
        <w:trPr>
          <w:trHeight w:val="23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14,477,478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14,880,887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14,618,975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15,139,904</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(3,190,325)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281,459</w:t>
            </w: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1,491,004</w:t>
            </w:r>
          </w:p>
        </w:tc>
      </w:tr>
      <w:tr>
        <w:trPr>
          <w:trHeight w:val="22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(3,190,325)</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(1,209,545)</w:t>
            </w:r>
          </w:p>
        </w:tc>
      </w:tr>
      <w:tr>
        <w:trPr>
          <w:trHeight w:val="175"/>
        </w:trPr>
        <w:tc>
          <w:tcPr>
            <w:tcW w:w="7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from continuing operations to net cash provided by</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4,816,630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3,529,245</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517,081</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 non-cash contingent consideration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(1,051,908)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(632,646)</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cash surrender value of life insurance policies over premiums paid</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(52,070)</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noncash interest expense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33,943</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on forgiveness of debt</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(2,187,140)</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receivable of life insurance policy proceeds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(8,184,656)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2,527,183</w:t>
            </w:r>
          </w:p>
        </w:tc>
      </w:tr>
      <w:tr>
        <w:trPr>
          <w:trHeight w:val="230"/>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2,555,393</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4,355,396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1,627,350</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8,778,631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(2,873,596)</w:t>
            </w:r>
          </w:p>
        </w:tc>
      </w:tr>
      <w:tr>
        <w:trPr>
          <w:trHeight w:val="230"/>
        </w:trPr>
        <w:tc>
          <w:tcPr>
            <w:tcW w:w="7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(2,472,453)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(943,439)</w:t>
            </w:r>
          </w:p>
        </w:tc>
      </w:tr>
      <w:tr>
        <w:trPr>
          <w:trHeight w:val="223"/>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4,815,365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2,891,759</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1,491,004</w:t>
            </w:r>
          </w:p>
        </w:tc>
      </w:tr>
      <w:tr>
        <w:trPr>
          <w:trHeight w:val="223"/>
        </w:trPr>
        <w:tc>
          <w:tcPr>
            <w:tcW w:w="76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4,815,365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4,382,763</w:t>
            </w:r>
          </w:p>
        </w:tc>
      </w:tr>
      <w:tr>
        <w:trPr>
          <w:trHeight w:val="20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(94,485)</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Settlement of patent litigation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Life insurance policy proceeds received</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Note receivable investment funding</w:t>
            </w: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(180,613)</w:t>
            </w:r>
          </w:p>
        </w:tc>
      </w:tr>
      <w:tr>
        <w:trPr>
          <w:trHeight w:val="223"/>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(13,033,684)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(475,098)</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45,000,000</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(45,000,000)</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payment of contingent consideration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(1,792,573)</w:t>
            </w:r>
          </w:p>
        </w:tc>
      </w:tr>
      <w:tr>
        <w:trPr>
          <w:trHeight w:val="230"/>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(1,025,657)</w:t>
            </w:r>
          </w:p>
        </w:tc>
      </w:tr>
      <w:tr>
        <w:trPr>
          <w:trHeight w:val="223"/>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(2,818,230)</w:t>
            </w:r>
          </w:p>
        </w:tc>
      </w:tr>
      <w:tr>
        <w:trPr>
          <w:trHeight w:val="223"/>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(7,499,278)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1,089,435</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27,040,816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24,753,796</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19,541,538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25,843,231</w:t>
            </w:r>
          </w:p>
        </w:tc>
      </w:tr>
      <w:tr>
        <w:trPr>
          <w:trHeight w:val="20"/>
        </w:trPr>
        <w:tc>
          <w:tcPr>
            <w:tcW w:w="7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earnings (deficit)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14,988,429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49,121,523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(2,131,013)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46,873,394</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187,759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(303,088)</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144,661</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2021</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15,084,464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48,981,395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(1,964,185)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46,877,927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48,981,395</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46,877,927</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191,954</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(484,965)</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1,223,491</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14,926,059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48,688,384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(735,625)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47,808,407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500" w:type="dxa"/>
            <w:vAlign w:val="bottom"/>
          </w:tcPr>
          <w:p>
            <w:pPr>
              <w:spacing w:after="0"/>
              <w:rPr>
                <w:sz w:val="24"/>
                <w:szCs w:val="24"/>
                <w:color w:val="auto"/>
              </w:rPr>
            </w:pPr>
          </w:p>
        </w:tc>
        <w:tc>
          <w:tcPr>
            <w:tcW w:w="14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14,926,059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48,688,384</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47,808,407</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(237,616)</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(1,086,693)</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14,850,526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48,612,935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(1,790,903)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46,646,265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earnings (deficit)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14,742,754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48,452,906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(5,638,600)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42,601,978</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162,155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159,901</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(566,043)</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(1,402,433)</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14,730,760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48,046,764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(7,023,853)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40,793,403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14,730,760</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48,046,764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(7,023,853)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40,793,403</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(196,692)</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(1,364,666)</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14,649,693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47,822,319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(8,359,473)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39,204,292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520" w:type="dxa"/>
            <w:vAlign w:val="bottom"/>
          </w:tcPr>
          <w:p>
            <w:pPr>
              <w:spacing w:after="0"/>
              <w:rPr>
                <w:sz w:val="24"/>
                <w:szCs w:val="24"/>
                <w:color w:val="auto"/>
              </w:rPr>
            </w:pPr>
          </w:p>
        </w:tc>
        <w:tc>
          <w:tcPr>
            <w:tcW w:w="14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14,649,693</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47,822,319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(8,359,473)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39,204,292</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of common shares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(399,600)</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188,449</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(78,793)</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(423,226)</w:t>
            </w:r>
          </w:p>
        </w:tc>
        <w:tc>
          <w:tcPr>
            <w:tcW w:w="0" w:type="dxa"/>
            <w:vAlign w:val="bottom"/>
          </w:tcPr>
          <w:p>
            <w:pPr>
              <w:spacing w:after="0"/>
              <w:rPr>
                <w:sz w:val="1"/>
                <w:szCs w:val="1"/>
                <w:color w:val="auto"/>
              </w:rPr>
            </w:pPr>
          </w:p>
        </w:tc>
      </w:tr>
      <w:tr>
        <w:trPr>
          <w:trHeight w:val="24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20" w:type="dxa"/>
            <w:vAlign w:val="bottom"/>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14,436,583</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47,532,375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(8,768,112)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(273,141)</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38,491,122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180"/>
          </w:cols>
          <w:pgMar w:left="320" w:top="1049"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The Company's primary target markets are hospital acute care, oncology, gastroenterology and rheumatology. These medical specialties are characterized by relatively concentrated prescriber bases that the Company believes can be served effectively by small, targeted sales forces. Cumberland is dedicated to providing innovative products that improve quality of care for patients and address unmet or poorly met medical needs. The Company promotes its approved products through its hospital, oncology and field sales forces in the United States. We are continuing to build a network of international partners to register and provide our medicines to patients in their countries.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control and manufacturing professionals. The Company works closely with its hospital, field and oncology sales teams and its third-party distribution partners to make its products available in the United States.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of the Company have been prepared on a basis consistent with the December 31, 2021,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2021 (the “2021 Annual Report on Form 10-K”). The results of operations for the three and nine months ended September 30, 2022, are not necessarily indicative of the results to be expected for the entire fiscal year or any future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discussed further in Note 10, during May 2019, Cumberland entered into a Dissolution Agreement ("Dissolution Agreement") with Clinigen Healthcare Limited ("Clinigen") in which the Company returned the exclusive rights to commercialize Ethyol</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and Totect</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in the United States to Clinigen. Under the terms of the Dissolution Agreement, Cumberland is no longer involved directly or indirectly with the distribution, marketing and promotion of either Ethyol or Totect or any competing products following December 31, 2019. The Company's exit from Ethyol and Totect meets the accounting criteria to be reported as discontinued operations and the discontinued operating results have been presented in the financial statements and footnotes to reflect the discontinued status of Ethyol and Totect. Refer to Note 10,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2020, the U.S. declared a health care emergency following the outbreak of the SARS-CoV-2, a novel strain of coronavirus that causes COVID-19, a respiratory illness.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has remained open for business, as the Company is considered to be essential by the United States Department of Homeland Security. The Company has implemented measures to address the impact of the novel coronavirus on the business and taken appropriate action to protect its employees, secure the supply chain, and support the patients who can benefit from its medicines. All of the Company's employees have been given the opportunity to work remotely, and those that wish to work from Cumberland's office and laboratories are encouraged to practice the behaviors outlined by the Centers for Disease Control.</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Throughout the pandemic, Cumberland has faced the same challenges affecting other companies that rely on hospital admissions and patient visits to drive revenue. Our clinical studies were impacted as fewer patients sought elective surgeries and our access to medical facilities was substantially limited. During 2020, 2021 and the nine months ended September 30, 2022, we carefully monitored our supply chain, including the flow of raw materials into the plants that manufacture our products as well as the batches of finished product emerging from those facilities. Several of our brands were negatively impacted by the lockdowns and postponement of physician office visits and elective procedures. However, we are fortunate to have a diversified product portfolio, with other brands delivering a strong performance during the pandemic.</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relies on third-party organizations around the world to supply components, manufacture and distribute its products. The Company is aware that it may experience revenue loss, supply interruptions, time delays and incur unplanned expenses as a result of the impact of the ongoing COVID-19 pandemic. The Company continues to monitor the COVID-19 pandemic situation both in the U.S. and internationally in order to maintain its employees’ safety and well-being, while also keeping its business operating. Given the uncertainty, magnitude and impact of such changes, the Company is unable to quantify the impact on the future results as of the date of this filing.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(deficit) as of the beginning of the first reporting period in which the guidance is adopted.</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will adopt both ASU 2016-13 and ASU 2019-05 on January 1, 2023. The adoption of ASU 2016-13 and ASU 2019-05 are not expected to have a material impact on the Company’s consolidated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Segments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(LOSS) PER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used to calculate diluted earnings (loss) per share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8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tcBorders>
              <w:bottom w:val="single" w:sz="8" w:color="auto"/>
            </w:tcBorders>
          </w:tcPr>
          <w:p>
            <w:pPr>
              <w:spacing w:after="0"/>
              <w:rPr>
                <w:sz w:val="19"/>
                <w:szCs w:val="19"/>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(423,226)</w:t>
            </w:r>
          </w:p>
        </w:tc>
        <w:tc>
          <w:tcPr>
            <w:tcW w:w="140" w:type="dxa"/>
            <w:vAlign w:val="bottom"/>
          </w:tcPr>
          <w:p>
            <w:pPr>
              <w:spacing w:after="0"/>
              <w:rPr>
                <w:sz w:val="19"/>
                <w:szCs w:val="19"/>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(1,583,480)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496,787</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(423,226)</w:t>
            </w:r>
          </w:p>
        </w:tc>
        <w:tc>
          <w:tcPr>
            <w:tcW w:w="14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(1,086,693)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 subsidiary attributable to noncontrolling interest</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14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31,415</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(408,639)</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(1,055,278)</w:t>
            </w: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14,477,478</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14,880,887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other securities</w:t>
            </w:r>
          </w:p>
        </w:tc>
        <w:tc>
          <w:tcPr>
            <w:tcW w:w="1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14,477,478</w:t>
            </w:r>
          </w:p>
        </w:tc>
        <w:tc>
          <w:tcPr>
            <w:tcW w:w="140" w:type="dxa"/>
            <w:vAlign w:val="bottom"/>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14,880,887</w:t>
            </w:r>
          </w:p>
        </w:tc>
      </w:tr>
      <w:tr>
        <w:trPr>
          <w:trHeight w:val="21"/>
        </w:trPr>
        <w:tc>
          <w:tcPr>
            <w:tcW w:w="6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(3,190,325)</w:t>
            </w:r>
          </w:p>
        </w:tc>
        <w:tc>
          <w:tcPr>
            <w:tcW w:w="14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(1,209,545)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1,491,004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(3,190,325)</w:t>
            </w: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281,459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 subsidiary attributable to noncontrolling interest</w:t>
            </w: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60,813</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58,651</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(3,129,512)</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340,110</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14,618,975</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14,939,919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other securities</w:t>
            </w:r>
          </w:p>
        </w:tc>
        <w:tc>
          <w:tcPr>
            <w:tcW w:w="1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199,985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14,618,975</w:t>
            </w:r>
          </w:p>
        </w:tc>
        <w:tc>
          <w:tcPr>
            <w:tcW w:w="140" w:type="dxa"/>
            <w:vAlign w:val="bottom"/>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15,139,904</w:t>
            </w:r>
          </w:p>
        </w:tc>
      </w:tr>
      <w:tr>
        <w:trPr>
          <w:trHeight w:val="20"/>
        </w:trPr>
        <w:tc>
          <w:tcPr>
            <w:tcW w:w="6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and 2021, restricted stock awards and options to purchase 233,750 and 158,900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revenues from contracts with customers under ASC 606, which became effective January 1,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net</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revenues  consisted  of  the  following</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  the  three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nine  months</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ended</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September</w:t>
            </w:r>
          </w:p>
        </w:tc>
        <w:tc>
          <w:tcPr>
            <w:tcW w:w="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88"/>
              </w:rPr>
              <w:t>30,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  and  2021:</w:t>
            </w:r>
          </w:p>
        </w:tc>
      </w:tr>
      <w:tr>
        <w:trPr>
          <w:trHeight w:val="257"/>
        </w:trPr>
        <w:tc>
          <w:tcPr>
            <w:tcW w:w="17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34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2"/>
                <w:szCs w:val="22"/>
                <w:color w:val="auto"/>
              </w:rPr>
            </w:pPr>
          </w:p>
        </w:tc>
        <w:tc>
          <w:tcPr>
            <w:tcW w:w="330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740" w:type="dxa"/>
            <w:vAlign w:val="bottom"/>
            <w:tcBorders>
              <w:bottom w:val="single" w:sz="8" w:color="CCEEFF"/>
            </w:tcBorders>
          </w:tcPr>
          <w:p>
            <w:pPr>
              <w:spacing w:after="0"/>
              <w:rPr>
                <w:sz w:val="19"/>
                <w:szCs w:val="19"/>
                <w:color w:val="auto"/>
              </w:rPr>
            </w:pPr>
          </w:p>
        </w:tc>
        <w:tc>
          <w:tcPr>
            <w:tcW w:w="27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2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3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3,903,305</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4,012,746</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11,418,673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12,286,729</w:t>
            </w:r>
          </w:p>
        </w:tc>
      </w:tr>
      <w:tr>
        <w:trPr>
          <w:trHeight w:val="230"/>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2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3,960,652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10,756,411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2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1,909,750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1,896,584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6,008,005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8,799,891</w:t>
            </w:r>
          </w:p>
        </w:tc>
      </w:tr>
      <w:tr>
        <w:trPr>
          <w:trHeight w:val="22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2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921,811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3,734,273</w:t>
            </w:r>
          </w:p>
        </w:tc>
      </w:tr>
      <w:tr>
        <w:trPr>
          <w:trHeight w:val="230"/>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2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325,774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(252,059)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1,861,130</w:t>
            </w:r>
          </w:p>
        </w:tc>
      </w:tr>
      <w:tr>
        <w:trPr>
          <w:trHeight w:val="22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2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368,733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337,685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638,704</w:t>
            </w:r>
          </w:p>
        </w:tc>
      </w:tr>
      <w:tr>
        <w:trPr>
          <w:trHeight w:val="230"/>
        </w:trPr>
        <w:tc>
          <w:tcPr>
            <w:tcW w:w="1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2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(451,683)</w:t>
            </w:r>
          </w:p>
        </w:tc>
      </w:tr>
      <w:tr>
        <w:trPr>
          <w:trHeight w:val="22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2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w:t>
            </w:r>
          </w:p>
        </w:tc>
      </w:tr>
      <w:tr>
        <w:trPr>
          <w:trHeight w:val="229"/>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7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496,789</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178,886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1,272,562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809,429</w:t>
            </w:r>
          </w:p>
        </w:tc>
      </w:tr>
      <w:tr>
        <w:trPr>
          <w:trHeight w:val="248"/>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11,413,072</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8,072,540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32,887,269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27,665,182</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Omeclamox-Pak revenue for the third quarter of 2022 and 2021 was the result of Cumberland currently being out of commercial inventory of this product. The packager for our Omeclamox-Pak product encountered financial difficulties due to the impact of COVID-19. They are under new management and are in the process of a reorganization. Discussions with the packager are ongoing. In the third quarter of 2022, the amounts noted were normal adjustments by channel partners. Net revenue was positively impacted by product return adjustments.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regard to Vaprisol, we are in the process of transitioning to a new manufacturer, who was issued an FDA Form 483 in the second quarter of 2022. Once these 483 related issues are satisfactorily resolved by the manufacturing plant, we will then resubmit our application to the FDA for approval. Net revenue was negatively impacted by product return adjustments.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agreements with international partners for commercialization of the Company's products with associated payments included in other revenues. Those agreements provide that each of the partners are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w:t>
      </w:r>
    </w:p>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we recorded $0.1 million and $0.6 million, respectively, for milestone and international licensee payments as part of other revenue.</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revenues also include funding from federal grant programs including those secured from the FDA and from those secured by Cumberland Emerging Technologies Inc.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federal grant programs totaled approximately $0.2 million and $0.02 million for the three months ended September 30, 2022 and 2021, respectively, and approximately $0.3 million each for the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works closely with third parties to manufacture and package finished goods for sale. Based on the arrangements with the manufacturer or</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September 30, 2022 and December 31, 2021, the Company had recognized and maintained cumulative net realizable value charges for potential obsolescence and discontinuance losses of approximately $1.8 million and $1.4 million, respectively.</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The Company is responsible for the purchase of the active pharmaceutical ingredient (“API”) for Kristalose and maintains the inventory at third-party packagers. As that API is consumed in production, the value of the API is transferred from raw materials to finished goods. API for the Company's Vaprisol</w:t>
      </w:r>
    </w:p>
    <w:p>
      <w:pPr>
        <w:jc w:val="both"/>
        <w:spacing w:after="0" w:line="297" w:lineRule="auto"/>
        <w:rPr>
          <w:sz w:val="20"/>
          <w:szCs w:val="20"/>
          <w:color w:val="auto"/>
        </w:rPr>
      </w:pPr>
      <w:r>
        <w:rPr>
          <w:rFonts w:ascii="Times New Roman" w:cs="Times New Roman" w:eastAsia="Times New Roman" w:hAnsi="Times New Roman"/>
          <w:sz w:val="18"/>
          <w:szCs w:val="18"/>
          <w:color w:val="auto"/>
        </w:rPr>
        <w:t>brand is also included in the raw materials inventory at September 30, 2022 and December 31, 2021. Consigned inventory represents Authorized Generic inventory stored with our partner until shipment.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Vibativ acquisition, Cumberland acquired API and work in process inventories of $15.6 million that were all initially classified as non-current inventories at the date of acquisition. For the Sancuso acquisition, Cumberland acquired $3.0 million of work in progress non-current inventory. At September 30, 2022 and December 31, 2021, total non-current inventory, including Vibativ, Sancuso and our clinical trial drug ifetroban, was $7.5 million and $9.0 million, respectively. The Company had no Vibativ finished goods included in non-current inventory at September 30, 2022, and $0.5 million included at December 31, 2021. The Company also has obtained $0.2 million and $0.4 million of finished goods in non-current inventory for API related to its ifetroban clinical initiatives at September 30, 2022 and December 31, 2021,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and December 31, 2021 the Company's net inventories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42"/>
        </w:trPr>
        <w:tc>
          <w:tcPr>
            <w:tcW w:w="67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11,738,972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12,374,983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Consigned inventory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6,277,745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4,939,088</w:t>
            </w:r>
          </w:p>
        </w:tc>
      </w:tr>
      <w:tr>
        <w:trPr>
          <w:trHeight w:val="223"/>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18,144,885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17,478,449</w:t>
            </w:r>
          </w:p>
        </w:tc>
      </w:tr>
      <w:tr>
        <w:trPr>
          <w:trHeight w:val="23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non-current inventories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(7,497,356)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(9,048,567)</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current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10,647,529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8,429,882</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Cumberland’s significant operating leases include the lease of approximately 25,500 square feet of office space in Nashville, Tennessee for its corporate headquarters. This lease expired in October 2022. The Company's operating leases also include the lease of approximately 14,200 square feet of wet laboratory and office space in Nashville, Tennessee by CET, our majority-owned subsidiary, where it operates the CET Life Sciences Center. This lease currently expires in April 2023.</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lease liabilities are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Cumberland’s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incremental borrowing rate used to discount the present value of the remaining lease payments is 7.42%. The weighted-average remaining lease term at September 30, 2022 is 0.4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15, 2021, Cumberland entered into a lease, pursuant to which the Company will lease approximately 16,631 rentable square feet of space (the “Leased Premise”) at the new Broadwest development located in Nashville, Tennessee with 1600 West End Avenue Partners, LLC. The Leased Premise will serve as the Company's new corporate headquarters. The initial term of the Lease is one hundred fifty-seven (157) months, with two consecutive options to renew for a period of five years each. The Broadwest lease calls for monthly base rent, operating expense and parking payments. In year 1, the base rent starts at $33.06 per square foot of rentable area. The lease also provides for several months of free rent plus a tenant improvement allowance. Cumberland received approval for its building permit and began construction on the Leased Premise in June 2022. On October 25, 2022, Cumberland received final building approval and a certificate of occupancy for the Leased Premise.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Position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and December 31, 2021, the Company's lease assets and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220" w:type="dxa"/>
            <w:vAlign w:val="bottom"/>
          </w:tcPr>
          <w:p>
            <w:pPr>
              <w:spacing w:after="0"/>
              <w:rPr>
                <w:sz w:val="20"/>
                <w:szCs w:val="20"/>
                <w:color w:val="auto"/>
              </w:rPr>
            </w:pPr>
          </w:p>
        </w:tc>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219,850</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1,024,200</w:t>
            </w:r>
          </w:p>
        </w:tc>
      </w:tr>
      <w:tr>
        <w:trPr>
          <w:trHeight w:val="453"/>
        </w:trPr>
        <w:tc>
          <w:tcPr>
            <w:tcW w:w="666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220" w:type="dxa"/>
            <w:vAlign w:val="bottom"/>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229,605</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969,677</w:t>
            </w:r>
          </w:p>
        </w:tc>
      </w:tr>
      <w:tr>
        <w:trPr>
          <w:trHeight w:val="216"/>
        </w:trPr>
        <w:tc>
          <w:tcPr>
            <w:tcW w:w="66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9"/>
        </w:trPr>
        <w:tc>
          <w:tcPr>
            <w:tcW w:w="6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90,016</w:t>
            </w:r>
          </w:p>
        </w:tc>
      </w:tr>
      <w:tr>
        <w:trPr>
          <w:trHeight w:val="22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229,605</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1,059,693</w:t>
            </w: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September 30, 2022, cumulative future minimum sublease income under non-cancelable operating subleases totals approximately $0.2 million and will be paid through the leases ending in October 2022 and April 2023. Excluding the Broadwest lease agreement, future minimum lease payments under non-cancelable operating leases (with initial or remaining lease terms in excess of one year)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Maturity of Lease Liabilities at September 30, 2022</w:t>
            </w:r>
          </w:p>
        </w:tc>
        <w:tc>
          <w:tcPr>
            <w:tcW w:w="2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23"/>
        </w:trPr>
        <w:tc>
          <w:tcPr>
            <w:tcW w:w="8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150,533</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92,477</w:t>
            </w:r>
          </w:p>
        </w:tc>
      </w:tr>
      <w:tr>
        <w:trPr>
          <w:trHeight w:val="22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243,010</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229,605</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38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80" w:type="dxa"/>
            <w:vAlign w:val="bottom"/>
            <w:tcBorders>
              <w:bottom w:val="single" w:sz="8" w:color="auto"/>
            </w:tcBorders>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80" w:type="dxa"/>
            <w:vAlign w:val="bottom"/>
          </w:tcPr>
          <w:p>
            <w:pPr>
              <w:spacing w:after="0"/>
              <w:rPr>
                <w:sz w:val="19"/>
                <w:szCs w:val="19"/>
                <w:color w:val="auto"/>
              </w:rPr>
            </w:pPr>
          </w:p>
        </w:tc>
      </w:tr>
      <w:tr>
        <w:trPr>
          <w:trHeight w:val="25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861,398</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910,975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424,632</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526,868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SHAREHOLDERS’ EQUITY AND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currently has a share repurchase program to repurchase up to $10 million of its common stock pursuant to Rule 10b-18 of the Securities Exchange Act of 1934. In January 2019, the Company's Board of Directors established the current $10 million repurchase program to replace the prior authorizations. During the nine months ended September 30, 2022 and September 30, 2021, the Company repurchased 290,576 shares and 326,537 shares of common stock for approximately $0.8 million and $1.0 million, respectively. At September 30, 2022, approximately $3.9 million of common shares was left to repurchase under this program.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purchases and sales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Company's March 2022 trading window, several members of Cumberland's Board of Directors entered into share purchase agreements of the Company's stock pursuant to Rule 10b5-1 of the Securities Exchange Act of 1934. These purchases are designed to increase ownership in the Company by the members of the Board. These purchases began in April 2022 and as of September 30, 2022, a total of 27,698 shares have been purchased through this trading plan.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Sales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2017, Cumberland filed a Shelf Registration on Form S-3 with the SEC associated with the sale of up to $100 million in corporate securities. The Shelf Registration was declared effective in January 2018. It also included an At the Market ("ATM") feature that allowed the Company to sell common shares at market prices, along with an agreement with B. Riley FBR Inc. to support such a placement of shares. The Company filed an updated Form S-3 with the SEC in December 2020, which was declared effective in January 2021. On December 27, 2021, the Company filed a related prospectus supplement in connection with the sale and issuance of shares having an aggregate gross sales price of up to $19 million. The Company intends to continue an ATM feature through B. Riley FBR, Inc. that would allow the Company to issue shares of its common stock. The Company did not issue any shares under an ATM during the nine months ended September 30, 2022 or September 30,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Grants and Incentive Stock Options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2022 and September 30, 2021, the Company issued 65,225 shares and 36,850 shares of restricted stock to employees, advisors and directors, respectively. Restricted stock issued to employees and advisors generally cliff-vests on the fourth anniversary of the date of grant and for directors on the one-year anniversary of the date of grant. During the nine months ended September 30, 2022 and 2021, the Company also issued 172,300 and 174,800 incentive stock options, respectively, to employees that cliff-vest on the fourth anniversary of the date of grant, that are set to expire in 2032 and 2031, respectively. Stock compensation expense is presented as a component of general and administrative expense in the condensed consolidated statements of operations. For the nine months ended September 30, 2022, we recorded a credit of $0.1 million to share-based compensation related to the forfeiture of unvested restricted stock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Agreement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29, 2022, the Company entered into the Ninth Amendment to the Revolving Credit Loan Agreement with Pinnacle Bank (as amended, the "Pinnacle Agreement") to update the Funded Debt Ratio to mean the ratio of (i) Funded Debt less the amount of Unrestricted Cash in excess of $8,500,000, to (ii) EBITDA, as determined at the end of each fiscal quarter on a rolling four (4) quarter basis. For the quarter ended September 30, 2022, we were in compliance with the Funded Debt Ratio financial covenant.</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the Company entered into the Eighth Amendment to the Revolving Credit Loan Agreement with Pinnacle Bank permitting the Maximum Funded Debt Ratio to be calculated on a rolling four-quarter basis to be no more than 3.00 to 1.00 for the second and third quarters of 2022 and 2.50 to 1.00 for each quarter thereafter.</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31, 2022, the Company and Pinnacle Bank entered into a Seventh Amendment to the Revolving Credit Loan Agreement to revise and update the Maximum Funded Debt Ratio financial covenant and to delete from the Pinnacle Agreement the Funded Debt to Tangible Capital Ratio financial covenant. These changes were made to more appropriately reflect the impact from the Sancuso acquisition.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2021, the Company and Pinnacle Bank entered into the Fifth Amendment to the Revolving Credit Note and the Sixth Amendment to the Revolving Credit Loan Agreement in order to increase the principal amount of the Note from $15 million to $20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28, 2021, the Company and Pinnacle Bank entered into a Fourth Amendment to the Revolving Credit Note and Fifth Amendment to the Revolving Credit Loan Agreement to renew the Revolving Credit Loan.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original Pinnacle Agreement was dated July 2017. Beginning on August 14, 2018, and continuing until October 7, 2020, the Company and Pinnacle Bank entered into a series of amendments to extend and update the Revolving Credit Note and Revolving Credit Agreement. The Fifth Amendment extends the maturity date three years through October 1, 2024.</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on the Pinnacle Agreement is based on LIBOR plus an interest rate spread. The current pricing under the Pinnacle Agreement provides for an interest rate spread of 1.75% to 2.75% above LIBOR with a minimum LIBOR of 0.90%. The applicable interest rate under the Pinnacle Agreement was 5.25% at September 30, 2022. In addition, a fee of 0.25% per year is charged on the unused line of credit. Interest and the unused line fee are payable quarterly. The parties have agreed on a process to determine a new interest rate benchmark at the point the LIBOR rate is expected to be discontinued over the next 12 to 24 months.</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$17.7 million and $15.0 million, respectively, in borrowings outstanding under its revolving credit facility.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line of credit are collateralized by substantially all of our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Agreement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2020, Cumberland entered into an agreement with WinHealth Investment (Singapore) Ltd creating </w:t>
      </w:r>
      <w:r>
        <w:rPr>
          <w:rFonts w:ascii="Times New Roman" w:cs="Times New Roman" w:eastAsia="Times New Roman" w:hAnsi="Times New Roman"/>
          <w:sz w:val="18"/>
          <w:szCs w:val="18"/>
          <w:i w:val="1"/>
          <w:iCs w:val="1"/>
          <w:color w:val="auto"/>
        </w:rPr>
        <w:t>WHC Biopharmaceuticals, Pte. Ltd</w:t>
      </w:r>
      <w:r>
        <w:rPr>
          <w:rFonts w:ascii="Times New Roman" w:cs="Times New Roman" w:eastAsia="Times New Roman" w:hAnsi="Times New Roman"/>
          <w:sz w:val="18"/>
          <w:szCs w:val="18"/>
          <w:color w:val="auto"/>
        </w:rPr>
        <w:t>.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a $0.2 million convertible note, which was funded during the first quarter of 2021. The joint venture will seek additional future capital from additional investors and has entered into exclusive option agreements to license product candidates from both Cumberland Pharmaceuticals Inc. and Cumberland Emerging Technologies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 has approximately $56.6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2022 and beyond, through the continued utilization of these net operating loss carryforwards, on any taxable income generated from our operations. The Company does not allocate any portion of its income tax expense (benefit) to discontinued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realized a $0.6 million gain in the second quarter of 2022 from insurance proceeds for a Company owned executive life insurance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COLLABORATIVE AGREEMENTS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received related to RediTrex, do not meet the criteria for accounting under ASC Topic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ADDITIONS AND RETURN OF PRODUCT RIGHTS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Vibativ</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Food and Drug Administration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 has accounted for the transaction as a business combination in accordance with ASC 805 and the product sales are included in the results of operations subsequent to the acquisition date. The Company made an upfront payment of $20.0 million at the closing of the transaction and a $5.0 million milestone payment in early April 2019. In addition, Cumberland has agreed to pay a royalty of up to 20% of on-going net sales of the product after the $2.5 million threshold is met. The future royalty payments were required to be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 The contingent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earned</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w:t>
            </w:r>
          </w:p>
        </w:tc>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paid</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Theravance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quarterly.</w:t>
            </w:r>
          </w:p>
        </w:tc>
      </w:tr>
      <w:tr>
        <w:trPr>
          <w:trHeight w:val="265"/>
        </w:trPr>
        <w:tc>
          <w:tcPr>
            <w:tcW w:w="236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6,515,627</w:t>
            </w:r>
          </w:p>
        </w:tc>
      </w:tr>
      <w:tr>
        <w:trPr>
          <w:trHeight w:val="229"/>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payment of royalty during the period</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(777,855)</w:t>
            </w:r>
          </w:p>
        </w:tc>
      </w:tr>
      <w:tr>
        <w:trPr>
          <w:trHeight w:val="230"/>
        </w:trPr>
        <w:tc>
          <w:tcPr>
            <w:tcW w:w="59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(1,550,241)</w:t>
            </w:r>
          </w:p>
        </w:tc>
      </w:tr>
      <w:tr>
        <w:trPr>
          <w:trHeight w:val="229"/>
        </w:trPr>
        <w:tc>
          <w:tcPr>
            <w:tcW w:w="590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10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631,608</w:t>
            </w:r>
          </w:p>
        </w:tc>
      </w:tr>
      <w:tr>
        <w:trPr>
          <w:trHeight w:val="248"/>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7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4,819,139</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contingent consideration liability of $4.8 million was accounted for as $1.9 million of other current liabilities and $3.0 million of other long-term liabilities on the condensed consolidated balance sheet as of September 30, 2022.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RediTrex</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consideration for the license Cumberland paid a deposit of $100,000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During December 2020, Cumberland introduced RediTrex and the launch that took place in late 2021 resulted in a $1.0 million milestone payment due to Nordic.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July 12, 2022, the Company entered into an amendment to our agreement with Nordic whereby they may assume responsibility for RediTrex marketing authorization in the U.S. and the opportunity to commercialize the product in the U.S. after March 31, 2023. Cumberland will continue to distribute and support the product until then. In accordance with the terms of the amendment, Nordic has agreed to return the 180,000 restricted Cumberland shares we previously issued to Nordic which will be cancelled, refund to Cumberland the milestone payment of $1.0 million we made associated with the brand's U.S. approval and issue a credit note in favor of the Company in the amount of $1.0 million for the unpaid milestone payment due from us for launch of the product line. The companies will cooperate on any transition and Cumberland will receive a long-term royalty on any Nordic sales of the product.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Sancuso Acquisition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 2022, Cumberland acquired the U.S. rights to the FDA-approved oncology-supportive care medicine Sancuso from Kyowa Kirin, Inc., the U.S. affiliate of Japan-based Kyowa Kirin Co., Ltd.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Cumberland acquired U.S. rights to Sancuso and assumed full commercial responsibility for the product in the U.S. – including its marketing, promotion, distribution, manufacturing and medical support activities.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Cumberland has accounted for the transaction as a business combination in accordance with ASC 805 and the product sales are included in the results of operations subsequent to the acquisition date. The Company made an upfront payment of $13.5 million at the closing of the transaction. The Agreement calls for milestone payments of up to $3.5 million based on the attainment of various approvals and sales performance. The Company believes that $1.5 million of the milestone payments will be earned and paid.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Cumberland has agreed to pay a royalty of up to 10% of on-going net sales of the product. The future royalty payments were required to be recognized at their acquisition-date fair value as a contingent consideration liability, as part of the contingent consideration transferred in the business combination. Cumberland has prepared a preliminary valuation of the contingent consideration liability utilizing significant unobservable inputs. As a result, the valuation is classified as Level 3 fair value measurement.</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was funded by cash and the Company's revolving credit facility. The Company is working with an outside consultant firm to finalize the Sancuso valuation of the transaction which will be completed later this year. The estimates of fair value for the more significant assets and liabilities assumed were as follows: prepaid expenses $0.3 million, inventory $5.2 million, goodwill $1.0 million, intangible assets $12.1 million, milestone payable $1.2 million and contingent liability $3.9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 2022</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3,946,716</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(339,721)</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498,333</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430,317</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4,535,645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consideration liability earned and accrued in operating expenses is paid to Kyowa Kirin quarterly. The contingent consideration liability of $4.5 million was accounted for as $1.9 million of current liabilities and $2.6 million of other long-term liabilities on the condensed consolidated balance sheet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Ethyol and Totect</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Cumberland entered into an agreement with Clinigen for the rights and responsibilities associated with the commercialization of Ethyol in the United States. In 2017, the Company entered into another agreement with Clinigen for the rights and responsibilities associated with the commercialization of Totect in the United States.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Early in 2019, Cumberland announced a strategic review of the Company's brands, capabilities, and international partners. This review followed an accelerated business development initiative, which resulted in a series of transactions. During May 2019, Cumberland entered into the Dissolution Agreement with Clinigen in which the Company returned the exclusive rights to commercialize Ethyol and Totect in the United States to Clinigen. Under the final terms of the Dissolution Agreement, Cumberland was no longer responsible for the distribution, marketing and promotion of either Ethyol or Totect or any competing products after December 31, 2019. In exchange for the return of these product license rights and the non-compete provisions of the Dissolution Agreement, Cumberland received $5 million in financial consideration paid in quarterly installments over the two-years following the transition date. Cumberland recorded the first four quarterly installments totaling $3.0 million during 2020 and the final four installments totaling $2.0 million during 2021, as discontinued operations.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exit from Ethyol and Totect met the accounting criteria to be reported as discontinued operations. December 31, 2019, as the transition date, was the final day Cumberland was responsible for the products. Cumberland was responsible for the products through December 31, 2019 and beginning on January 1, 2020, the products' rights transitioned back to Clinigen. As a result, January 1, 2020, was the first day of discontinued operations for the Ethyol and Totect products.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dissolution payments from Clinigen are reflected as revenue from discontinued operations. The Company did not incur expenses associated with these payments from Clinigen.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3080" w:type="dxa"/>
            <w:vAlign w:val="bottom"/>
            <w:tcBorders>
              <w:bottom w:val="single" w:sz="8" w:color="auto"/>
            </w:tcBorders>
            <w:gridSpan w:val="5"/>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496,787</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1,491,004</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496,787</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1,491,004</w:t>
            </w:r>
          </w:p>
        </w:tc>
      </w:tr>
      <w:tr>
        <w:trPr>
          <w:trHeight w:val="20"/>
        </w:trPr>
        <w:tc>
          <w:tcPr>
            <w:tcW w:w="5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98"/>
        </w:trPr>
        <w:tc>
          <w:tcPr>
            <w:tcW w:w="5020" w:type="dxa"/>
            <w:vAlign w:val="bottom"/>
          </w:tcPr>
          <w:p>
            <w:pPr>
              <w:spacing w:after="0"/>
              <w:rPr>
                <w:sz w:val="24"/>
                <w:szCs w:val="24"/>
                <w:color w:val="auto"/>
              </w:rPr>
            </w:pP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 w:lineRule="exact"/>
        <w:rPr>
          <w:sz w:val="20"/>
          <w:szCs w:val="20"/>
          <w:color w:val="auto"/>
        </w:rPr>
      </w:pPr>
    </w:p>
    <w:p>
      <w:pPr>
        <w:ind w:right="38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Disclosure regarding forward-looking statements</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impacts on our business as well as national and international markets and economies resulting from the COVID-19 pandemic.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w:t>
      </w:r>
    </w:p>
    <w:p>
      <w:pPr>
        <w:spacing w:after="0" w:line="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2021,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We are dedicated to providing innovative products that improve the quality of care for patients and address poorly met medical needs.</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primary target sectors are hospital acute care, oncology, gastroenterology and rheumatology. These medical specialties are characterized by relatively concentrated prescriber bases that we believe can be served effectively by small, targeted sales forces. We promote our approved products through our hospital, oncology and field sales forces in the United States. We have also established partnerships in Puerto Rico and the Middle East for our Vibativ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and are continuing to build a network of international partners to register and provide our medicines to patients in their countries.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of FDA approved brands includes:</w:t>
      </w:r>
    </w:p>
    <w:p>
      <w:pPr>
        <w:spacing w:after="0" w:line="152"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Acetadote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10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Caldolor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8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Kristalose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oral, a prescription laxative, for the treatment of constipation;</w:t>
      </w:r>
    </w:p>
    <w:p>
      <w:pPr>
        <w:spacing w:after="0" w:line="98" w:lineRule="exact"/>
        <w:rPr>
          <w:rFonts w:ascii="Times New Roman" w:cs="Times New Roman" w:eastAsia="Times New Roman" w:hAnsi="Times New Roman"/>
          <w:sz w:val="18"/>
          <w:szCs w:val="18"/>
          <w:color w:val="auto"/>
        </w:rPr>
      </w:pPr>
    </w:p>
    <w:p>
      <w:pPr>
        <w:ind w:left="1300" w:hanging="320"/>
        <w:spacing w:after="0" w:line="23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Omeclamox</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-Pak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omeprazole, clarithromycin, amoxicillin</w:t>
      </w:r>
      <w:r>
        <w:rPr>
          <w:rFonts w:ascii="Times New Roman" w:cs="Times New Roman" w:eastAsia="Times New Roman" w:hAnsi="Times New Roman"/>
          <w:sz w:val="18"/>
          <w:szCs w:val="18"/>
          <w:color w:val="auto"/>
        </w:rPr>
        <w:t>) oral, for the treatment of Helicobacter pylori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infection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duodenal ulcer disease;</w:t>
      </w:r>
    </w:p>
    <w:p>
      <w:pPr>
        <w:spacing w:after="0" w:line="167" w:lineRule="exact"/>
        <w:rPr>
          <w:rFonts w:ascii="Times New Roman" w:cs="Times New Roman" w:eastAsia="Times New Roman" w:hAnsi="Times New Roman"/>
          <w:sz w:val="18"/>
          <w:szCs w:val="18"/>
          <w:color w:val="auto"/>
        </w:rPr>
      </w:pPr>
    </w:p>
    <w:p>
      <w:pPr>
        <w:ind w:left="1300" w:hanging="320"/>
        <w:spacing w:after="0" w:line="231" w:lineRule="auto"/>
        <w:tabs>
          <w:tab w:leader="none" w:pos="12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RediTrex</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methotrexate</w:t>
      </w:r>
      <w:r>
        <w:rPr>
          <w:rFonts w:ascii="Times New Roman" w:cs="Times New Roman" w:eastAsia="Times New Roman" w:hAnsi="Times New Roman"/>
          <w:sz w:val="18"/>
          <w:szCs w:val="18"/>
          <w:color w:val="auto"/>
        </w:rPr>
        <w:t>) injection, for the treatment of active rheumatoid, juvenile idiopathic and severe psoriatic arthritis,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disabling psoriasis;</w:t>
      </w:r>
    </w:p>
    <w:p>
      <w:pPr>
        <w:spacing w:after="0" w:line="155" w:lineRule="exact"/>
        <w:rPr>
          <w:rFonts w:ascii="Times New Roman" w:cs="Times New Roman" w:eastAsia="Times New Roman" w:hAnsi="Times New Roman"/>
          <w:sz w:val="18"/>
          <w:szCs w:val="18"/>
          <w:b w:val="1"/>
          <w:bCs w:val="1"/>
          <w:color w:val="auto"/>
        </w:rPr>
      </w:pPr>
    </w:p>
    <w:p>
      <w:pPr>
        <w:ind w:left="1300" w:right="20" w:hanging="320"/>
        <w:spacing w:after="0" w:line="238" w:lineRule="auto"/>
        <w:tabs>
          <w:tab w:leader="none" w:pos="12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Sancuso</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transdermal, for the prevention of nausea and vomiting in patients receiving certain types of chemotherapy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w:t>
      </w:r>
    </w:p>
    <w:p>
      <w:pPr>
        <w:spacing w:after="0" w:line="112" w:lineRule="exact"/>
        <w:rPr>
          <w:rFonts w:ascii="Times New Roman" w:cs="Times New Roman" w:eastAsia="Times New Roman" w:hAnsi="Times New Roman"/>
          <w:sz w:val="18"/>
          <w:szCs w:val="18"/>
          <w:b w:val="1"/>
          <w:bCs w:val="1"/>
          <w:color w:val="auto"/>
        </w:rPr>
      </w:pPr>
    </w:p>
    <w:p>
      <w:pPr>
        <w:ind w:left="1300" w:right="20" w:hanging="320"/>
        <w:spacing w:after="0" w:line="231" w:lineRule="auto"/>
        <w:tabs>
          <w:tab w:leader="none" w:pos="12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Vaprisol</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 euvolemic and hypervolemic hyponatremia;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125" w:lineRule="exact"/>
        <w:rPr>
          <w:rFonts w:ascii="Times New Roman" w:cs="Times New Roman" w:eastAsia="Times New Roman" w:hAnsi="Times New Roman"/>
          <w:sz w:val="18"/>
          <w:szCs w:val="18"/>
          <w:b w:val="1"/>
          <w:bCs w:val="1"/>
          <w:color w:val="auto"/>
        </w:rPr>
      </w:pPr>
    </w:p>
    <w:p>
      <w:pPr>
        <w:ind w:left="1300" w:hanging="320"/>
        <w:spacing w:after="0" w:line="23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injection, for the treatment of certain serious bacterial infections including hospital-acquired and ventilator-associated bacterial pneumonia, as well as complicated skin and skin structure infections.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these commercial brands, we have Phase II clinical programs underway evaluating our ifetroban product candidates for patients with cardiomyopathy associated with 1) Duchenne Muscular Dystrophy (“DMD”), a fatal, genetic neuromuscular disease; 2) Systemic Sclerosis (“SSc”) or scleroderma, a debilitating autoimmune disorder characterized by fibrosis of the skin and internal organs; and 3) Aspirin-Exacerbated Respiratory Disease (“AERD”), a severe form of asthma.</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has built core competencies in the acquisition, development and commercialization of pharmaceutical products in the U.S. - and we believe we can leverage this existing infrastructure to support our continued growth both domestically and internationally. Our management team consists of pharmaceutical industry veterans with experience in business development, product development, regulatory, manufacturing, sales, marketing and finance.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and delivery of our products.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success of our existing brands while continuing to build a portfolio of differentiated products. We currently feature eight products approved by the FDA in the United States. We are also continuing to explore international partnerships to bring our medicines to patients in other countries. Additionally, we look for opportunities to expand our products into additional patient populations through clinical trials, new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could further develop and commercialize.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we are seeking long-term sustainable growth by:</w:t>
      </w:r>
    </w:p>
    <w:p>
      <w:pPr>
        <w:spacing w:after="0" w:line="194" w:lineRule="exact"/>
        <w:rPr>
          <w:sz w:val="20"/>
          <w:szCs w:val="20"/>
          <w:color w:val="auto"/>
        </w:rPr>
      </w:pPr>
    </w:p>
    <w:p>
      <w:pPr>
        <w:jc w:val="both"/>
        <w:ind w:left="660" w:hanging="328"/>
        <w:spacing w:after="0" w:line="24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Supporting and expanding the use of our marketed products. </w:t>
      </w:r>
      <w:r>
        <w:rPr>
          <w:rFonts w:ascii="Times New Roman" w:cs="Times New Roman" w:eastAsia="Times New Roman" w:hAnsi="Times New Roman"/>
          <w:sz w:val="18"/>
          <w:szCs w:val="18"/>
          <w:color w:val="auto"/>
        </w:rPr>
        <w:t>We continue to evaluate our products following their FDA approval to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additional clinical data could expand their market and use. For example, we have secured pediatric approval of Acetadote and Caldolor and are expanding the labeling for both brands accordingly. We also recently further expanded the labeling for Caldolor to allow its use prior to surgery. We will continue to explore such opportunities to bring our products to new patient populations.</w:t>
      </w:r>
    </w:p>
    <w:p>
      <w:pPr>
        <w:spacing w:after="0" w:line="151" w:lineRule="exact"/>
        <w:rPr>
          <w:rFonts w:ascii="Arial" w:cs="Arial" w:eastAsia="Arial" w:hAnsi="Arial"/>
          <w:sz w:val="22"/>
          <w:szCs w:val="22"/>
          <w:color w:val="auto"/>
        </w:rPr>
      </w:pPr>
    </w:p>
    <w:p>
      <w:pPr>
        <w:jc w:val="both"/>
        <w:ind w:left="660" w:hanging="328"/>
        <w:spacing w:after="0" w:line="249"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Selectively adding complementary brands. </w:t>
      </w:r>
      <w:r>
        <w:rPr>
          <w:rFonts w:ascii="Times New Roman" w:cs="Times New Roman" w:eastAsia="Times New Roman" w:hAnsi="Times New Roman"/>
          <w:sz w:val="18"/>
          <w:szCs w:val="18"/>
          <w:color w:val="auto"/>
        </w:rPr>
        <w:t>In addition to our product development activities, we are also seeking to acquire products or late-stage development product candidates to continue to build a portfolio of complementary brands. We focus on under-promoted, FDA-approved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acquisitions of Vibativ and Sancuso are examples of this strategy.</w:t>
      </w:r>
    </w:p>
    <w:p>
      <w:pPr>
        <w:spacing w:after="0" w:line="147" w:lineRule="exact"/>
        <w:rPr>
          <w:rFonts w:ascii="Arial" w:cs="Arial" w:eastAsia="Arial" w:hAnsi="Arial"/>
          <w:sz w:val="22"/>
          <w:szCs w:val="22"/>
          <w:color w:val="auto"/>
        </w:rPr>
      </w:pPr>
    </w:p>
    <w:p>
      <w:pPr>
        <w:jc w:val="both"/>
        <w:ind w:left="660" w:hanging="328"/>
        <w:spacing w:after="0" w:line="248"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Progressing our clinical pipeline and incubating future product opportunities at CET. </w:t>
      </w:r>
      <w:r>
        <w:rPr>
          <w:rFonts w:ascii="Times New Roman" w:cs="Times New Roman" w:eastAsia="Times New Roman" w:hAnsi="Times New Roman"/>
          <w:sz w:val="18"/>
          <w:szCs w:val="18"/>
          <w:color w:val="auto"/>
        </w:rPr>
        <w:t>We believe it is important to build a pipeline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new product opportunities, as we are doing though our ifetroban Phase II development programs. We are also supplementing our acquisitions and late-stage development activities with early-stage drug development activities with CET.</w:t>
      </w:r>
    </w:p>
    <w:p>
      <w:pPr>
        <w:spacing w:after="0" w:line="147"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Leveraging our infrastructure through co-promotion partnerships. </w:t>
      </w:r>
      <w:r>
        <w:rPr>
          <w:rFonts w:ascii="Times New Roman" w:cs="Times New Roman" w:eastAsia="Times New Roman" w:hAnsi="Times New Roman"/>
          <w:sz w:val="18"/>
          <w:szCs w:val="18"/>
          <w:color w:val="auto"/>
        </w:rPr>
        <w:t>We believe that our commercial infrastructure can help drive prescription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and product sales. We look for strategic partners that can complement our capabilities and enhance opportunities for our brands. For example, our co-promotion partnerships have allowed us to expand the support for Kristalose and Sancuso across the U.S.</w:t>
      </w:r>
    </w:p>
    <w:p>
      <w:pPr>
        <w:spacing w:after="0" w:line="167" w:lineRule="exact"/>
        <w:rPr>
          <w:rFonts w:ascii="Arial" w:cs="Arial" w:eastAsia="Arial" w:hAnsi="Arial"/>
          <w:sz w:val="22"/>
          <w:szCs w:val="22"/>
          <w:color w:val="auto"/>
        </w:rPr>
      </w:pPr>
    </w:p>
    <w:p>
      <w:pPr>
        <w:jc w:val="both"/>
        <w:ind w:left="660" w:hanging="328"/>
        <w:spacing w:after="0" w:line="245"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Building an international contribution to our business. </w:t>
      </w:r>
      <w:r>
        <w:rPr>
          <w:rFonts w:ascii="Times New Roman" w:cs="Times New Roman" w:eastAsia="Times New Roman" w:hAnsi="Times New Roman"/>
          <w:sz w:val="18"/>
          <w:szCs w:val="18"/>
          <w:color w:val="auto"/>
        </w:rPr>
        <w:t>We have established our own commercial capabilities, including three sales divisions,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cover the U.S. market for our products. We are also building a network of 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spacing w:after="0" w:line="165"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Managing our operations with financial discipline. </w:t>
      </w:r>
      <w:r>
        <w:rPr>
          <w:rFonts w:ascii="Times New Roman" w:cs="Times New Roman" w:eastAsia="Times New Roman" w:hAnsi="Times New Roman"/>
          <w:sz w:val="18"/>
          <w:szCs w:val="18"/>
          <w:color w:val="auto"/>
        </w:rPr>
        <w:t>We continually work to manage our expenses in line with our revenues to deliver cash flow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operations. We remain in a strong financial position, with favorable gross margins and a 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Headquarters Location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recently announced the relocation of our headquarters into new offices located on the Broadwest campus in the Vanderbilt/West End corridor of Nashville in late October 2022. We are delighted to continue our presence and participation in the Nashville healthcare community, which represents the largest concentration of healthcare companies in the country. Our new, state-of-the-art headquarters keeps us close to the Vanderbilt University Medical Center, enabling our continued collaboration, as we work to develop new medicines for the future.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Broadwest is a 1.2 million-square-foot urban, mixed-use complex and business park – with office space, a Conrad Hilton hotel and supportive retail space. Our move allows us to accommodate recent growth and better serve our international base of customers and partners. Following this relocation, our organization is expected to grow to over 100 individuals, with a majority employed at our Nashville headquarters.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Agreements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we signed a new agreement with PiSA Pharmaceutical ("PiSA") for the exclusive supply and distribution of our ibuprofen injection product in Mexico. Cumberland will be responsible for sharing the U.S. dossier and providing product supply, while PiSA will be responsible for obtaining the regulatory approval and then commercializing the product in Mexico. PiSA expects to provide the product in both 400- and 800-milligram vials.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during the third quarter of 2022, we entered into an agreement with Phebra PTY Ltd. ("Phebra") to market and distribute Caldolor in Australia. Caldolor was registered and launched by CSL Seqirus in Australia, with the marketing authorization and distribution now shifted to Phebra who also distributes our Acetadote product in that country.</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Caldolor, our proprietary, intravenously delivered formulation of ibuprofen, can be a key component in cost-effective </w:t>
      </w:r>
      <w:r>
        <w:rPr>
          <w:rFonts w:ascii="Times New Roman" w:cs="Times New Roman" w:eastAsia="Times New Roman" w:hAnsi="Times New Roman"/>
          <w:sz w:val="18"/>
          <w:szCs w:val="18"/>
          <w:i w:val="1"/>
          <w:iCs w:val="1"/>
          <w:color w:val="auto"/>
        </w:rPr>
        <w:t>Enhanced Recovery After Surgery</w:t>
      </w:r>
      <w:r>
        <w:rPr>
          <w:rFonts w:ascii="Times New Roman" w:cs="Times New Roman" w:eastAsia="Times New Roman" w:hAnsi="Times New Roman"/>
          <w:sz w:val="18"/>
          <w:szCs w:val="18"/>
          <w:color w:val="auto"/>
        </w:rPr>
        <w:t xml:space="preserve"> multimodal treatment protocols. When administered immediately prior to surgery, the non-narcotic pain reliever enables patients to wake in significantly less pain and to suffer significantly less pain during their recovery. Ibuprofen delivered through intravenous injection can also considerably reduce the need for post-operative opioids and improve recovery by reducing the side effects associated with those narcotics.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Sancuso Acquisition and Promotion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early 2022, Cumberland acquired the U.S. rights to the FDA-approved oncology-supportive care medicine Sancuso from Kyowa Kirin, Inc., the U.S. affiliate of Japan-based Kyowa Kirin Co., Ltd. We largely completed the transition of Sancuso to Cumberland during the third quarter of 2022. Cumberland has assumed commercial responsibility for the product in the U.S. – including its marketing, promotion, distribution, manufacturing and medical support activities.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support Sancuso we formed a specialty sales division, Cumberland Oncology. To augment those efforts we also entered into a co-promotion agreement with Verity Pharmaceuticals (“Verity”) to feature Sancuso through their national oncology sales organization. Verity completed training of its sales force and in July 2022 launched their promotion of Sancuso. Verity will promote the product across the U.S. market for an initial three-year term, with an option to extend for an additional two years. Verity and Cumberland will share in the incremental contribution margin resulting from Verity’s efforts.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Nordic Pharma Arrangements</w:t>
      </w:r>
    </w:p>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July 2022, we entered into an amendment to our agreement with Nordic Pharma (“Nordic”) that addresses the responsibilities and financial arrangements regarding our license to Nordic’s methotrexate line of products for the U.S. (the “License”). Our line of prefilled methotrexate syringes, marketed under the brand name RediTrex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U.S., is covered by the License.</w:t>
      </w:r>
    </w:p>
    <w:p>
      <w:pPr>
        <w:spacing w:after="0" w:line="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amendment, Nordic may assume responsibility for commercializing the methotrexate products in the U.S. after March 31, 2023. We will continue to distribute and support the RediTrex product line during a transition period until then. Following the return of the License, Nordic will provide us with a royalty on their future sales of the products through April 2035. The companies will continue to collaborate on any transition and the ongoing commercialization of the product line.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Cumberland will transfer the marketing authorization associated with the RediTrex product line to Nordic. Nordic has agreed to return the 180,000 shares we issued to Nordic associated with the License and will refund the $1 million we paid to Nordic following the brand’s approval in the U.S. Nordic has also issued a credit note in favor of Cumberland in the amount of $1 million for the unpaid milestone payment due from us which was associated with our launch of the product line.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Ifetroban Clinical Studies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been evaluating our ifetroban product candidate, a selective thromboxane-prostanoid receptor (“TPr”) antagonist, in a series of clinical studies. It has been dosed in nearly 1,400 subjects and has been found to be safe and well tolerated in healthy volunteers and various patient populations.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Cumberland is currently sponsoring three Phase II clinical programs to evaluate ifetroban in patients with:</w:t>
      </w:r>
    </w:p>
    <w:p>
      <w:pPr>
        <w:spacing w:after="0" w:line="144" w:lineRule="exact"/>
        <w:rPr>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Aspirin-Exacerbated Respiratory Disease, ("AERD") a severe form of asthma;</w:t>
      </w:r>
    </w:p>
    <w:p>
      <w:pPr>
        <w:spacing w:after="0" w:line="157"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Systemic Sclerosis or scleroderma, a debilitating autoimmune disorder characterized by diffuse fibrosis of the skin and internal organs; and</w:t>
      </w:r>
    </w:p>
    <w:p>
      <w:pPr>
        <w:spacing w:after="0" w:line="157" w:lineRule="exact"/>
        <w:rPr>
          <w:rFonts w:ascii="Times New Roman" w:cs="Times New Roman" w:eastAsia="Times New Roman" w:hAnsi="Times New Roman"/>
          <w:sz w:val="18"/>
          <w:szCs w:val="18"/>
          <w:color w:val="auto"/>
        </w:rPr>
      </w:pPr>
    </w:p>
    <w:p>
      <w:pPr>
        <w:ind w:left="660" w:hanging="4"/>
        <w:spacing w:after="0" w:line="282" w:lineRule="auto"/>
        <w:tabs>
          <w:tab w:leader="none" w:pos="8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cardiomyopathy associated with Duchenne Muscular Dystrophy, a genetic neuromuscular disease that results in deterioration of the skeletal, heart and lung muscles.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awaiting results from the studies underway before deciding on the best development path for the registration of ifetroban, which we believe has the potential to help many patients.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designing a fourth Phase II program to evaluate the use of ifetroban to treat patients with Progressive Fibrosing Interstitial Lung Diseases and we are currently preparing an application to the FDA to support the new program.</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Company-sponsored studies, researchers at Brigham and Women’s Hospital have completed an investigator-initiated study evaluating the impact of ifetroban on the aspirin desensitization process in patients with AERD. This single center study closed early due to poor patient accrual and exhausted funding. The researchers found no statistical difference in the dose of aspirin needed to provide an increase in an extended version of the patient’s total nasal symptom score. A publication by the researchers with the full study results will be forthcoming.. It should be noted that the results from this investigator study were inconsistent with the previously published preclinical findings that demonstrated ifetroban blockade inhibited all features of aspirin reactions in a model of AERD.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Vaprisol Supply Update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transitioning to a new manufacturer for our Vaprisol product. During 2021, we shipped all remaining inventory of the product and notified the FDA that supplies of the product were then not currently available. We have transferred manufacturing to a new facility and await the submission and FDA approval for that plant before resuming shipments. During the second quarter of 2022, the new manufacturer was issued an FDA Form 483 followed by a warning letter in the fourth quarter, after an inspection of their facility. The FDA notified us that our application to manufacture Vaprisol at the new facility would need to be resubmitted once those 483 issues are satisfactorily resolved. Our new manufacturing partner is working with the FDA to address those issues on a timely basis. Meanwhile, we plan to provide an interim supply of compounded product to the market while awaiting the needed facility approval.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Omeclamox-Pak Supply Update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packager for our Omeclamox-Pak product has been unable to provide us with supplies of the product, having encountered difficulties and therefore suspending operations during the pandemic. We are currently awaiting the facility’s packaging to resume, while also exploring other alternatives to restart the product’s packaging before we seek to resupply the market.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Adjustment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announcing preliminary earnings on November 8, 2022, Cumberland identified a balance sheet adjustment, which is reflected in the financial results included in this Quarterly Report on Form 10-Q. As a result of this adjustment, accounts receivable were increased by $0.15 million, property and equipment were reduced by $0.8 million and current liabilities were reduced by $0.65 million from the amounts reported in the earnings release as of September 30, 2022. This adjustment only affected the balance sheet and the statement of cash flows but did not change net loss for the period.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remains committed to our mission of providing innovative products that improve the quality of care for patients and address poorly met medical needs. We are working to fulfill this mission by building a portfolio of innovative and differentiated products through a multifaceted strategy that includes the development of new candidates as well as the acquisition of established brands. Our resulting, diversified product line has enabled us to weather external challenges while our team remains responsive to the evolving medical market. We are prepared for and look forward to future opportunities to carry out our mission throughout the remainder of the year.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2021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and Judgments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to the three months ended September 30, 2021</w:t>
      </w:r>
    </w:p>
    <w:p>
      <w:pPr>
        <w:spacing w:after="0" w:line="12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unaudited interim statements of operations for continuing operations for the three months ended September 30,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34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11,413,072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8,072,540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3,340,532</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896,416</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4,110,397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3,800,288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310,109</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1,714,254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260,381</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2,166,118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2,039,799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126,319</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1,013,948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472,500</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11,701,660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9,635,935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2,065,725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1,274,807</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14,208</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(129,319)</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1,159,696</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(423,226)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(1,583,480)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1,160,254</w:t>
            </w:r>
          </w:p>
        </w:tc>
      </w:tr>
      <w:tr>
        <w:trPr>
          <w:trHeight w:val="20"/>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2"/>
        </w:trPr>
        <w:tc>
          <w:tcPr>
            <w:tcW w:w="5560" w:type="dxa"/>
            <w:vAlign w:val="bottom"/>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34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3,903,305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4,012,746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(109,441)</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3,960,652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3,960,652</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1,909,750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1,896,584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1,255,669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(333,858)</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(326,210)</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(268,941)</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w:t>
            </w: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74,350</w:t>
            </w:r>
          </w:p>
        </w:tc>
      </w:tr>
      <w:tr>
        <w:trPr>
          <w:trHeight w:val="230"/>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178,886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317,903</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11,413,072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8,072,540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3,340,532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three months ended September 30, 2022, were $11.4 million compared to $8.1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As detailed in the table above, net revenue increased during the quarter for two of our marketed products: RediTrex and Vibativ. We also continued significant shipments of Sancuso which we launched earlier in the year.</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Kristalose revenue of $3.9 million for the third quarter of 2022, represented a decrease of $0.1 million when compared to the prior year period. The decrease was primarily the result of timing of shipments to one of our co-promotion partners.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Acetadote revenue includes net sales of our Acetadote brand and our share of net sales from our Authorized Generic. During the quarter, there was a decrease in the branded product's revenue due to sales adjustments related to expired product returns.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Vaprisol revenue for the third quarter of 2022, a decrease of $0.3 million compared to the same period last year. This decrease is primarily due to the lack of inventory of the product, as we await FDA approval on a new manufacturer.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Caldolor revenue was $0.9 million for the third quarter of 2022, a decrease of $0.3 million, compared to the third quarter of 2021. The decrease was due to the timing of international shipments of the product in 2021 and 2022.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Vibativ revenue was $1.9 million for the three months ended September 30, 2022, which is comparable to the product's revenue in 2021.</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Sancuso revenue was $4.0 million for the third quarter of 2022, which was $1.1 million higher than the third quarter of 2021 U.S. results reported by Kyowa Kirin, from whom Cumberland acquired the U.S. rights to Sancuso on January 3, 2022.</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Omeclamox-Pak had no sales for the third quarter of 2022, as Cumberland is currently out of commercial inventory of this product. The packager for our Omeclamox-Pak product encountered financial difficulties, and currently is under new management and a reorganization. We are in discussions about the resumption of packaging the product. Net revenue for the three months ended September 30, 2022, was positively impacted by various revenue adjustments.</w:t>
      </w:r>
    </w:p>
    <w:p>
      <w:pPr>
        <w:spacing w:after="0" w:line="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third quarter of 2022 and 2021 were $2.2 million and $1.3 million, respectively. Cost of products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percentage of net revenues, were 19.5% during the three months ended September 30, 2022, compared to 16.5% during the three months ended September 30, 2021.</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 for the third quarter of 2022 increased $0.3 million compared to the same period last year.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is primarily attributable to an increase in marketing expenses associated with the Sancuso acquisition, including royalty costs, promotional spending and the costs associated with our new oncology sales division.</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for the third quarter of 2022 and 2021 were $1.7 million and $1.5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our research and development costs is variable based on the number of trials, study sites, number of patients and the cost per patient in each of our clinical programs. We continue to fund our ongoing clinical initiatives associated with our pipeline product candidates.</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increased to $2.2 million for the third quarter of 2022, compared to $2.0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2021, an increase of $0.1 million. The increase was primarily attributable to increases in compensation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Vibativ:</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1,909,750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1,896,584</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1,103,581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407,386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(179,303)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455,814</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985,472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1,033,384</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Sancuso: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4,060,652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1,024,014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2,648,103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the third quarter of 2022, net revenue includes a $100,000 payment to Cumberland required under a new sales representation agreement.</w:t>
      </w:r>
    </w:p>
    <w:p>
      <w:pPr>
        <w:spacing w:after="0" w:line="132"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Sancuso inventory included in the costs of product sold during the period was acquired and paid for by Cumberland as part of the acquisition of the brand during 2022.</w:t>
      </w:r>
    </w:p>
    <w:p>
      <w:pPr>
        <w:spacing w:after="0" w:line="1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the three months ended September 30, 2022 and 2021, totaled approximately $1.5 million and $1.0 million, respectively. The increase in amortization expense is due to the acquisition of Sancuso.</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for the three months ended September 30, 2022, was comparable to the income tax expense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we had approximately $56.6 million in federal net operating loss carryforwards including approximately $44 million of net operating loss carryforwards resulting from the exercise of nonqualified stock options that have historically been used to significantly offset income tax obligations. We expect to continue to pay minimal income taxes during 2022 and beyond, through the continued utilization of these net operating loss carryforwards, on any taxable income generated from our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to the nine months ended September 30, 2021</w:t>
      </w:r>
    </w:p>
    <w:p>
      <w:pPr>
        <w:spacing w:after="0" w:line="229"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unaudited interim statements of operations for continuing operations for the nine months ended September 30,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32,887,269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27,665,182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5,222,087</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6,468,212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5,486,005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982,207</w:t>
            </w:r>
          </w:p>
        </w:tc>
        <w:tc>
          <w:tcPr>
            <w:tcW w:w="10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13,281,511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11,709,445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1,572,066</w:t>
            </w:r>
          </w:p>
        </w:tc>
        <w:tc>
          <w:tcPr>
            <w:tcW w:w="10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5,283,083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4,071,638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1,211,445</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6,672,442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6,367,438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305,004</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1,255,066</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36,314,394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30,988,606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5,325,788</w:t>
            </w:r>
          </w:p>
        </w:tc>
        <w:tc>
          <w:tcPr>
            <w:tcW w:w="100" w:type="dxa"/>
            <w:vAlign w:val="bottom"/>
            <w:tcBorders>
              <w:bottom w:val="single" w:sz="8" w:color="CCEEFF"/>
            </w:tcBorders>
          </w:tcPr>
          <w:p>
            <w:pPr>
              <w:spacing w:after="0"/>
              <w:rPr>
                <w:sz w:val="19"/>
                <w:szCs w:val="19"/>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(3,323,424)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(103,701)</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33,298</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gain on debt forgiveness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(2,187,140)</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 gain on insurance proceeds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611,330</w:t>
            </w:r>
          </w:p>
        </w:tc>
        <w:tc>
          <w:tcPr>
            <w:tcW w:w="100" w:type="dxa"/>
            <w:vAlign w:val="bottom"/>
            <w:shd w:val="clear" w:color="auto" w:fill="CCEEFF"/>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(336,242)</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(3,169,625)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(1,982,455)</w:t>
            </w:r>
          </w:p>
        </w:tc>
        <w:tc>
          <w:tcPr>
            <w:tcW w:w="10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(3,190,325)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(1,209,545)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(1,980,780)</w:t>
            </w:r>
          </w:p>
        </w:tc>
        <w:tc>
          <w:tcPr>
            <w:tcW w:w="100" w:type="dxa"/>
            <w:vAlign w:val="bottom"/>
          </w:tcPr>
          <w:p>
            <w:pPr>
              <w:spacing w:after="0"/>
              <w:rPr>
                <w:sz w:val="19"/>
                <w:szCs w:val="19"/>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61"/>
        </w:trPr>
        <w:tc>
          <w:tcPr>
            <w:tcW w:w="55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8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11,418,673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12,286,729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(868,056)</w:t>
            </w: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10,756,411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10,756,411</w:t>
            </w: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6,008,005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8,799,891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(2,791,886)</w:t>
            </w: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3,734,273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(658,918)</w:t>
            </w: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1,861,130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(2,113,189)</w:t>
            </w: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(301,019)</w:t>
            </w: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483,608</w:t>
            </w: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252,003</w:t>
            </w:r>
          </w:p>
        </w:tc>
      </w:tr>
      <w:tr>
        <w:trPr>
          <w:trHeight w:val="230"/>
        </w:trPr>
        <w:tc>
          <w:tcPr>
            <w:tcW w:w="5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1,272,562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809,429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463,133</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32,887,269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27,665,182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5,222,087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nine months ended September 30, 2022, were $32.9 million compared to $27.7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an increase of $5.2 million. The addition of our newest product Sancuso contributed to an overall 18.9% revenue increase.</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Kristalose revenue was $11.4 million during the first nine months of 2022, compared to $12.3 million for the prior year period. Revenue decreased due to slightly lower sales volume associated with one of our co-promotion partners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Vibativ revenue was $6.0 million for the nine months ended September 30, 2022, compared to $8.8 million for the same period last year. The decrease in net revenue was a result of higher sales volume for the product during the nine months ended September 30, 2021. The decline was also a result of increased purchases in 2021 associated in part with wholesaler stocking of our new packaged product.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Vaprisol revenue was $(0.3) million for the first nine months of 2022 as Cumberland is currently out of commercial inventory of the product. Net revenue was negatively impacted by various sales adjustments.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Omeclamox-Pak had no sales for the nine months ended September 30, 2022, as Cumberland is currently out of commercial inventory of this product. The packager for our Omeclamox-Pak product encountered financial difficulties and currently is under new management and a reorganization. We are in discussions about the resumption of packaging the product.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Acetadote revenue includes net sales of our Acetadote brand and our share of net sales from our Authorized Generic. There was a decrease in the product's year to date revenue for the nine months ended September 30, 2022, when compared to the prior year period as a result of an increase in expired product returns in 2022.</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Caldolor revenue was $3.1 million for the first three quarters of 2022, a decrease of $0.7 million compared to the same period last year due to the timing of international shipments.</w:t>
      </w:r>
    </w:p>
    <w:p>
      <w:pPr>
        <w:spacing w:after="0" w:line="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first nine months of 2022 were $6.5 million, an increase of $1.0 million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year due to the addition of Sancuso to the product mix.</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 for the nine months ended September 30, 2022, increased $1.6 million compared to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This increase is primarily attributable to an increase in marketing expenses associated with the Sancuso acquisition including royalty costs, promotional spending and the costs associated with our new oncology sales division.</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were $5.3 million for the first nine months of 2022 compared to $4.1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last year. A portion of our research and development costs is variable based on the number of trials, study sites, cost of the per patient study protocol and patients involved in the development of our new product candidates. We continue to fund our ongoing clinical initiatives associated with our pipeline product candidates.</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for the nine months ended September 30, 2022, remained consistent with $6.7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$6.4 million during the nine months ended September 30, 2021. In 2022, we experienced a slight increase in compensation expense.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components</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discussed</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above</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reflect</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following</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impacts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from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Vibativ:</w:t>
            </w:r>
          </w:p>
        </w:tc>
      </w:tr>
      <w:tr>
        <w:trPr>
          <w:trHeight w:val="256"/>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Financial Impact of Vibativ</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40" w:type="dxa"/>
            <w:vAlign w:val="bottom"/>
            <w:tcBorders>
              <w:bottom w:val="single" w:sz="8" w:color="auto"/>
            </w:tcBorders>
          </w:tcPr>
          <w:p>
            <w:pPr>
              <w:spacing w:after="0"/>
              <w:rPr>
                <w:sz w:val="22"/>
                <w:szCs w:val="22"/>
                <w:color w:val="auto"/>
              </w:rPr>
            </w:pPr>
          </w:p>
        </w:tc>
      </w:tr>
      <w:tr>
        <w:trPr>
          <w:trHeight w:val="223"/>
        </w:trPr>
        <w:tc>
          <w:tcPr>
            <w:tcW w:w="4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r>
      <w:tr>
        <w:trPr>
          <w:trHeight w:val="223"/>
        </w:trPr>
        <w:tc>
          <w:tcPr>
            <w:tcW w:w="16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6,158,005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8,799,891</w:t>
            </w:r>
          </w:p>
        </w:tc>
      </w:tr>
      <w:tr>
        <w:trPr>
          <w:trHeight w:val="229"/>
        </w:trPr>
        <w:tc>
          <w:tcPr>
            <w:tcW w:w="21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2,433,061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2,542,348</w:t>
            </w:r>
          </w:p>
        </w:tc>
      </w:tr>
      <w:tr>
        <w:trPr>
          <w:trHeight w:val="230"/>
        </w:trPr>
        <w:tc>
          <w:tcPr>
            <w:tcW w:w="2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484,057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1,725,889</w:t>
            </w:r>
          </w:p>
        </w:tc>
      </w:tr>
      <w:tr>
        <w:trPr>
          <w:trHeight w:val="223"/>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3,240,887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4,531,654</w:t>
            </w:r>
          </w:p>
        </w:tc>
      </w:tr>
      <w:tr>
        <w:trPr>
          <w:trHeight w:val="20"/>
        </w:trPr>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2022 net revenue includes a $150,000 payment to Cumberland required under the terms of a new licensee agreement.</w:t>
      </w:r>
    </w:p>
    <w:p>
      <w:pPr>
        <w:spacing w:after="0" w:line="81"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ectPr>
          <w:pgSz w:w="11900" w:h="16838" w:orient="portrait"/>
          <w:cols w:equalWidth="0" w:num="1">
            <w:col w:w="11240"/>
          </w:cols>
          <w:pgMar w:left="320" w:top="1417" w:right="339" w:bottom="1440" w:gutter="0" w:footer="0" w:header="0"/>
        </w:sect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p>
      <w:pPr>
        <w:ind w:left="20"/>
        <w:spacing w:after="0" w:line="218" w:lineRule="auto"/>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Vibativ contribution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18"/>
          <w:szCs w:val="18"/>
          <w:b w:val="1"/>
          <w:bCs w:val="1"/>
          <w:color w:val="auto"/>
        </w:rPr>
        <w:t>Since Acquisition</w:t>
      </w:r>
    </w:p>
    <w:p>
      <w:pPr>
        <w:spacing w:after="0" w:line="40" w:lineRule="exact"/>
        <w:rPr>
          <w:sz w:val="20"/>
          <w:szCs w:val="20"/>
          <w:color w:val="auto"/>
        </w:rPr>
      </w:pPr>
    </w:p>
    <w:p>
      <w:pPr>
        <w:ind w:left="1289" w:hanging="1289"/>
        <w:spacing w:after="0"/>
        <w:tabs>
          <w:tab w:leader="none" w:pos="128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42,279,028</w:t>
      </w:r>
    </w:p>
    <w:p>
      <w:pPr>
        <w:spacing w:after="0" w:line="38" w:lineRule="exact"/>
        <w:rPr>
          <w:rFonts w:ascii="Times New Roman" w:cs="Times New Roman" w:eastAsia="Times New Roman" w:hAnsi="Times New Roman"/>
          <w:sz w:val="17"/>
          <w:szCs w:val="17"/>
          <w:color w:val="auto"/>
        </w:rPr>
      </w:pPr>
    </w:p>
    <w:p>
      <w:pPr>
        <w:ind w:left="128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14,622,317</w:t>
      </w:r>
    </w:p>
    <w:p>
      <w:pPr>
        <w:spacing w:after="0" w:line="34" w:lineRule="exact"/>
        <w:rPr>
          <w:rFonts w:ascii="Times New Roman" w:cs="Times New Roman" w:eastAsia="Times New Roman" w:hAnsi="Times New Roman"/>
          <w:sz w:val="17"/>
          <w:szCs w:val="17"/>
          <w:color w:val="auto"/>
        </w:rPr>
      </w:pPr>
    </w:p>
    <w:p>
      <w:pPr>
        <w:ind w:left="136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6,938,102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388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1" w:lineRule="exact"/>
        <w:rPr>
          <w:sz w:val="20"/>
          <w:szCs w:val="20"/>
          <w:color w:val="auto"/>
        </w:rPr>
      </w:pPr>
    </w:p>
    <w:p>
      <w:pPr>
        <w:ind w:left="1289" w:hanging="1289"/>
        <w:spacing w:after="0"/>
        <w:tabs>
          <w:tab w:leader="none" w:pos="128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20,718,609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388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388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8351" w:space="720"/>
            <w:col w:w="2169"/>
          </w:cols>
          <w:pgMar w:left="320" w:top="1417" w:right="339" w:bottom="1440" w:gutter="0" w:footer="0" w:header="0"/>
          <w:type w:val="continuous"/>
        </w:sectPr>
      </w:pPr>
    </w:p>
    <w:p>
      <w:pPr>
        <w:spacing w:after="0" w:line="40"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revenue includes a $150,000 payment to Cumberland required under the terms of a new licensee agreement.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components</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statements</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discussed</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above</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reflect</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following</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impacts</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from</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Sancuso:</w:t>
            </w:r>
          </w:p>
        </w:tc>
      </w:tr>
      <w:tr>
        <w:trPr>
          <w:trHeight w:val="257"/>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80" w:type="dxa"/>
            <w:vAlign w:val="bottom"/>
            <w:tcBorders>
              <w:bottom w:val="single" w:sz="8" w:color="auto"/>
            </w:tcBorders>
          </w:tcPr>
          <w:p>
            <w:pPr>
              <w:spacing w:after="0"/>
              <w:rPr>
                <w:sz w:val="22"/>
                <w:szCs w:val="22"/>
                <w:color w:val="auto"/>
              </w:rPr>
            </w:pPr>
          </w:p>
        </w:tc>
      </w:tr>
      <w:tr>
        <w:trPr>
          <w:trHeight w:val="223"/>
        </w:trPr>
        <w:tc>
          <w:tcPr>
            <w:tcW w:w="4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r>
      <w:tr>
        <w:trPr>
          <w:trHeight w:val="223"/>
        </w:trPr>
        <w:tc>
          <w:tcPr>
            <w:tcW w:w="164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11,106,411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1,134,670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3,135,140</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Sancuso contribution</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6,836,601</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20" w:firstLine="8"/>
        <w:spacing w:after="0" w:line="302" w:lineRule="auto"/>
        <w:tabs>
          <w:tab w:leader="none" w:pos="17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2022 net revenue includes a $250,000 payment to Cumberland required under the terms of a new licensee agreement and a $100,000 payment to Cumberland required under a sales representation agreement.</w:t>
      </w:r>
    </w:p>
    <w:p>
      <w:pPr>
        <w:spacing w:after="0" w:line="23"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Sancuso inventory included in the costs of product sold during the period was acquired and paid for by Cumberland as part of the acquisition of the brand during 2022.</w:t>
      </w:r>
    </w:p>
    <w:p>
      <w:pPr>
        <w:spacing w:after="0" w:line="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the nine months ended September 30, 2022, and nine months ended September 30, 2021, totaled approximately $4.6 million and $3.4 million, respectively. The increase was attributable to the Sancuso acquisition.</w:t>
      </w:r>
    </w:p>
    <w:p>
      <w:pPr>
        <w:spacing w:after="0" w:line="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for the nine months ended September 30, 2022, as a percentage of income (loss) from continuing operations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was 0.7% compared to 1.9% for the nine months ended September 30,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In 2022, we recognized a gain on insurance proceeds of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liquidity and working capital as of September 30, 2022 and December 31,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02"/>
        </w:trPr>
        <w:tc>
          <w:tcPr>
            <w:tcW w:w="66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9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19,541,538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27,040,816</w:t>
            </w:r>
          </w:p>
        </w:tc>
      </w:tr>
      <w:tr>
        <w:trPr>
          <w:trHeight w:val="209"/>
        </w:trPr>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(current assets less current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23,854,383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26,409,053</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ratio (multiple of current assets to current liabilities)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availability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1"/>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changes in cash and cash equivalents for the nine months ended September 30, 2022 and September 30,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66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88"/>
        </w:trPr>
        <w:tc>
          <w:tcPr>
            <w:tcW w:w="6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spacing w:after="0"/>
              <w:rPr>
                <w:sz w:val="7"/>
                <w:szCs w:val="7"/>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4,815,365</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4,382,763</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(13,033,684)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(475,098)</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719,041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(2,818,230)</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(7,499,278)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1,089,435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net $7.5 million decrease in cash and cash equivalents for the nine months ended September 30, 2022, was primarily attributable to cash used in investing and partially offset by cash provided by operating and financing activities. Cash provided by operating activities of $4.8 million was primarily the result of a decreases in inventory of $1.3 million, decrease in other assets of $4.4 million and increases in accounts payable and other liabilities of $8.8 million, as well as the add back of non-cash expenses of depreciation, amortization and share-based compensation expense totaling $5.1 million. This was partially offset by accounts receivable increasing by $8.2 million, mainly from the addition of Sancuso sales and the increase in long-term liabilities of $2.5 million. Cash used in investing activities was the result of the acquisition of Sancuso. Our financing activities included the increase in our line of credit of $2.7 million partially offset by the $0.9 million in cash used to repurchase shares of our common stock as well as the $1.1 million used for the payment of royalties for sales of Vibativ and Sancuso.</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net $1.1 million increase in cash and cash equivalents for the nine months ended September 30, 2021, was primarily attributable to cash provided by operating activities, partially offset by cash used in investing and financing activities. Cash provided by operating activities of $4.4 million was positively impacted by decreases in inventory of $2.6 million and accounts receivable of $2.5 million, as well as the add back of non-cash expenses of depreciation, amortization and share-based compensation expense totaling $4.0 million. Operating activities were also offset by the decrease in accounts payable of $2.9 million and the forgiveness of our PPP Loan of $2.2 million. Cash used in investing activities was the result of additions to intangibles of $0.2 million and the payment of $0.2 million to the WHC JV. Our financing activities included the $1.0 million in cash used to repurchase shares of our common stock as well as the $1.8 million used for the payment of royalties to Theravance for sales of Vibativ.</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Agreement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29, 2022, the Company entered into the Ninth Amendment to the Revolving Credit Loan Agreement with Pinnacle Bank (as amended, the "Pinnacle Agreement") to update the Funded Debt Ratio to mean the ratio of (i) Funded Debt less the amount of Unrestricted Cash in excess of $8,500,000, to (ii) EBITDA, as determined at the end of each fiscal quarter on a rolling four (4) quarter basis. For the quarter ended September 30, 2022, we were in compliance with the Funded Debt Ratio financial covenant.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the Company entered into the Eighth Amendment to the Revolving Credit Loan Agreement with Pinnacle Bank permitting the Maximum Funded Debt Ratio to be calculated on a rolling four-quarter basis to be no more than 3.00 to 1.00 for the second and third quarters of 2022 and 2.50 to 1.00 for each quarter thereafter.</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31, 2022, the Company and Pinnacle Bank entered into a Seventh Amendment to the Revolving Credit Loan Agreement to revise and update the Maximum Funded Debt Ratio financial covenant and to delete from the Pinnacle Agreement the Funded Debt to Tangible Capital Ratio financial covenant. These changes were made to more appropriately reflect the impact from the Sancuso acquisition.</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2021, the Company and Pinnacle Bank entered into the Fifth Amendment to the Revolving Credit Note and the Sixth Amendment to the Revolving Credit Loan Agreement in order to increase the principal amount of the Note from $15 million to $20 million.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28, 2021, the Company and Pinnacle Bank entered into a Fourth Amendment to the Revolving Credit Note and Fifth Amendment to the Revolving Credit Loan Agreement to renew the Revolving Credit Loan.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original Pinnacle Agreement was dated July 2017. Beginning on August 14, 2018, and continuing until October 7, 2020, the Company and Pinnacle Bank entered into a series of amendments to extend and update the Revolving Credit Note and Revolving Credit Agreement. The Fifth Amendment extends the maturity date three years through October 1, 2024.</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on the Pinnacle Agreement is based on LIBOR plus an interest rate spread. The current pricing under the Pinnacle Agreement provides for an interest rate spread of 1.75% to 2.75% above LIBOR with a minimum LIBOR of 0.90%. The applicable interest rate under the Pinnacle Agreement was 5.25% at September 30, 2022. In addition, a fee of 0.25% per year is charged on the unused line of credit. Interest and the unused line fee are payable quarterly. The parties have agreed on a process to determine a new interest rate benchmark at the point the LIBOR rate is expected to be discontinued over the next 12 to 24 months.</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$17.7 million and $15.0 million, respectively, in borrowings outstanding under its revolving credit facility.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Paycheck Protection Program Loan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PPP, certain amounts of the loan may be forgiven if they are used for qualifying expenses as described in the CARES Act, including</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qualifying payroll costs, covered rent payments, and covered utilities. Cumberland used the PPP loan funds for such qualifying expenses. Due to assistance from our PPP loan, the Company did not lay off or furlough any employees as a result of the COVID-19 pandemic.</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2020, Cumberland submitted a request for the loan’s forgiveness. On June 11, 2021, the Company received a formal notice from the SBA that the full amount of the loan was forgiven.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2022 and 2021, we did not engage in any off-balance sheet arrangements.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September 30, 2022.</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risk related to borrowings under our line of credit is based on LIBOR plus an interest rate spread. The current pricing under the Pinnacle Agreement provides for an interest rate spread of 1.75% to 2.75% above LIBOR with a minimum LIBOR of 0.90%. The applicable interest rate under the Pinnacle Agreement was 5.25% at September 30, 2022. As of September 30, 2022, we had $17.7 million in borrowings outstanding under our revolving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nine months ended September 30, 2022 and 2021. Neither a five percent increase nor decrease from current exchange rates would have a material effect on our operating results or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1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2022,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with regard to the legal proceedings previously disclosed in the Company's Annual Report on Form 10-K for the year ended December 31,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an investor should consider the risk factors included in the Company's Annual Report on Form 10-K for the year ended December 31,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subject to the effects of a rising rate of inflation.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 rates have increased recently to levels not seen in decades. If our costs, in particular costs related to clinical trial expenses and/or employee-related expenses, were to become subject to significant inflationary pressures, it may adversely impact our business, operating results and financial condition. In addition, the United States Federal Reserve has raised, and is expected to continue to raise, interest rates in response to concerns about inflation. Increases in interest rates, especially if coupled with reduced government spending and volatility in financial markets, may further increase economic uncertainty and heighten these risks.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COVID-19 and the ongoing conflict between Russia and Ukraine, and employee availability and wage increases.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by month, during the three months ended September 30, 2022:</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ind w:right="163"/>
              <w:spacing w:after="0" w:line="146"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940" w:type="dxa"/>
            <w:vAlign w:val="bottom"/>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which were also Part</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tcPr>
          <w:p>
            <w:pPr>
              <w:jc w:val="center"/>
              <w:ind w:right="500"/>
              <w:spacing w:after="0" w:line="135"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40" w:type="dxa"/>
            <w:vAlign w:val="bottom"/>
          </w:tcPr>
          <w:p>
            <w:pPr>
              <w:spacing w:after="0"/>
              <w:rPr>
                <w:sz w:val="11"/>
                <w:szCs w:val="11"/>
                <w:color w:val="auto"/>
              </w:rPr>
            </w:pPr>
          </w:p>
        </w:tc>
        <w:tc>
          <w:tcPr>
            <w:tcW w:w="1940" w:type="dxa"/>
            <w:vAlign w:val="bottom"/>
          </w:tcPr>
          <w:p>
            <w:pPr>
              <w:jc w:val="center"/>
              <w:ind w:right="163"/>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 Publicly Announced Plans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2"/>
                <w:szCs w:val="12"/>
                <w:color w:val="auto"/>
              </w:rPr>
            </w:pPr>
          </w:p>
        </w:tc>
        <w:tc>
          <w:tcPr>
            <w:tcW w:w="1940" w:type="dxa"/>
            <w:vAlign w:val="bottom"/>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240" w:type="dxa"/>
            <w:vAlign w:val="bottom"/>
          </w:tcPr>
          <w:p>
            <w:pPr>
              <w:spacing w:after="0"/>
              <w:rPr>
                <w:sz w:val="17"/>
                <w:szCs w:val="17"/>
                <w:color w:val="auto"/>
              </w:rPr>
            </w:pPr>
          </w:p>
        </w:tc>
        <w:tc>
          <w:tcPr>
            <w:tcW w:w="19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9,066</w:t>
            </w:r>
          </w:p>
        </w:tc>
        <w:tc>
          <w:tcPr>
            <w:tcW w:w="4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3,995,621</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12,713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3,966,063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2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11,331</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3,938,105</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33,110</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51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Ninth Amendment to Revolving Credit Loan Agreement, dated as of September 29, 2022, by and between</w:t>
            </w:r>
          </w:p>
        </w:tc>
      </w:tr>
      <w:tr>
        <w:trPr>
          <w:trHeight w:val="169"/>
        </w:trPr>
        <w:tc>
          <w:tcPr>
            <w:tcW w:w="1360" w:type="dxa"/>
            <w:vAlign w:val="bottom"/>
          </w:tcPr>
          <w:p>
            <w:pPr>
              <w:spacing w:after="0"/>
              <w:rPr>
                <w:sz w:val="14"/>
                <w:szCs w:val="14"/>
                <w:color w:val="auto"/>
              </w:rPr>
            </w:pPr>
          </w:p>
        </w:tc>
        <w:tc>
          <w:tcPr>
            <w:tcW w:w="844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Cumberland Pharmaceuticals Inc. and Pinnacle Bank.</w:t>
            </w:r>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13-14(a) of the Securities Exchange Act of 1934 as</w:t>
            </w:r>
          </w:p>
        </w:tc>
      </w:tr>
      <w:tr>
        <w:trPr>
          <w:trHeight w:val="156"/>
        </w:trPr>
        <w:tc>
          <w:tcPr>
            <w:tcW w:w="13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33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13-14(a) of the Securities Exchange Act of 1934 as</w:t>
            </w:r>
          </w:p>
        </w:tc>
      </w:tr>
      <w:tr>
        <w:trPr>
          <w:trHeight w:val="156"/>
        </w:trPr>
        <w:tc>
          <w:tcPr>
            <w:tcW w:w="13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342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and Principal Financial Officer Pursuant to 18 U.S.C. Section 1350, as Adopted</w:t>
            </w:r>
          </w:p>
        </w:tc>
      </w:tr>
      <w:tr>
        <w:trPr>
          <w:trHeight w:val="156"/>
        </w:trPr>
        <w:tc>
          <w:tcPr>
            <w:tcW w:w="1360" w:type="dxa"/>
            <w:vAlign w:val="bottom"/>
          </w:tcPr>
          <w:p>
            <w:pPr>
              <w:spacing w:after="0"/>
              <w:rPr>
                <w:sz w:val="13"/>
                <w:szCs w:val="13"/>
                <w:color w:val="auto"/>
              </w:rPr>
            </w:pPr>
          </w:p>
        </w:tc>
        <w:tc>
          <w:tcPr>
            <w:tcW w:w="84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6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r>
      <w:tr>
        <w:trPr>
          <w:trHeight w:val="37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r>
      <w:tr>
        <w:trPr>
          <w:trHeight w:val="184"/>
        </w:trPr>
        <w:tc>
          <w:tcPr>
            <w:tcW w:w="1360" w:type="dxa"/>
            <w:vAlign w:val="bottom"/>
          </w:tcPr>
          <w:p>
            <w:pPr>
              <w:spacing w:after="0"/>
              <w:rPr>
                <w:sz w:val="16"/>
                <w:szCs w:val="16"/>
                <w:color w:val="auto"/>
              </w:rPr>
            </w:pPr>
          </w:p>
        </w:tc>
        <w:tc>
          <w:tcPr>
            <w:tcW w:w="84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r>
      <w:tr>
        <w:trPr>
          <w:trHeight w:val="234"/>
        </w:trPr>
        <w:tc>
          <w:tcPr>
            <w:tcW w:w="1360" w:type="dxa"/>
            <w:vAlign w:val="bottom"/>
          </w:tcPr>
          <w:p>
            <w:pPr>
              <w:spacing w:after="0"/>
              <w:rPr>
                <w:sz w:val="20"/>
                <w:szCs w:val="20"/>
                <w:color w:val="auto"/>
              </w:rPr>
            </w:pP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p>
      <w:pPr>
        <w:jc w:val="both"/>
        <w:ind w:left="1000" w:right="7659" w:hanging="974"/>
        <w:spacing w:after="0" w:line="421" w:lineRule="auto"/>
        <w:tabs>
          <w:tab w:leader="none" w:pos="139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 101) * Filed herewith.</w:t>
      </w:r>
    </w:p>
    <w:p>
      <w:pPr>
        <w:spacing w:after="0" w:line="1" w:lineRule="exact"/>
        <w:rPr>
          <w:rFonts w:ascii="Times New Roman" w:cs="Times New Roman" w:eastAsia="Times New Roman" w:hAnsi="Times New Roman"/>
          <w:sz w:val="17"/>
          <w:szCs w:val="17"/>
          <w:color w:val="auto"/>
        </w:rPr>
      </w:pPr>
    </w:p>
    <w:p>
      <w:pPr>
        <w:ind w:left="1380" w:hanging="382"/>
        <w:spacing w:after="0"/>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9" w:right="1440"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66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2022</w:t>
            </w:r>
          </w:p>
        </w:tc>
        <w:tc>
          <w:tcPr>
            <w:tcW w:w="23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John Hamm</w:t>
            </w:r>
          </w:p>
        </w:tc>
      </w:tr>
      <w:tr>
        <w:trPr>
          <w:trHeight w:val="218"/>
        </w:trPr>
        <w:tc>
          <w:tcPr>
            <w:tcW w:w="3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3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1251" w:right="379" w:bottom="1440" w:gutter="0" w:footer="0" w:header="0"/>
        </w:sectPr>
      </w:pPr>
    </w:p>
    <w:bookmarkStart w:id="36" w:name="page37"/>
    <w:bookmarkEnd w:id="36"/>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NINTH AMENDMENT TO REVOLVING CREDIT LOAN AGREEMENT</w:t>
      </w:r>
    </w:p>
    <w:p>
      <w:pPr>
        <w:spacing w:after="0" w:line="256" w:lineRule="exact"/>
        <w:rPr>
          <w:sz w:val="20"/>
          <w:szCs w:val="20"/>
          <w:color w:val="auto"/>
        </w:rPr>
      </w:pPr>
    </w:p>
    <w:p>
      <w:pPr>
        <w:jc w:val="both"/>
        <w:ind w:firstLine="630"/>
        <w:spacing w:after="0" w:line="230" w:lineRule="auto"/>
        <w:rPr>
          <w:sz w:val="20"/>
          <w:szCs w:val="20"/>
          <w:color w:val="auto"/>
        </w:rPr>
      </w:pPr>
      <w:r>
        <w:rPr>
          <w:rFonts w:ascii="Times New Roman" w:cs="Times New Roman" w:eastAsia="Times New Roman" w:hAnsi="Times New Roman"/>
          <w:sz w:val="20"/>
          <w:szCs w:val="20"/>
          <w:color w:val="auto"/>
        </w:rPr>
        <w:t>THIS NINTH AMENDMENT TO REVOLVING CREDIT LOAN AGREEMENT (this "Amendment") is entered into as of September 29, 2022 by and between CUMBERLAND PHARMACEUTICALS INC., a Tennessee corporation ("Borrower"), and PINNACLE BANK, a Tennessee banking corporation (the "Lender").</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RECITALS: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Borrower and the Lender entered into that certain Revolving Credit Loan Agreement dated as of July 31, 2017, as amended by that</w:t>
      </w:r>
    </w:p>
    <w:p>
      <w:pPr>
        <w:jc w:val="both"/>
        <w:spacing w:after="0" w:line="204" w:lineRule="auto"/>
        <w:rPr>
          <w:sz w:val="20"/>
          <w:szCs w:val="20"/>
          <w:color w:val="auto"/>
        </w:rPr>
      </w:pPr>
      <w:r>
        <w:rPr>
          <w:rFonts w:ascii="Times New Roman" w:cs="Times New Roman" w:eastAsia="Times New Roman" w:hAnsi="Times New Roman"/>
          <w:sz w:val="20"/>
          <w:szCs w:val="20"/>
          <w:color w:val="auto"/>
        </w:rPr>
        <w:t>certain First Amendment to Revolving Credit Loan Agreement dated August 14, 2018, as amended by that certain First Amendment to Revolving Credit Note and Second Amendment to Revolving Credit Loan Agreement dated October 17, 2018, as amended by that certain</w:t>
      </w:r>
    </w:p>
    <w:p>
      <w:pPr>
        <w:spacing w:after="0" w:line="211" w:lineRule="auto"/>
        <w:rPr>
          <w:sz w:val="20"/>
          <w:szCs w:val="20"/>
          <w:color w:val="auto"/>
        </w:rPr>
      </w:pPr>
      <w:r>
        <w:rPr>
          <w:rFonts w:ascii="Times New Roman" w:cs="Times New Roman" w:eastAsia="Times New Roman" w:hAnsi="Times New Roman"/>
          <w:sz w:val="20"/>
          <w:szCs w:val="20"/>
          <w:color w:val="auto"/>
        </w:rPr>
        <w:t>Second Amendment to Revolving Credit Note and Third Amendment to Revolving Credit Loan Agreement dated May 10, 2019, as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amended by that certain Third Amendment to Revolving Credit Note and Fourth Amendment to Revolving Credit Loan Agreement dated October 7, 2020, as amended by that certain Fourth Amendment to Revolving Credit Note and Fifth Amendment to Revolving Credit Loan</w:t>
      </w:r>
    </w:p>
    <w:p>
      <w:pPr>
        <w:spacing w:after="0" w:line="211" w:lineRule="auto"/>
        <w:rPr>
          <w:sz w:val="20"/>
          <w:szCs w:val="20"/>
          <w:color w:val="auto"/>
        </w:rPr>
      </w:pPr>
      <w:r>
        <w:rPr>
          <w:rFonts w:ascii="Times New Roman" w:cs="Times New Roman" w:eastAsia="Times New Roman" w:hAnsi="Times New Roman"/>
          <w:sz w:val="20"/>
          <w:szCs w:val="20"/>
          <w:color w:val="auto"/>
        </w:rPr>
        <w:t>Agreement dated as of October 28, 202 1, as amended by that certain Fifth Amendment to Revolving Credit Note and Sixth Amendment to</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Revolving Credit Loan Agreement dated as of December 31, 2021, as amended by that certain Seventh Amendment to Revolving Credit Loan Agreement dated as of March 31, 2022, and as amended by that certain Eighth Amendment to Revolving Credit Loan Agreement</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dated as of June 30, 2022 (the "Loan Agreement"). Capitalized terms not otherwise defined therein have the same meaning as set forth in the Loan Agreement.</w:t>
      </w:r>
    </w:p>
    <w:p>
      <w:pPr>
        <w:spacing w:after="0" w:line="149" w:lineRule="exact"/>
        <w:rPr>
          <w:sz w:val="20"/>
          <w:szCs w:val="20"/>
          <w:color w:val="auto"/>
        </w:rPr>
      </w:pPr>
    </w:p>
    <w:p>
      <w:pPr>
        <w:ind w:left="180"/>
        <w:spacing w:after="0"/>
        <w:tabs>
          <w:tab w:leader="none" w:pos="5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Borrower and the Lender desire to amend the Loan Agreement as provided herein.</w:t>
      </w:r>
    </w:p>
    <w:p>
      <w:pPr>
        <w:spacing w:after="0" w:line="175" w:lineRule="exact"/>
        <w:rPr>
          <w:sz w:val="20"/>
          <w:szCs w:val="20"/>
          <w:color w:val="auto"/>
        </w:rPr>
      </w:pPr>
    </w:p>
    <w:p>
      <w:pPr>
        <w:jc w:val="both"/>
        <w:ind w:right="20" w:firstLine="630"/>
        <w:spacing w:after="0" w:line="233" w:lineRule="auto"/>
        <w:rPr>
          <w:sz w:val="20"/>
          <w:szCs w:val="20"/>
          <w:color w:val="auto"/>
        </w:rPr>
      </w:pPr>
      <w:r>
        <w:rPr>
          <w:rFonts w:ascii="Times New Roman" w:cs="Times New Roman" w:eastAsia="Times New Roman" w:hAnsi="Times New Roman"/>
          <w:sz w:val="20"/>
          <w:szCs w:val="20"/>
          <w:color w:val="auto"/>
        </w:rPr>
        <w:t>NOW, THEREFORE, in consideration of the premises and for other good and valuable consideration, the receipt and adequacy of which is hereby acknowledged, the parties hereto agree as follows:</w:t>
      </w:r>
    </w:p>
    <w:p>
      <w:pPr>
        <w:spacing w:after="0" w:line="142" w:lineRule="exact"/>
        <w:rPr>
          <w:sz w:val="20"/>
          <w:szCs w:val="20"/>
          <w:color w:val="auto"/>
        </w:rPr>
      </w:pPr>
    </w:p>
    <w:p>
      <w:pPr>
        <w:ind w:left="1280" w:hanging="65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definition of "Funded Debt Ratio" set forth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of the Loan Agreement is hereby amended and restated as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follows:</w:t>
      </w:r>
    </w:p>
    <w:p>
      <w:pPr>
        <w:spacing w:after="0" w:line="153" w:lineRule="exact"/>
        <w:rPr>
          <w:sz w:val="20"/>
          <w:szCs w:val="20"/>
          <w:color w:val="auto"/>
        </w:rPr>
      </w:pPr>
    </w:p>
    <w:p>
      <w:pPr>
        <w:ind w:left="620" w:right="20" w:firstLine="630"/>
        <w:spacing w:after="0"/>
        <w:rPr>
          <w:sz w:val="20"/>
          <w:szCs w:val="20"/>
          <w:color w:val="auto"/>
        </w:rPr>
      </w:pPr>
      <w:r>
        <w:rPr>
          <w:rFonts w:ascii="Times New Roman" w:cs="Times New Roman" w:eastAsia="Times New Roman" w:hAnsi="Times New Roman"/>
          <w:sz w:val="20"/>
          <w:szCs w:val="20"/>
          <w:color w:val="auto"/>
        </w:rPr>
        <w:t>"Funded Debt Ratio" means the ratio of (i) Funded Debt less the amount of Unrestricted Cash in excess of $8,500,000, to (ii) EBITDA, as determined at the end of each fiscal quarter on a rolling four (4) quarter basis.</w:t>
      </w:r>
    </w:p>
    <w:p>
      <w:pPr>
        <w:spacing w:after="0" w:line="202" w:lineRule="exact"/>
        <w:rPr>
          <w:sz w:val="20"/>
          <w:szCs w:val="20"/>
          <w:color w:val="auto"/>
        </w:rPr>
      </w:pPr>
    </w:p>
    <w:p>
      <w:pPr>
        <w:ind w:left="1280" w:hanging="654"/>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following is hereby added as a new definition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of the Loan Agreement:</w:t>
      </w:r>
    </w:p>
    <w:p>
      <w:pPr>
        <w:spacing w:after="0" w:line="189" w:lineRule="exact"/>
        <w:rPr>
          <w:sz w:val="20"/>
          <w:szCs w:val="20"/>
          <w:color w:val="auto"/>
        </w:rPr>
      </w:pPr>
    </w:p>
    <w:p>
      <w:pPr>
        <w:jc w:val="both"/>
        <w:ind w:left="620" w:right="20" w:firstLine="704"/>
        <w:spacing w:after="0" w:line="230" w:lineRule="auto"/>
        <w:rPr>
          <w:sz w:val="20"/>
          <w:szCs w:val="20"/>
          <w:color w:val="auto"/>
        </w:rPr>
      </w:pPr>
      <w:r>
        <w:rPr>
          <w:rFonts w:ascii="Times New Roman" w:cs="Times New Roman" w:eastAsia="Times New Roman" w:hAnsi="Times New Roman"/>
          <w:sz w:val="20"/>
          <w:szCs w:val="20"/>
          <w:color w:val="auto"/>
        </w:rPr>
        <w:t>"Unrestricted Cash" means, on any date of determination, the aggregate amount of all cash of the Borrower and its Subsidiaries held with Lender, not subject to any Lien or restriction (except for Liens or restrictions in favor of, or imposed by, Lender).</w:t>
      </w:r>
    </w:p>
    <w:p>
      <w:pPr>
        <w:spacing w:after="0" w:line="189" w:lineRule="exact"/>
        <w:rPr>
          <w:sz w:val="20"/>
          <w:szCs w:val="20"/>
          <w:color w:val="auto"/>
        </w:rPr>
      </w:pPr>
    </w:p>
    <w:p>
      <w:pPr>
        <w:ind w:firstLine="626"/>
        <w:spacing w:after="0" w:line="233" w:lineRule="auto"/>
        <w:tabs>
          <w:tab w:leader="none" w:pos="12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a condition precedent to the effectiveness of this Amendment, Borrower shall pay to Lender all fees and expenses incurred by Lender in connection herewith, including without limitation a $2,000 amendment fee and reasonable legal fees.</w:t>
      </w:r>
    </w:p>
    <w:p>
      <w:pPr>
        <w:spacing w:after="0" w:line="187" w:lineRule="exact"/>
        <w:rPr>
          <w:rFonts w:ascii="Times New Roman" w:cs="Times New Roman" w:eastAsia="Times New Roman" w:hAnsi="Times New Roman"/>
          <w:sz w:val="18"/>
          <w:szCs w:val="18"/>
          <w:color w:val="auto"/>
        </w:rPr>
      </w:pPr>
    </w:p>
    <w:p>
      <w:pPr>
        <w:ind w:left="1280" w:hanging="65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Loan Agreement is not amended in any other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105639-301010</w:t>
      </w:r>
    </w:p>
    <w:p>
      <w:pPr>
        <w:sectPr>
          <w:pgSz w:w="11900" w:h="16838" w:orient="portrait"/>
          <w:cols w:equalWidth="0" w:num="1">
            <w:col w:w="11180"/>
          </w:cols>
          <w:pgMar w:left="340" w:top="1440" w:right="379" w:bottom="1440" w:gutter="0" w:footer="0" w:header="0"/>
        </w:sectPr>
      </w:pPr>
    </w:p>
    <w:bookmarkStart w:id="37" w:name="page38"/>
    <w:bookmarkEnd w:id="37"/>
    <w:p>
      <w:pPr>
        <w:spacing w:after="0" w:line="365" w:lineRule="exact"/>
        <w:rPr>
          <w:sz w:val="20"/>
          <w:szCs w:val="20"/>
          <w:color w:val="auto"/>
        </w:rPr>
      </w:pPr>
    </w:p>
    <w:p>
      <w:pPr>
        <w:ind w:left="-40" w:firstLine="626"/>
        <w:spacing w:after="0" w:line="297" w:lineRule="auto"/>
        <w:tabs>
          <w:tab w:leader="none" w:pos="12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reaffirms the terms and provisions of the Loan Documents and agrees that such are valid and binding, enforceable in accordance with their terms and provisions, and subject to no defense, counterclaim, or objection.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commence on following page]</w:t>
      </w:r>
    </w:p>
    <w:p>
      <w:pPr>
        <w:sectPr>
          <w:pgSz w:w="11900" w:h="16838" w:orient="portrait"/>
          <w:cols w:equalWidth="0" w:num="1">
            <w:col w:w="11120"/>
          </w:cols>
          <w:pgMar w:left="380" w:top="1440" w:right="399" w:bottom="1440" w:gutter="0" w:footer="0" w:header="0"/>
        </w:sectPr>
      </w:pPr>
    </w:p>
    <w:bookmarkStart w:id="38" w:name="page39"/>
    <w:bookmarkEnd w:id="38"/>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ENTERED INTO as of the date first written above.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BORROWER:</w:t>
      </w: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CUMBERLAND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74295</wp:posOffset>
            </wp:positionV>
            <wp:extent cx="2168525" cy="514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85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By:</w:t>
      </w:r>
    </w:p>
    <w:p>
      <w:pPr>
        <w:spacing w:after="0" w:line="20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LENDER: PINNACLE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74295</wp:posOffset>
            </wp:positionV>
            <wp:extent cx="2168525" cy="38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8525" cy="38608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Mark D. Mattson,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Ninth Amendment to Revolving Credit Loan Agreement]</w:t>
      </w:r>
    </w:p>
    <w:p>
      <w:pPr>
        <w:sectPr>
          <w:pgSz w:w="11900" w:h="16838" w:orient="portrait"/>
          <w:cols w:equalWidth="0" w:num="1">
            <w:col w:w="9840"/>
          </w:cols>
          <w:pgMar w:left="1020" w:top="1440" w:right="10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 Kazimi, certify that:</w:t>
      </w:r>
    </w:p>
    <w:p>
      <w:pPr>
        <w:spacing w:after="0" w:line="50" w:lineRule="exact"/>
        <w:rPr>
          <w:sz w:val="20"/>
          <w:szCs w:val="20"/>
          <w:color w:val="auto"/>
        </w:rPr>
      </w:pPr>
    </w:p>
    <w:p>
      <w:pPr>
        <w:ind w:left="680" w:hanging="654"/>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sz w:val="20"/>
          <w:szCs w:val="20"/>
          <w:color w:val="auto"/>
        </w:rPr>
      </w:pPr>
    </w:p>
    <w:p>
      <w:pPr>
        <w:jc w:val="both"/>
        <w:ind w:left="680" w:right="100" w:hanging="654"/>
        <w:spacing w:after="0" w:line="22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sz w:val="20"/>
          <w:szCs w:val="20"/>
          <w:color w:val="auto"/>
        </w:rPr>
      </w:pPr>
    </w:p>
    <w:p>
      <w:pPr>
        <w:ind w:left="680" w:right="60" w:hanging="654"/>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sz w:val="20"/>
          <w:szCs w:val="20"/>
          <w:color w:val="auto"/>
        </w:rPr>
      </w:pPr>
    </w:p>
    <w:p>
      <w:pPr>
        <w:ind w:left="680" w:right="100" w:hanging="654"/>
        <w:spacing w:after="0" w:line="231"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sz w:val="20"/>
          <w:szCs w:val="20"/>
          <w:color w:val="auto"/>
        </w:rPr>
      </w:pPr>
    </w:p>
    <w:p>
      <w:pPr>
        <w:ind w:left="680" w:right="260" w:hanging="654"/>
        <w:spacing w:after="0" w:line="237"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540"/>
        <w:spacing w:after="0"/>
        <w:tabs>
          <w:tab w:leader="none" w:pos="6800" w:val="left"/>
        </w:tabs>
        <w:rPr>
          <w:sz w:val="20"/>
          <w:szCs w:val="20"/>
          <w:color w:val="auto"/>
        </w:rPr>
      </w:pPr>
      <w:r>
        <w:rPr>
          <w:rFonts w:ascii="Times New Roman" w:cs="Times New Roman" w:eastAsia="Times New Roman" w:hAnsi="Times New Roman"/>
          <w:sz w:val="18"/>
          <w:szCs w:val="18"/>
          <w:color w:val="auto"/>
        </w:rPr>
        <w:t>November 14, 2022 By:</w:t>
      </w:r>
      <w:r>
        <w:rPr>
          <w:sz w:val="20"/>
          <w:szCs w:val="20"/>
          <w:color w:val="auto"/>
        </w:rPr>
        <w:tab/>
      </w:r>
      <w:r>
        <w:rPr>
          <w:rFonts w:ascii="Times New Roman" w:cs="Times New Roman" w:eastAsia="Times New Roman" w:hAnsi="Times New Roman"/>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2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Hamm, certify that:</w:t>
      </w:r>
    </w:p>
    <w:p>
      <w:pPr>
        <w:spacing w:after="0" w:line="50" w:lineRule="exact"/>
        <w:rPr>
          <w:sz w:val="20"/>
          <w:szCs w:val="20"/>
          <w:color w:val="auto"/>
        </w:rPr>
      </w:pPr>
    </w:p>
    <w:p>
      <w:pPr>
        <w:ind w:left="680" w:hanging="654"/>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sz w:val="20"/>
          <w:szCs w:val="20"/>
          <w:color w:val="auto"/>
        </w:rPr>
      </w:pPr>
    </w:p>
    <w:p>
      <w:pPr>
        <w:jc w:val="both"/>
        <w:ind w:left="680" w:right="100" w:hanging="654"/>
        <w:spacing w:after="0" w:line="22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sz w:val="20"/>
          <w:szCs w:val="20"/>
          <w:color w:val="auto"/>
        </w:rPr>
      </w:pPr>
    </w:p>
    <w:p>
      <w:pPr>
        <w:ind w:left="680" w:right="60" w:hanging="654"/>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sz w:val="20"/>
          <w:szCs w:val="20"/>
          <w:color w:val="auto"/>
        </w:rPr>
      </w:pPr>
    </w:p>
    <w:p>
      <w:pPr>
        <w:ind w:left="680" w:right="100" w:hanging="654"/>
        <w:spacing w:after="0" w:line="231"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sz w:val="20"/>
          <w:szCs w:val="20"/>
          <w:color w:val="auto"/>
        </w:rPr>
      </w:pPr>
    </w:p>
    <w:p>
      <w:pPr>
        <w:ind w:left="680" w:right="260" w:hanging="654"/>
        <w:spacing w:after="0" w:line="237"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600"/>
        <w:spacing w:after="0"/>
        <w:tabs>
          <w:tab w:leader="none" w:pos="6800" w:val="left"/>
        </w:tabs>
        <w:rPr>
          <w:sz w:val="20"/>
          <w:szCs w:val="20"/>
          <w:color w:val="auto"/>
        </w:rPr>
      </w:pPr>
      <w:r>
        <w:rPr>
          <w:rFonts w:ascii="Times New Roman" w:cs="Times New Roman" w:eastAsia="Times New Roman" w:hAnsi="Times New Roman"/>
          <w:sz w:val="18"/>
          <w:szCs w:val="18"/>
          <w:color w:val="auto"/>
        </w:rPr>
        <w:t>November 14, 2022 By:</w:t>
      </w:r>
      <w:r>
        <w:rPr>
          <w:sz w:val="20"/>
          <w:szCs w:val="20"/>
          <w:color w:val="auto"/>
        </w:rPr>
        <w:tab/>
      </w:r>
      <w:r>
        <w:rPr>
          <w:rFonts w:ascii="Times New Roman" w:cs="Times New Roman" w:eastAsia="Times New Roman" w:hAnsi="Times New Roman"/>
          <w:sz w:val="17"/>
          <w:szCs w:val="17"/>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fiscal quarter ended September 30, 2022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p>
      <w:pPr>
        <w:spacing w:after="0" w:line="2" w:lineRule="exact"/>
        <w:rPr>
          <w:sz w:val="20"/>
          <w:szCs w:val="20"/>
          <w:color w:val="auto"/>
        </w:rPr>
      </w:pPr>
    </w:p>
    <w:p>
      <w:pPr>
        <w:ind w:left="680" w:hanging="654"/>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sz w:val="20"/>
          <w:szCs w:val="20"/>
          <w:color w:val="auto"/>
        </w:rPr>
      </w:pPr>
    </w:p>
    <w:p>
      <w:pPr>
        <w:ind w:left="680" w:hanging="654"/>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November 14, 2022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November 14, 2022</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04"/>
    </w:lvl>
    <w:lvl w:ilvl="1">
      <w:lvlJc w:val="left"/>
      <w:lvlText w:val="*"/>
      <w:numFmt w:val="bullet"/>
      <w:start w:val="1"/>
    </w:lvl>
  </w:abstractNum>
  <w:abstractNum w:abstractNumId="12">
    <w:nsid w:val="628C895D"/>
    <w:multiLevelType w:val="hybridMultilevel"/>
    <w:lvl w:ilvl="0">
      <w:lvlJc w:val="left"/>
      <w:lvlText w:val="%1"/>
      <w:numFmt w:val="decimal"/>
      <w:start w:val="1"/>
    </w:lvl>
    <w:lvl w:ilvl="1">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3"/>
    </w:lvl>
  </w:abstractNum>
  <w:abstractNum w:abstractNumId="16">
    <w:nsid w:val="2D1D5AE9"/>
    <w:multiLevelType w:val="hybridMultilevel"/>
    <w:lvl w:ilvl="0">
      <w:lvlJc w:val="left"/>
      <w:lvlText w:val="%1."/>
      <w:numFmt w:val="decimal"/>
      <w:start w:val="5"/>
    </w:lvl>
  </w:abstractNum>
  <w:abstractNum w:abstractNumId="17">
    <w:nsid w:val="6763845E"/>
    <w:multiLevelType w:val="hybridMultilevel"/>
    <w:lvl w:ilvl="0">
      <w:lvlJc w:val="left"/>
      <w:lvlText w:val="1"/>
      <w:numFmt w:val="bullet"/>
      <w:start w:val="1"/>
    </w:lvl>
  </w:abstractNum>
  <w:abstractNum w:abstractNumId="18">
    <w:nsid w:val="75A2A8D4"/>
    <w:multiLevelType w:val="hybridMultilevel"/>
    <w:lvl w:ilvl="0">
      <w:lvlJc w:val="left"/>
      <w:lvlText w:val="2"/>
      <w:numFmt w:val="bullet"/>
      <w:start w:val="1"/>
    </w:lvl>
  </w:abstractNum>
  <w:abstractNum w:abstractNumId="19">
    <w:nsid w:val="8EDBDAB"/>
    <w:multiLevelType w:val="hybridMultilevel"/>
    <w:lvl w:ilvl="0">
      <w:lvlJc w:val="left"/>
      <w:lvlText w:val="3"/>
      <w:numFmt w:val="bullet"/>
      <w:start w:val="1"/>
    </w:lvl>
  </w:abstractNum>
  <w:abstractNum w:abstractNumId="20">
    <w:nsid w:val="79838CB2"/>
    <w:multiLevelType w:val="hybridMultilevel"/>
    <w:lvl w:ilvl="0">
      <w:lvlJc w:val="left"/>
      <w:lvlText w:val="4"/>
      <w:numFmt w:val="bullet"/>
      <w:start w:val="1"/>
    </w:lvl>
    <w:lvl w:ilvl="1">
      <w:lvlJc w:val="left"/>
      <w:lvlText w:val="%2."/>
      <w:numFmt w:val="lowerLetter"/>
      <w:start w:val="1"/>
    </w:lvl>
  </w:abstractNum>
  <w:abstractNum w:abstractNumId="21">
    <w:nsid w:val="4353D0CD"/>
    <w:multiLevelType w:val="hybridMultilevel"/>
    <w:lvl w:ilvl="0">
      <w:lvlJc w:val="left"/>
      <w:lvlText w:val="5"/>
      <w:numFmt w:val="bullet"/>
      <w:start w:val="1"/>
    </w:lvl>
    <w:lvl w:ilvl="1">
      <w:lvlJc w:val="left"/>
      <w:lvlText w:val="%2."/>
      <w:numFmt w:val="lowerLetter"/>
      <w:start w:val="1"/>
    </w:lvl>
  </w:abstractNum>
  <w:abstractNum w:abstractNumId="22">
    <w:nsid w:val="B03E0C6"/>
    <w:multiLevelType w:val="hybridMultilevel"/>
    <w:lvl w:ilvl="0">
      <w:lvlJc w:val="left"/>
      <w:lvlText w:val="1"/>
      <w:numFmt w:val="bullet"/>
      <w:start w:val="1"/>
    </w:lvl>
  </w:abstractNum>
  <w:abstractNum w:abstractNumId="23">
    <w:nsid w:val="189A769B"/>
    <w:multiLevelType w:val="hybridMultilevel"/>
    <w:lvl w:ilvl="0">
      <w:lvlJc w:val="left"/>
      <w:lvlText w:val="2"/>
      <w:numFmt w:val="bullet"/>
      <w:start w:val="1"/>
    </w:lvl>
  </w:abstractNum>
  <w:abstractNum w:abstractNumId="24">
    <w:nsid w:val="54E49EB4"/>
    <w:multiLevelType w:val="hybridMultilevel"/>
    <w:lvl w:ilvl="0">
      <w:lvlJc w:val="left"/>
      <w:lvlText w:val="3"/>
      <w:numFmt w:val="bullet"/>
      <w:start w:val="1"/>
    </w:lvl>
  </w:abstractNum>
  <w:abstractNum w:abstractNumId="25">
    <w:nsid w:val="71F32454"/>
    <w:multiLevelType w:val="hybridMultilevel"/>
    <w:lvl w:ilvl="0">
      <w:lvlJc w:val="left"/>
      <w:lvlText w:val="4"/>
      <w:numFmt w:val="bullet"/>
      <w:start w:val="1"/>
    </w:lvl>
    <w:lvl w:ilvl="1">
      <w:lvlJc w:val="left"/>
      <w:lvlText w:val="%2."/>
      <w:numFmt w:val="lowerLetter"/>
      <w:start w:val="1"/>
    </w:lvl>
  </w:abstractNum>
  <w:abstractNum w:abstractNumId="26">
    <w:nsid w:val="2CA88611"/>
    <w:multiLevelType w:val="hybridMultilevel"/>
    <w:lvl w:ilvl="0">
      <w:lvlJc w:val="left"/>
      <w:lvlText w:val="5"/>
      <w:numFmt w:val="bullet"/>
      <w:start w:val="1"/>
    </w:lvl>
    <w:lvl w:ilvl="1">
      <w:lvlJc w:val="left"/>
      <w:lvlText w:val="%2."/>
      <w:numFmt w:val="lowerLetter"/>
      <w:start w:val="1"/>
    </w:lvl>
  </w:abstractNum>
  <w:abstractNum w:abstractNumId="27">
    <w:nsid w:val="836C40E"/>
    <w:multiLevelType w:val="hybridMultilevel"/>
    <w:lvl w:ilvl="0">
      <w:lvlJc w:val="left"/>
      <w:lvlText w:val="1"/>
      <w:numFmt w:val="bullet"/>
      <w:start w:val="1"/>
    </w:lvl>
  </w:abstractNum>
  <w:abstractNum w:abstractNumId="28">
    <w:nsid w:val="2901D8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2022-11-14T20:08:09Z</dcterms:created>
  <dcterms:modified xsi:type="dcterms:W3CDTF">2022-11-14T20:08:09Z</dcterms:modified>
</cp:coreProperties>
</file>