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1" w:lineRule="exact"/>
        <w:rPr>
          <w:rFonts w:ascii="MS PGothic" w:cs="MS PGothic" w:eastAsia="MS PGothic" w:hAnsi="MS PGothic"/>
          <w:sz w:val="22"/>
          <w:szCs w:val="22"/>
          <w:color w:val="auto"/>
        </w:rPr>
      </w:pPr>
    </w:p>
    <w:p>
      <w:pPr>
        <w:ind w:left="36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30,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8"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6380" w:type="dxa"/>
            <w:vAlign w:val="bottom"/>
          </w:tcPr>
          <w:p>
            <w:pPr>
              <w:jc w:val="center"/>
              <w:ind w:left="187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80" w:type="dxa"/>
            <w:vAlign w:val="bottom"/>
          </w:tcPr>
          <w:p>
            <w:pPr>
              <w:jc w:val="center"/>
              <w:ind w:right="3678"/>
              <w:spacing w:after="0"/>
              <w:rPr>
                <w:sz w:val="20"/>
                <w:szCs w:val="20"/>
                <w:color w:val="auto"/>
              </w:rPr>
            </w:pPr>
            <w:r>
              <w:rPr>
                <w:rFonts w:ascii="Arial" w:cs="Arial" w:eastAsia="Arial" w:hAnsi="Arial"/>
                <w:sz w:val="18"/>
                <w:szCs w:val="18"/>
                <w:b w:val="1"/>
                <w:bCs w:val="1"/>
                <w:color w:val="auto"/>
                <w:w w:val="83"/>
              </w:rPr>
              <w:t>Tennessee</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44"/>
        </w:trPr>
        <w:tc>
          <w:tcPr>
            <w:tcW w:w="6380" w:type="dxa"/>
            <w:vAlign w:val="bottom"/>
          </w:tcPr>
          <w:p>
            <w:pPr>
              <w:jc w:val="center"/>
              <w:ind w:right="3678"/>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380" w:type="dxa"/>
            <w:vAlign w:val="bottom"/>
          </w:tcPr>
          <w:p>
            <w:pPr>
              <w:jc w:val="center"/>
              <w:ind w:right="3678"/>
              <w:spacing w:after="0"/>
              <w:rPr>
                <w:sz w:val="20"/>
                <w:szCs w:val="20"/>
                <w:color w:val="auto"/>
              </w:rPr>
            </w:pPr>
            <w:r>
              <w:rPr>
                <w:rFonts w:ascii="Arial" w:cs="Arial" w:eastAsia="Arial" w:hAnsi="Arial"/>
                <w:sz w:val="14"/>
                <w:szCs w:val="14"/>
                <w:b w:val="1"/>
                <w:bCs w:val="1"/>
                <w:color w:val="auto"/>
                <w:w w:val="95"/>
              </w:rPr>
              <w:t>Incorporation or Organization)</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46"/>
        </w:trPr>
        <w:tc>
          <w:tcPr>
            <w:tcW w:w="6380" w:type="dxa"/>
            <w:vAlign w:val="bottom"/>
          </w:tcPr>
          <w:p>
            <w:pPr>
              <w:jc w:val="center"/>
              <w:ind w:right="3698"/>
              <w:spacing w:after="0"/>
              <w:rPr>
                <w:sz w:val="20"/>
                <w:szCs w:val="20"/>
                <w:color w:val="auto"/>
              </w:rPr>
            </w:pPr>
            <w:r>
              <w:rPr>
                <w:rFonts w:ascii="Arial" w:cs="Arial" w:eastAsia="Arial" w:hAnsi="Arial"/>
                <w:sz w:val="18"/>
                <w:szCs w:val="18"/>
                <w:b w:val="1"/>
                <w:bCs w:val="1"/>
                <w:color w:val="auto"/>
                <w:w w:val="89"/>
              </w:rPr>
              <w:t>2525 West End Avenue, Suite 950,</w:t>
            </w:r>
          </w:p>
        </w:tc>
        <w:tc>
          <w:tcPr>
            <w:tcW w:w="12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37203</w:t>
            </w:r>
          </w:p>
        </w:tc>
        <w:tc>
          <w:tcPr>
            <w:tcW w:w="0" w:type="dxa"/>
            <w:vAlign w:val="bottom"/>
          </w:tcPr>
          <w:p>
            <w:pPr>
              <w:spacing w:after="0"/>
              <w:rPr>
                <w:sz w:val="1"/>
                <w:szCs w:val="1"/>
                <w:color w:val="auto"/>
              </w:rPr>
            </w:pPr>
          </w:p>
        </w:tc>
      </w:tr>
      <w:tr>
        <w:trPr>
          <w:trHeight w:val="220"/>
        </w:trPr>
        <w:tc>
          <w:tcPr>
            <w:tcW w:w="6380" w:type="dxa"/>
            <w:vAlign w:val="bottom"/>
          </w:tcPr>
          <w:p>
            <w:pPr>
              <w:jc w:val="center"/>
              <w:ind w:right="3678"/>
              <w:spacing w:after="0"/>
              <w:rPr>
                <w:sz w:val="20"/>
                <w:szCs w:val="20"/>
                <w:color w:val="auto"/>
              </w:rPr>
            </w:pPr>
            <w:r>
              <w:rPr>
                <w:rFonts w:ascii="Arial" w:cs="Arial" w:eastAsia="Arial" w:hAnsi="Arial"/>
                <w:sz w:val="18"/>
                <w:szCs w:val="18"/>
                <w:b w:val="1"/>
                <w:bCs w:val="1"/>
                <w:color w:val="auto"/>
                <w:w w:val="86"/>
              </w:rPr>
              <w:t>Nashville, Tennessee</w:t>
            </w: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380" w:type="dxa"/>
            <w:vAlign w:val="bottom"/>
          </w:tcPr>
          <w:p>
            <w:pPr>
              <w:jc w:val="center"/>
              <w:ind w:right="36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67"/>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(615) 255-0068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380" w:type="dxa"/>
            <w:vAlign w:val="bottom"/>
          </w:tcPr>
          <w:p>
            <w:pPr>
              <w:jc w:val="center"/>
              <w:ind w:left="185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46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6"/>
        </w:trPr>
        <w:tc>
          <w:tcPr>
            <w:tcW w:w="24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46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4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128"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ind w:right="2560"/>
        <w:spacing w:after="0" w:line="326" w:lineRule="exact"/>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 Securities registered pursuant to Section 12(b) of the Act: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ind w:left="1160"/>
              <w:spacing w:after="0"/>
              <w:rPr>
                <w:sz w:val="20"/>
                <w:szCs w:val="20"/>
                <w:color w:val="auto"/>
              </w:rPr>
            </w:pPr>
            <w:r>
              <w:rPr>
                <w:rFonts w:ascii="Arial" w:cs="Arial" w:eastAsia="Arial" w:hAnsi="Arial"/>
                <w:sz w:val="18"/>
                <w:szCs w:val="18"/>
                <w:color w:val="auto"/>
              </w:rPr>
              <w:t>Class</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Name of exchange on which registered</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 at November 9, 2020</w:t>
            </w:r>
          </w:p>
        </w:tc>
      </w:tr>
      <w:tr>
        <w:trPr>
          <w:trHeight w:val="224"/>
        </w:trPr>
        <w:tc>
          <w:tcPr>
            <w:tcW w:w="2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100" w:type="dxa"/>
            <w:vAlign w:val="bottom"/>
          </w:tcPr>
          <w:p>
            <w:pPr>
              <w:spacing w:after="0"/>
              <w:rPr>
                <w:sz w:val="19"/>
                <w:szCs w:val="19"/>
                <w:color w:val="auto"/>
              </w:rPr>
            </w:pPr>
          </w:p>
        </w:tc>
        <w:tc>
          <w:tcPr>
            <w:tcW w:w="27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15,036,923</w:t>
            </w:r>
          </w:p>
        </w:tc>
        <w:tc>
          <w:tcPr>
            <w:tcW w:w="100" w:type="dxa"/>
            <w:vAlign w:val="bottom"/>
          </w:tcPr>
          <w:p>
            <w:pPr>
              <w:spacing w:after="0"/>
              <w:rPr>
                <w:sz w:val="19"/>
                <w:szCs w:val="19"/>
                <w:color w:val="auto"/>
              </w:rPr>
            </w:pPr>
          </w:p>
        </w:tc>
      </w:tr>
      <w:tr>
        <w:trPr>
          <w:trHeight w:val="1032"/>
        </w:trPr>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tc>
      </w:tr>
      <w:tr>
        <w:trPr>
          <w:trHeight w:val="499"/>
        </w:trPr>
        <w:tc>
          <w:tcPr>
            <w:tcW w:w="9180" w:type="dxa"/>
            <w:vAlign w:val="bottom"/>
            <w:gridSpan w:val="2"/>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499"/>
        </w:trPr>
        <w:tc>
          <w:tcPr>
            <w:tcW w:w="9180" w:type="dxa"/>
            <w:vAlign w:val="bottom"/>
            <w:gridSpan w:val="2"/>
          </w:tcPr>
          <w:p>
            <w:pPr>
              <w:ind w:left="4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500"/>
        </w:trPr>
        <w:tc>
          <w:tcPr>
            <w:tcW w:w="9180" w:type="dxa"/>
            <w:vAlign w:val="bottom"/>
            <w:gridSpan w:val="2"/>
          </w:tcPr>
          <w:p>
            <w:pPr>
              <w:ind w:left="4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499"/>
        </w:trPr>
        <w:tc>
          <w:tcPr>
            <w:tcW w:w="9180" w:type="dxa"/>
            <w:vAlign w:val="bottom"/>
            <w:gridSpan w:val="2"/>
          </w:tcPr>
          <w:p>
            <w:pPr>
              <w:ind w:left="4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Cash Flows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500"/>
        </w:trPr>
        <w:tc>
          <w:tcPr>
            <w:tcW w:w="9180" w:type="dxa"/>
            <w:vAlign w:val="bottom"/>
            <w:gridSpan w:val="2"/>
          </w:tcPr>
          <w:p>
            <w:pPr>
              <w:ind w:left="4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Equity</w:t>
              </w:r>
            </w:hyperlink>
          </w:p>
        </w:tc>
        <w:tc>
          <w:tcPr>
            <w:tcW w:w="20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499"/>
        </w:trPr>
        <w:tc>
          <w:tcPr>
            <w:tcW w:w="9180" w:type="dxa"/>
            <w:vAlign w:val="bottom"/>
            <w:gridSpan w:val="2"/>
          </w:tcPr>
          <w:p>
            <w:pPr>
              <w:ind w:left="4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the Unaudited Condensed Consolidated Financial Statements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499"/>
        </w:trPr>
        <w:tc>
          <w:tcPr>
            <w:tcW w:w="9180" w:type="dxa"/>
            <w:vAlign w:val="bottom"/>
            <w:gridSpan w:val="2"/>
          </w:tcPr>
          <w:p>
            <w:pPr>
              <w:ind w:left="36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2. Management’s Discussion and Analysis of Financial Condition and Results of Operations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16</w:t>
              </w:r>
            </w:hyperlink>
          </w:p>
        </w:tc>
      </w:tr>
      <w:tr>
        <w:trPr>
          <w:trHeight w:val="500"/>
        </w:trPr>
        <w:tc>
          <w:tcPr>
            <w:tcW w:w="9180" w:type="dxa"/>
            <w:vAlign w:val="bottom"/>
            <w:gridSpan w:val="2"/>
          </w:tcPr>
          <w:p>
            <w:pPr>
              <w:ind w:left="3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3. Quantitative and Qualitative Disclosures About Market Risk</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r>
      <w:tr>
        <w:trPr>
          <w:trHeight w:val="500"/>
        </w:trPr>
        <w:tc>
          <w:tcPr>
            <w:tcW w:w="880" w:type="dxa"/>
            <w:vAlign w:val="bottom"/>
          </w:tcPr>
          <w:p>
            <w:pPr>
              <w:ind w:left="360"/>
              <w:spacing w:after="0"/>
              <w:rPr>
                <w:rFonts w:ascii="Arial" w:cs="Arial" w:eastAsia="Arial" w:hAnsi="Arial"/>
                <w:sz w:val="18"/>
                <w:szCs w:val="18"/>
                <w:u w:val="single" w:color="auto"/>
                <w:color w:val="0000FF"/>
                <w:w w:val="90"/>
              </w:rPr>
            </w:pPr>
            <w:hyperlink w:anchor="page30">
              <w:r>
                <w:rPr>
                  <w:rFonts w:ascii="Arial" w:cs="Arial" w:eastAsia="Arial" w:hAnsi="Arial"/>
                  <w:sz w:val="18"/>
                  <w:szCs w:val="18"/>
                  <w:u w:val="single" w:color="auto"/>
                  <w:color w:val="0000FF"/>
                  <w:w w:val="90"/>
                </w:rPr>
                <w:t>Item 4.</w:t>
              </w:r>
            </w:hyperlink>
          </w:p>
        </w:tc>
        <w:tc>
          <w:tcPr>
            <w:tcW w:w="830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r>
      <w:tr>
        <w:trPr>
          <w:trHeight w:val="500"/>
        </w:trPr>
        <w:tc>
          <w:tcPr>
            <w:tcW w:w="9180" w:type="dxa"/>
            <w:vAlign w:val="bottom"/>
            <w:gridSpan w:val="2"/>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PART II – OTHER INFORMATION</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499"/>
        </w:trPr>
        <w:tc>
          <w:tcPr>
            <w:tcW w:w="880" w:type="dxa"/>
            <w:vAlign w:val="bottom"/>
          </w:tcPr>
          <w:p>
            <w:pPr>
              <w:ind w:left="360"/>
              <w:spacing w:after="0"/>
              <w:rPr>
                <w:rFonts w:ascii="Arial" w:cs="Arial" w:eastAsia="Arial" w:hAnsi="Arial"/>
                <w:sz w:val="18"/>
                <w:szCs w:val="18"/>
                <w:u w:val="single" w:color="auto"/>
                <w:color w:val="0000FF"/>
                <w:w w:val="90"/>
              </w:rPr>
            </w:pPr>
            <w:hyperlink w:anchor="page31">
              <w:r>
                <w:rPr>
                  <w:rFonts w:ascii="Arial" w:cs="Arial" w:eastAsia="Arial" w:hAnsi="Arial"/>
                  <w:sz w:val="18"/>
                  <w:szCs w:val="18"/>
                  <w:u w:val="single" w:color="auto"/>
                  <w:color w:val="0000FF"/>
                  <w:w w:val="90"/>
                </w:rPr>
                <w:t>Item 1.</w:t>
              </w:r>
            </w:hyperlink>
          </w:p>
        </w:tc>
        <w:tc>
          <w:tcPr>
            <w:tcW w:w="830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500"/>
        </w:trPr>
        <w:tc>
          <w:tcPr>
            <w:tcW w:w="9180" w:type="dxa"/>
            <w:vAlign w:val="bottom"/>
            <w:gridSpan w:val="2"/>
          </w:tcPr>
          <w:p>
            <w:pPr>
              <w:ind w:left="3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1A. Risk Factors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500"/>
        </w:trPr>
        <w:tc>
          <w:tcPr>
            <w:tcW w:w="880" w:type="dxa"/>
            <w:vAlign w:val="bottom"/>
          </w:tcPr>
          <w:p>
            <w:pPr>
              <w:ind w:left="360"/>
              <w:spacing w:after="0"/>
              <w:rPr>
                <w:rFonts w:ascii="Arial" w:cs="Arial" w:eastAsia="Arial" w:hAnsi="Arial"/>
                <w:sz w:val="18"/>
                <w:szCs w:val="18"/>
                <w:u w:val="single" w:color="auto"/>
                <w:color w:val="0000FF"/>
                <w:w w:val="90"/>
              </w:rPr>
            </w:pPr>
            <w:hyperlink w:anchor="page32">
              <w:r>
                <w:rPr>
                  <w:rFonts w:ascii="Arial" w:cs="Arial" w:eastAsia="Arial" w:hAnsi="Arial"/>
                  <w:sz w:val="18"/>
                  <w:szCs w:val="18"/>
                  <w:u w:val="single" w:color="auto"/>
                  <w:color w:val="0000FF"/>
                  <w:w w:val="90"/>
                </w:rPr>
                <w:t>Item 2.</w:t>
              </w:r>
            </w:hyperlink>
          </w:p>
        </w:tc>
        <w:tc>
          <w:tcPr>
            <w:tcW w:w="830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Unregistered Sales of Equity Securities and Use of Proceeds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459"/>
        </w:trPr>
        <w:tc>
          <w:tcPr>
            <w:tcW w:w="880" w:type="dxa"/>
            <w:vAlign w:val="bottom"/>
          </w:tcPr>
          <w:p>
            <w:pPr>
              <w:ind w:left="360"/>
              <w:spacing w:after="0"/>
              <w:rPr>
                <w:rFonts w:ascii="Arial" w:cs="Arial" w:eastAsia="Arial" w:hAnsi="Arial"/>
                <w:sz w:val="18"/>
                <w:szCs w:val="18"/>
                <w:u w:val="single" w:color="auto"/>
                <w:color w:val="0000FF"/>
                <w:w w:val="90"/>
              </w:rPr>
            </w:pPr>
            <w:hyperlink w:anchor="page32">
              <w:r>
                <w:rPr>
                  <w:rFonts w:ascii="Arial" w:cs="Arial" w:eastAsia="Arial" w:hAnsi="Arial"/>
                  <w:sz w:val="18"/>
                  <w:szCs w:val="18"/>
                  <w:u w:val="single" w:color="auto"/>
                  <w:color w:val="0000FF"/>
                  <w:w w:val="90"/>
                </w:rPr>
                <w:t>Item 6.</w:t>
              </w:r>
            </w:hyperlink>
          </w:p>
        </w:tc>
        <w:tc>
          <w:tcPr>
            <w:tcW w:w="830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Exhibits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r>
      <w:tr>
        <w:trPr>
          <w:trHeight w:val="500"/>
        </w:trPr>
        <w:tc>
          <w:tcPr>
            <w:tcW w:w="9180" w:type="dxa"/>
            <w:vAlign w:val="bottom"/>
            <w:gridSpan w:val="2"/>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SIGNATURES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r>
      <w:tr>
        <w:trPr>
          <w:trHeight w:val="1276"/>
        </w:trPr>
        <w:tc>
          <w:tcPr>
            <w:tcW w:w="8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26,646,530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28,212,635</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9,661,407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7,843,917</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8,871,254</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727,670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2,477,813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2,757,456</w:t>
            </w:r>
          </w:p>
        </w:tc>
        <w:tc>
          <w:tcPr>
            <w:tcW w:w="0" w:type="dxa"/>
            <w:vAlign w:val="bottom"/>
          </w:tcPr>
          <w:p>
            <w:pPr>
              <w:spacing w:after="0"/>
              <w:rPr>
                <w:sz w:val="1"/>
                <w:szCs w:val="1"/>
                <w:color w:val="auto"/>
              </w:rPr>
            </w:pPr>
          </w:p>
        </w:tc>
      </w:tr>
      <w:tr>
        <w:trPr>
          <w:trHeight w:val="223"/>
        </w:trPr>
        <w:tc>
          <w:tcPr>
            <w:tcW w:w="66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48,894,079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50,163,075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inventories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15,554,992</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602,911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747,796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28,180,090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30,920,324</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2,267,669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2,960,569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2,511,894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3,298,725</w:t>
            </w:r>
          </w:p>
        </w:tc>
        <w:tc>
          <w:tcPr>
            <w:tcW w:w="0" w:type="dxa"/>
            <w:vAlign w:val="bottom"/>
          </w:tcPr>
          <w:p>
            <w:pPr>
              <w:spacing w:after="0"/>
              <w:rPr>
                <w:sz w:val="1"/>
                <w:szCs w:val="1"/>
                <w:color w:val="auto"/>
              </w:rPr>
            </w:pPr>
          </w:p>
        </w:tc>
      </w:tr>
      <w:tr>
        <w:trPr>
          <w:trHeight w:val="223"/>
        </w:trPr>
        <w:tc>
          <w:tcPr>
            <w:tcW w:w="66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96,009,629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104,549,283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10,833,972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9,993,578</w:t>
            </w: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1,918,868</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current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920,431</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Current portion of revolving line of credit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11,317,358</w:t>
            </w:r>
          </w:p>
        </w:tc>
        <w:tc>
          <w:tcPr>
            <w:tcW w:w="0" w:type="dxa"/>
            <w:vAlign w:val="bottom"/>
          </w:tcPr>
          <w:p>
            <w:pPr>
              <w:spacing w:after="0"/>
              <w:rPr>
                <w:sz w:val="1"/>
                <w:szCs w:val="1"/>
                <w:color w:val="auto"/>
              </w:rPr>
            </w:pPr>
          </w:p>
        </w:tc>
      </w:tr>
      <w:tr>
        <w:trPr>
          <w:trHeight w:val="223"/>
        </w:trPr>
        <w:tc>
          <w:tcPr>
            <w:tcW w:w="66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23,938,041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24,150,235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1,323,792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2,076,472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7,904,419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8,737,323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48,166,252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53,464,030</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360"/>
              <w:spacing w:after="0" w:line="176" w:lineRule="exact"/>
              <w:rPr>
                <w:sz w:val="20"/>
                <w:szCs w:val="20"/>
                <w:color w:val="auto"/>
              </w:rPr>
            </w:pPr>
            <w:r>
              <w:rPr>
                <w:rFonts w:ascii="Arial" w:cs="Arial" w:eastAsia="Arial" w:hAnsi="Arial"/>
                <w:sz w:val="18"/>
                <w:szCs w:val="18"/>
                <w:color w:val="auto"/>
                <w:w w:val="99"/>
              </w:rPr>
              <w:t>Common stock—no par value; 100,000,000 shares authorized; 15,084,372 and</w:t>
            </w: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360"/>
              <w:spacing w:after="0" w:line="176" w:lineRule="exact"/>
              <w:rPr>
                <w:sz w:val="20"/>
                <w:szCs w:val="20"/>
                <w:color w:val="auto"/>
              </w:rPr>
            </w:pPr>
            <w:r>
              <w:rPr>
                <w:rFonts w:ascii="Arial" w:cs="Arial" w:eastAsia="Arial" w:hAnsi="Arial"/>
                <w:sz w:val="18"/>
                <w:szCs w:val="18"/>
                <w:color w:val="auto"/>
                <w:w w:val="88"/>
              </w:rPr>
              <w:t>15,263,355 shares issued and outstanding as of September 30, 2020 and December 31,</w:t>
            </w:r>
          </w:p>
        </w:tc>
        <w:tc>
          <w:tcPr>
            <w:tcW w:w="24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49,176,040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49,914,478</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2019, respectively</w:t>
            </w:r>
          </w:p>
        </w:tc>
        <w:tc>
          <w:tcPr>
            <w:tcW w:w="24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c>
          <w:tcPr>
            <w:tcW w:w="0" w:type="dxa"/>
            <w:vAlign w:val="bottom"/>
          </w:tcPr>
          <w:p>
            <w:pPr>
              <w:spacing w:after="0"/>
              <w:rPr>
                <w:sz w:val="1"/>
                <w:szCs w:val="1"/>
                <w:color w:val="auto"/>
              </w:rPr>
            </w:pPr>
          </w:p>
        </w:tc>
      </w:tr>
      <w:tr>
        <w:trPr>
          <w:trHeight w:val="223"/>
        </w:trPr>
        <w:tc>
          <w:tcPr>
            <w:tcW w:w="664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47,928,803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51,122,873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47,843,377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96,009,629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104,549,283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5"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02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780" w:type="dxa"/>
            <w:vAlign w:val="bottom"/>
            <w:gridSpan w:val="4"/>
          </w:tcPr>
          <w:p>
            <w:pPr>
              <w:jc w:val="right"/>
              <w:ind w:right="51"/>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181"/>
        </w:trPr>
        <w:tc>
          <w:tcPr>
            <w:tcW w:w="53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9,250,689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27,179,600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25,082,742</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5,031,732</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3,587,842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3,812,467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11,160,924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11,231,778</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1,672,843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4,788,698</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2,381,273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2,032,129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6,608,322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6,839,187</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3,284,610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3,085,139</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10,459,375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10,131,875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31,815,250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30,976,534</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(5,893,792)</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195,915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(216,988)</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(1,271,892)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(3,311,824)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(4,792,827)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(5,914,865)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72,504</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(3,316,286)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(4,838,250)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(5,842,361)</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3,268,196</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(497,704)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(2,503,439)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(2,574,165)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loss at subsidiary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(1,953,668)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(2,455,633)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(2,577,053)</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attributable to common shareholders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Continuing operations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basic</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23"/>
        </w:trPr>
        <w:tc>
          <w:tcPr>
            <w:tcW w:w="5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0"/>
        </w:trPr>
        <w:tc>
          <w:tcPr>
            <w:tcW w:w="5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 Continuing operations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diluted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23"/>
        </w:trPr>
        <w:tc>
          <w:tcPr>
            <w:tcW w:w="5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15,134,583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15,368,027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15,206,179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15,454,159</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15,134,583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15,368,027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15,206,179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15,454,159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8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(2,503,438)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(2,574,165)</w:t>
            </w: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3,268,196</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(4,838,249)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(5,842,361)</w:t>
            </w:r>
          </w:p>
        </w:tc>
      </w:tr>
      <w:tr>
        <w:trPr>
          <w:trHeight w:val="176"/>
        </w:trPr>
        <w:tc>
          <w:tcPr>
            <w:tcW w:w="7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Adjustments to reconcile net income (loss) from continuing operations to net cash provided by</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(used in) operating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8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3,524,684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3,278,958</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expense</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43,605</w:t>
            </w:r>
          </w:p>
        </w:tc>
      </w:tr>
      <w:tr>
        <w:trPr>
          <w:trHeight w:val="229"/>
        </w:trPr>
        <w:tc>
          <w:tcPr>
            <w:tcW w:w="7580" w:type="dxa"/>
            <w:vAlign w:val="bottom"/>
          </w:tcPr>
          <w:p>
            <w:pPr>
              <w:ind w:left="68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805,338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1,107,817</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(681,577)</w:t>
            </w:r>
          </w:p>
        </w:tc>
      </w:tr>
      <w:tr>
        <w:trPr>
          <w:trHeight w:val="229"/>
        </w:trPr>
        <w:tc>
          <w:tcPr>
            <w:tcW w:w="758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36,292</w:t>
            </w:r>
          </w:p>
        </w:tc>
      </w:tr>
      <w:tr>
        <w:trPr>
          <w:trHeight w:val="229"/>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investment gains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r>
      <w:tr>
        <w:trPr>
          <w:trHeight w:val="230"/>
        </w:trPr>
        <w:tc>
          <w:tcPr>
            <w:tcW w:w="758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1,026,633</w:t>
            </w:r>
          </w:p>
        </w:tc>
      </w:tr>
      <w:tr>
        <w:trPr>
          <w:trHeight w:val="230"/>
        </w:trPr>
        <w:tc>
          <w:tcPr>
            <w:tcW w:w="7580" w:type="dxa"/>
            <w:vAlign w:val="bottom"/>
          </w:tcPr>
          <w:p>
            <w:pPr>
              <w:ind w:left="10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1,696,668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1,332,140</w:t>
            </w:r>
          </w:p>
        </w:tc>
      </w:tr>
      <w:tr>
        <w:trPr>
          <w:trHeight w:val="229"/>
        </w:trPr>
        <w:tc>
          <w:tcPr>
            <w:tcW w:w="7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current assets and other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195,529</w:t>
            </w:r>
          </w:p>
        </w:tc>
      </w:tr>
      <w:tr>
        <w:trPr>
          <w:trHeight w:val="229"/>
        </w:trPr>
        <w:tc>
          <w:tcPr>
            <w:tcW w:w="7580" w:type="dxa"/>
            <w:vAlign w:val="bottom"/>
          </w:tcPr>
          <w:p>
            <w:pPr>
              <w:ind w:left="100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3,417,856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(539,525)</w:t>
            </w:r>
          </w:p>
        </w:tc>
      </w:tr>
      <w:tr>
        <w:trPr>
          <w:trHeight w:val="230"/>
        </w:trPr>
        <w:tc>
          <w:tcPr>
            <w:tcW w:w="7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(1,585,584)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(207,648)</w:t>
            </w:r>
          </w:p>
        </w:tc>
      </w:tr>
      <w:tr>
        <w:trPr>
          <w:trHeight w:val="223"/>
        </w:trPr>
        <w:tc>
          <w:tcPr>
            <w:tcW w:w="758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2,395,054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(284,440)</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2,483,796</w:t>
            </w:r>
          </w:p>
        </w:tc>
      </w:tr>
      <w:tr>
        <w:trPr>
          <w:trHeight w:val="223"/>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4,561,140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2,199,356</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8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(95,189)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(166,407)</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(9,627,191)</w:t>
            </w:r>
          </w:p>
        </w:tc>
      </w:tr>
      <w:tr>
        <w:trPr>
          <w:trHeight w:val="229"/>
        </w:trPr>
        <w:tc>
          <w:tcPr>
            <w:tcW w:w="7580" w:type="dxa"/>
            <w:vAlign w:val="bottom"/>
          </w:tcPr>
          <w:p>
            <w:pPr>
              <w:ind w:left="680"/>
              <w:spacing w:after="0"/>
              <w:rPr>
                <w:sz w:val="20"/>
                <w:szCs w:val="20"/>
                <w:color w:val="auto"/>
              </w:rPr>
            </w:pPr>
            <w:r>
              <w:rPr>
                <w:rFonts w:ascii="Arial" w:cs="Arial" w:eastAsia="Arial" w:hAnsi="Arial"/>
                <w:sz w:val="18"/>
                <w:szCs w:val="18"/>
                <w:color w:val="auto"/>
              </w:rPr>
              <w:t>Proceeds from sale of marketable securities</w:t>
            </w: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15,686,334</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surrender of life insurance policies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680"/>
              <w:spacing w:after="0"/>
              <w:rPr>
                <w:sz w:val="20"/>
                <w:szCs w:val="20"/>
                <w:color w:val="auto"/>
              </w:rPr>
            </w:pPr>
            <w:r>
              <w:rPr>
                <w:rFonts w:ascii="Arial" w:cs="Arial" w:eastAsia="Arial" w:hAnsi="Arial"/>
                <w:sz w:val="18"/>
                <w:szCs w:val="18"/>
                <w:color w:val="auto"/>
              </w:rPr>
              <w:t>Cash paid for acquisition</w:t>
            </w: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intangible assets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(498,003)</w:t>
            </w:r>
          </w:p>
        </w:tc>
      </w:tr>
      <w:tr>
        <w:trPr>
          <w:trHeight w:val="223"/>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394,733</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80" w:type="dxa"/>
            <w:vAlign w:val="bottom"/>
          </w:tcPr>
          <w:p>
            <w:pPr>
              <w:ind w:left="680"/>
              <w:spacing w:after="0"/>
              <w:rPr>
                <w:sz w:val="20"/>
                <w:szCs w:val="20"/>
                <w:color w:val="auto"/>
              </w:rPr>
            </w:pPr>
            <w:r>
              <w:rPr>
                <w:rFonts w:ascii="Arial" w:cs="Arial" w:eastAsia="Arial" w:hAnsi="Arial"/>
                <w:sz w:val="18"/>
                <w:szCs w:val="18"/>
                <w:color w:val="auto"/>
              </w:rPr>
              <w:t>Borrowings on line of credit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56,000,000</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on line of credit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(56,000,000)</w:t>
            </w:r>
          </w:p>
        </w:tc>
      </w:tr>
      <w:tr>
        <w:trPr>
          <w:trHeight w:val="230"/>
        </w:trPr>
        <w:tc>
          <w:tcPr>
            <w:tcW w:w="7580" w:type="dxa"/>
            <w:vAlign w:val="bottom"/>
          </w:tcPr>
          <w:p>
            <w:pPr>
              <w:ind w:left="680"/>
              <w:spacing w:after="0"/>
              <w:rPr>
                <w:sz w:val="20"/>
                <w:szCs w:val="20"/>
                <w:color w:val="auto"/>
              </w:rPr>
            </w:pPr>
            <w:r>
              <w:rPr>
                <w:rFonts w:ascii="Arial" w:cs="Arial" w:eastAsia="Arial" w:hAnsi="Arial"/>
                <w:sz w:val="18"/>
                <w:szCs w:val="18"/>
                <w:color w:val="auto"/>
              </w:rPr>
              <w:t>Payments of deferred loan costs</w:t>
            </w: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(52,500)</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(908,347)</w:t>
            </w:r>
          </w:p>
        </w:tc>
      </w:tr>
      <w:tr>
        <w:trPr>
          <w:trHeight w:val="229"/>
        </w:trPr>
        <w:tc>
          <w:tcPr>
            <w:tcW w:w="7580" w:type="dxa"/>
            <w:vAlign w:val="bottom"/>
          </w:tcPr>
          <w:p>
            <w:pPr>
              <w:ind w:left="680"/>
              <w:spacing w:after="0"/>
              <w:rPr>
                <w:sz w:val="20"/>
                <w:szCs w:val="20"/>
                <w:color w:val="auto"/>
              </w:rPr>
            </w:pPr>
            <w:r>
              <w:rPr>
                <w:rFonts w:ascii="Arial" w:cs="Arial" w:eastAsia="Arial" w:hAnsi="Arial"/>
                <w:sz w:val="18"/>
                <w:szCs w:val="18"/>
                <w:color w:val="auto"/>
              </w:rPr>
              <w:t>Repurchase of subsidiary shares from noncontrolling interest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Repurchase of common shares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(2,593,778)</w:t>
            </w:r>
          </w:p>
        </w:tc>
      </w:tr>
      <w:tr>
        <w:trPr>
          <w:trHeight w:val="223"/>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(4,685,477)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(3,554,625)</w:t>
            </w:r>
          </w:p>
        </w:tc>
      </w:tr>
      <w:tr>
        <w:trPr>
          <w:trHeight w:val="223"/>
        </w:trPr>
        <w:tc>
          <w:tcPr>
            <w:tcW w:w="7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(960,536)</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28,212,635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27,938,960</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26,646,530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26,978,424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tcBorders>
              <w:bottom w:val="single" w:sz="8" w:color="auto"/>
            </w:tcBorders>
            <w:gridSpan w:val="10"/>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160"/>
              <w:spacing w:after="0"/>
              <w:rPr>
                <w:sz w:val="20"/>
                <w:szCs w:val="20"/>
                <w:color w:val="auto"/>
              </w:rPr>
            </w:pPr>
            <w:r>
              <w:rPr>
                <w:rFonts w:ascii="Arial" w:cs="Arial" w:eastAsia="Arial" w:hAnsi="Arial"/>
                <w:sz w:val="18"/>
                <w:szCs w:val="18"/>
                <w:b w:val="1"/>
                <w:bCs w:val="1"/>
                <w:color w:val="auto"/>
              </w:rPr>
              <w:t>Retained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Noncontrolling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3"/>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3"/>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earnings</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interests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15,481,497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51,098,613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4,746,154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55,570,501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187,486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364,434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(121,466)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(703,790)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(703,790)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(73,878)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(40,418)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15,547,517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50,759,257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4,672,276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55,190,727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15,547,517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50,759,257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4,672,276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(240,806)</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55,190,727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396,548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Repurchase of subsidiary shares from</w:t>
            </w:r>
          </w:p>
        </w:tc>
        <w:tc>
          <w:tcPr>
            <w:tcW w:w="14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(685,805)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(114,195)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Repurchase of common shares</w:t>
            </w:r>
          </w:p>
        </w:tc>
        <w:tc>
          <w:tcPr>
            <w:tcW w:w="1360" w:type="dxa"/>
            <w:vAlign w:val="bottom"/>
          </w:tcPr>
          <w:p>
            <w:pPr>
              <w:jc w:val="right"/>
              <w:spacing w:after="0"/>
              <w:rPr>
                <w:sz w:val="20"/>
                <w:szCs w:val="20"/>
                <w:color w:val="auto"/>
              </w:rPr>
            </w:pPr>
            <w:r>
              <w:rPr>
                <w:rFonts w:ascii="Arial" w:cs="Arial" w:eastAsia="Arial" w:hAnsi="Arial"/>
                <w:sz w:val="18"/>
                <w:szCs w:val="18"/>
                <w:color w:val="auto"/>
              </w:rPr>
              <w:t>(84,447)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(531,746)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Balance, June 30, 2019</w:t>
            </w:r>
          </w:p>
        </w:tc>
        <w:tc>
          <w:tcPr>
            <w:tcW w:w="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15,471,070</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49,938,254</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4,122,769</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53,688,717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52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15,471,070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49,938,254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4,122,769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(372,306)</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53,688,717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6,450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346,835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Repurchase of subsidiary shares from</w:t>
            </w:r>
          </w:p>
        </w:tc>
        <w:tc>
          <w:tcPr>
            <w:tcW w:w="14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640,407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359,593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Repurchase of common shares</w:t>
            </w:r>
          </w:p>
        </w:tc>
        <w:tc>
          <w:tcPr>
            <w:tcW w:w="1360" w:type="dxa"/>
            <w:vAlign w:val="bottom"/>
          </w:tcPr>
          <w:p>
            <w:pPr>
              <w:jc w:val="right"/>
              <w:spacing w:after="0"/>
              <w:rPr>
                <w:sz w:val="20"/>
                <w:szCs w:val="20"/>
                <w:color w:val="auto"/>
              </w:rPr>
            </w:pPr>
            <w:r>
              <w:rPr>
                <w:rFonts w:ascii="Arial" w:cs="Arial" w:eastAsia="Arial" w:hAnsi="Arial"/>
                <w:sz w:val="18"/>
                <w:szCs w:val="18"/>
                <w:color w:val="auto"/>
              </w:rPr>
              <w:t>(246,242)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(1,361,689)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(1,361,689)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(1,953,668)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Balance, September 30, 2019</w:t>
            </w:r>
          </w:p>
        </w:tc>
        <w:tc>
          <w:tcPr>
            <w:tcW w:w="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15,231,278</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49,563,807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2,169,101</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51,706,928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2"/>
              </w:rPr>
              <w:t>Retained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89"/>
              </w:rPr>
              <w:t>Noncontrolling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earnings (deficit)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interests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60" w:type="dxa"/>
            <w:vAlign w:val="bottom"/>
            <w:tcBorders>
              <w:top w:val="single" w:sz="8" w:color="auto"/>
            </w:tcBorders>
            <w:gridSpan w:val="2"/>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15,263,555</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49,914,478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51,085,253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219,850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264,574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(1,055,620)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(1,065,145)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6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15,318,539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49,737,428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49,843,058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3"/>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3"/>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3"/>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3"/>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58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4"/>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15,318,539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49,737,428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49,843,058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(918,275)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15,181,276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49,246,129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48,411,170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4"/>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4"/>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4"/>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3"/>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80" w:type="dxa"/>
            <w:vAlign w:val="bottom"/>
            <w:gridSpan w:val="4"/>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4"/>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4"/>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4"/>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3"/>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15,181,276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49,246,129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(69,459)</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48,411,170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4,450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262,415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(481,737)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15,084,372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49,176,040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(1,247,237)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47,843,377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180"/>
          </w:cols>
          <w:pgMar w:left="320" w:top="1053" w:right="3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and gastroenterology.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of the Company have been prepared on a basis consistent with the December 31, 2019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2019 (the “2019 Annual Report on Form 10-K”). The results of operations for the three and nine months ended September 30, 2020 are not necessarily indicative of the results to be expected for the entire fiscal year or any future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discussed further in Note 10,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and Totect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the products meets the accounting criteria to be reported as discontinued operations and the discontinued operating results have been reclassified in the financial statements and footnotes for all periods presented to reflect the discontinued status of these products. Refer to Note 10,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amounts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made certain reclassifications to prior period amounts to conform to the current-year presentation of the reporting of research and development expense and general and administrative expense on the condensed consolidated statements of operations. Certain costs and expenses related to research and development were previously reported as general and administrative expenses on the condensed consolidated statements of operations. These reclassifications have no effect on the reported operating loss or equity for the 2019 periods presented.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the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Cumberland's sales organization has continued to interact with medical professionals, providing information and product samples as requested. However, much of their contact has shifted from in person to telephonic and electronic communications. Travel across the organization and attendance at medical meetings have largely been discontinued. Cumberland has faced the same headwinds affecting other companies that rely on hospital admissions and patient visits to drive revenue. During this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pandemic, less patients sought care, some patients postponed elective surgeries and Cumberland's access to medical facilities was substantially limited.</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the employees’ safety and well-being, while also keeping its business operating. Given the uncertainty, magnitude and impact of such changes, the Company is unable to quantify the impact on the future results as of the date of this filing.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Adopted Accounting Pronouncement</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Cumberland adopted the standard effective January 1, 2020 with no impact on the Company's consolidated financial statements.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was adopted by Cumberland effective January 1, 2020 and was applied prospectively with no impact on the Company's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assumptions used in estimating acquisition date fair value of assets acquired in business combinations and (4) valuation of contingent consideration liability associated with business combinations.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IN CASH EQUIVALENTS AND MARKETABLE SECURITIES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invests in marketable securities in order to maximize its return on cash. Marketable securities consist of short-term cash investments, U.S. Treasury notes and bonds, corporate bonds and commercial paper. At the time of purchase, the Company classifies marketable securities as either trading securities or available-for-sale securities, depending on the intent at that time. As of September 30, 2020 and December 31, 2019, marketable securities were comprised solely of trading securities. Trading securities are carried at fair value with unrealized gains and losses recognized as a component of interest income in the consolidated statements of operations. As of September 30, 2020 and December 31, 2019, all trading securities were investments with original maturities of less than ninety days and as a result, were classified as cash equivalents.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fair value hierarchy that prioritizes observable and unobservable inputs used to measure fair value into three broad levels is described below: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1460" w:right="20" w:hanging="809"/>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fair values of marketable securities are determined based on valuations provided by a third-party pricing service, as derived from such service's pricing models, and are considered either Level 1 or Level 2 measurements, depending on the nature of the investment. The Company has no marketable securities in which the fair value is determined based on Level 3 measurements. The level of management judgment required in evaluating fair value for Level 1 investments is minimal. Similarly, there is little subjectivity or judgment required for Level 2 investments valued using valuation models that are standard across the industry and whose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Based on the information available, the Company believes that the valuations provided by the third-party pricing service, as derived from such service's pricing models, are representative of prices that would be received to sell the assets at the measurement date (exit prices). There were no transfers of assets between levels within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marketable securities, by level within the fair value hierarchy, as of each period end: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89"/>
              </w:rPr>
              <w:t>September 30, 2020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920" w:type="dxa"/>
            <w:vAlign w:val="bottom"/>
          </w:tcPr>
          <w:p>
            <w:pPr>
              <w:ind w:left="340"/>
              <w:spacing w:after="0"/>
              <w:rPr>
                <w:sz w:val="20"/>
                <w:szCs w:val="20"/>
                <w:color w:val="auto"/>
              </w:rPr>
            </w:pPr>
            <w:r>
              <w:rPr>
                <w:rFonts w:ascii="Arial" w:cs="Arial" w:eastAsia="Arial" w:hAnsi="Arial"/>
                <w:sz w:val="18"/>
                <w:szCs w:val="18"/>
                <w:b w:val="1"/>
                <w:bCs w:val="1"/>
                <w:color w:val="auto"/>
                <w:w w:val="91"/>
              </w:rPr>
              <w:t>Level 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6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2,119,607</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fair value of marketable securities</w:t>
            </w:r>
          </w:p>
        </w:tc>
        <w:tc>
          <w:tcPr>
            <w:tcW w:w="9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2,119,607</w:t>
            </w: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numerator and denominator used to calculate diluted earnings (loss) per share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spacing w:after="0"/>
              <w:rPr>
                <w:sz w:val="19"/>
                <w:szCs w:val="19"/>
                <w:color w:val="auto"/>
              </w:rPr>
            </w:pP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(1,275,620)</w:t>
            </w: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(3,316,286)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777,916</w:t>
            </w:r>
          </w:p>
        </w:tc>
        <w:tc>
          <w:tcPr>
            <w:tcW w:w="14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1,349,351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15,967</w:t>
            </w:r>
          </w:p>
        </w:tc>
        <w:tc>
          <w:tcPr>
            <w:tcW w:w="1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(481,737)</w:t>
            </w:r>
          </w:p>
        </w:tc>
        <w:tc>
          <w:tcPr>
            <w:tcW w:w="14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(1,953,668)</w:t>
            </w: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15,134,583</w:t>
            </w:r>
          </w:p>
        </w:tc>
        <w:tc>
          <w:tcPr>
            <w:tcW w:w="14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15,368,027</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15,134,583</w:t>
            </w:r>
          </w:p>
        </w:tc>
        <w:tc>
          <w:tcPr>
            <w:tcW w:w="14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15,368,027</w:t>
            </w: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19"/>
                <w:szCs w:val="19"/>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(4,838,250)</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(5,842,361)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2,334,811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3,268,196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47,806</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(2,455,633)</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(2,577,053)</w:t>
            </w: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15,206,179</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15,454,159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15,206,179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15,454,159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2020 and 2019, restricted stock awards and options to purchase 197,210 and 3,600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accounts for revenues from contracts with customers under ASC 606, which became effective January 1, 2018. As part of the adoption of ASC 606, the Company applied the new standard on a modified retrospective basis analyzing open contracts as of January 1, 2018.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revenues consisted of the following for the three and nine months ended September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Acetadote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218,462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777,185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1,527,173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2,608,160</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Omeclamox-Pak</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794,205</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Kristalose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3,615,557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2,924,237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10,387,046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9,720,434</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Vaprisol</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724,143</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Caldolor</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1,416,146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1,170,567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3,677,434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3,543,166</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Vibativ</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2,813,249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6,156,653</w:t>
            </w:r>
          </w:p>
        </w:tc>
      </w:tr>
      <w:tr>
        <w:trPr>
          <w:trHeight w:val="229"/>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265,047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270,852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1,535,981</w:t>
            </w: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9,250,689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6,935,439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27,179,600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25,082,742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w:t>
      </w:r>
    </w:p>
    <w:p>
      <w:pPr>
        <w:spacing w:after="0" w:line="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revenues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$0.1 million and $0.2 million for the three months ended September 30, 2020 and 2019, and $0.4 million and $0.9 million for the nine months ended September 30, 2020 and 2019,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works closely with third parties to manufacture and package finished goods for sale. Based on the arrangements with the manufacturer or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September 30, 2020 and December 31, 2019, there were no cumulative obsolescence and discontinuance losses necessary.</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responsible for the purchase of the active pharmaceutical ingredient (“API”) for Kristalose and maintains the inventory at multiple locations. As that API is consumed in production, the value of the API is transferred from raw materials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finished goods inventory. Cumberland also maintains API for its Vaprisol brand which is classified as raw materials inventory. The consigned inventory represents Authorized Generic product which is shipped to the Company’s distribution partner and stored until sale.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Vibativ acquisition, Cumberland acquired API and work in process inventories that are classified as non-current inventories. The Company also has obtained $0.4 million in non-current inventory for API related to its ifetroban clinical initiatives.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and December 31, 2019, total non-current inventory, including Vibativ and ifetroban, was $12.6 million and $15.6 million, respectively. The Company had $2.7 million of Vibativ finished goods included in non-current inventory at September 30, 2020 and did not have any finished goods included in the non-current inventories at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inventories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r>
      <w:tr>
        <w:trPr>
          <w:trHeight w:val="142"/>
        </w:trPr>
        <w:tc>
          <w:tcPr>
            <w:tcW w:w="6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19,345,723</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250,615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416,468</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5,414,694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4,664,055</w:t>
            </w:r>
          </w:p>
        </w:tc>
      </w:tr>
      <w:tr>
        <w:trPr>
          <w:trHeight w:val="223"/>
        </w:trPr>
        <w:tc>
          <w:tcPr>
            <w:tcW w:w="668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22,729,578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24,426,246</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non-current inventories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(12,649,184)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(15,554,992)</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10,080,394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8,871,254</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classified as operating leases.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September 30, 2020 is 2.2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and December 31, 2019 , the Company's lease assets and liabilities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2820"/>
              <w:spacing w:after="0"/>
              <w:rPr>
                <w:sz w:val="20"/>
                <w:szCs w:val="20"/>
                <w:color w:val="auto"/>
              </w:rPr>
            </w:pPr>
            <w:r>
              <w:rPr>
                <w:rFonts w:ascii="Arial" w:cs="Arial" w:eastAsia="Arial" w:hAnsi="Arial"/>
                <w:sz w:val="18"/>
                <w:szCs w:val="18"/>
                <w:b w:val="1"/>
                <w:bCs w:val="1"/>
                <w:color w:val="auto"/>
              </w:rPr>
              <w:t>Right-of-Use Assets</w:t>
            </w:r>
          </w:p>
        </w:tc>
        <w:tc>
          <w:tcPr>
            <w:tcW w:w="12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2,267,669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2,960,569</w:t>
            </w:r>
          </w:p>
        </w:tc>
      </w:tr>
      <w:tr>
        <w:trPr>
          <w:trHeight w:val="709"/>
        </w:trPr>
        <w:tc>
          <w:tcPr>
            <w:tcW w:w="7320" w:type="dxa"/>
            <w:vAlign w:val="bottom"/>
            <w:gridSpan w:val="2"/>
          </w:tcPr>
          <w:p>
            <w:pPr>
              <w:ind w:left="2940"/>
              <w:spacing w:after="0"/>
              <w:rPr>
                <w:sz w:val="20"/>
                <w:szCs w:val="20"/>
                <w:color w:val="auto"/>
              </w:rPr>
            </w:pPr>
            <w:r>
              <w:rPr>
                <w:rFonts w:ascii="Arial" w:cs="Arial" w:eastAsia="Arial" w:hAnsi="Arial"/>
                <w:sz w:val="18"/>
                <w:szCs w:val="18"/>
                <w:b w:val="1"/>
                <w:bCs w:val="1"/>
                <w:color w:val="auto"/>
              </w:rPr>
              <w:t>Lease Liabilities</w:t>
            </w:r>
          </w:p>
        </w:tc>
        <w:tc>
          <w:tcPr>
            <w:tcW w:w="1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1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991,969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920,431</w:t>
            </w:r>
          </w:p>
        </w:tc>
      </w:tr>
      <w:tr>
        <w:trPr>
          <w:trHeight w:val="108"/>
        </w:trPr>
        <w:tc>
          <w:tcPr>
            <w:tcW w:w="73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1,323,792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2,076,472</w:t>
            </w:r>
          </w:p>
        </w:tc>
      </w:tr>
      <w:tr>
        <w:trPr>
          <w:trHeight w:val="22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2,315,761</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2,996,903</w:t>
            </w:r>
          </w:p>
        </w:tc>
      </w:tr>
      <w:tr>
        <w:trPr>
          <w:trHeight w:val="21"/>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Maturity of Leases Liabilities at September 30, 2020</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Operating Leases</w:t>
            </w:r>
          </w:p>
        </w:tc>
      </w:tr>
      <w:tr>
        <w:trPr>
          <w:trHeight w:val="223"/>
        </w:trPr>
        <w:tc>
          <w:tcPr>
            <w:tcW w:w="8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288,781</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1,144,889</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1,019,313</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w:t>
            </w:r>
          </w:p>
        </w:tc>
      </w:tr>
      <w:tr>
        <w:trPr>
          <w:trHeight w:val="229"/>
        </w:trPr>
        <w:tc>
          <w:tcPr>
            <w:tcW w:w="8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2023</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2,545,461</w:t>
            </w:r>
          </w:p>
        </w:tc>
      </w:tr>
      <w:tr>
        <w:trPr>
          <w:trHeight w:val="229"/>
        </w:trPr>
        <w:tc>
          <w:tcPr>
            <w:tcW w:w="8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(229,700)</w:t>
            </w:r>
          </w:p>
        </w:tc>
      </w:tr>
      <w:tr>
        <w:trPr>
          <w:trHeight w:val="248"/>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2,315,761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 AND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nine months ended September 30, 2020 and September 30, 2019, the Company repurchased 407,683 shares and 452,155, respectively, of common stock for approximately $1.5 million and $2.6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Company's March 2020 trading window, several members of Cumberland's Board of Directors entered into share purchase agreements of the Company's stock pursuant to Rule 10b-18 of the Securities Exchange Act of 1934. These purchases are designed to increase ownership in the Company by the members of the Board. During the nine months ended September 30, 2020, a total of 10,080 shares have been purchased.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November 2017, Cumberland filed a Shelf Registration on Form S-3 with the SEC associated with the sale of up to $100 million in corporate securities. The Shelf Registration was declared effective in January 2018 including an At-The-Market ("ATM") feature enabling the Company to sell shares at market prices. The Company did not issue any shares under the ATM during the nine months ended September 30, 2020 or September 30,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2020, and September 30, 2019, the Company issued 230,491 shares and 225,869 shares of restricted stock to employees and directors, respectively. Restricted stock issued to employees generally cliff-vests on the fourth anniversary of the date of grant and for directors on the one-year anniversary of the date of grant. Stock compensation expense is presented as a component of general and administrative expense in the condensed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Emerging Technologies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2019, Cumberland Emerging Technologies ("CET"), our majority-owned subsidiary, entered into an agreement whereby Hongkong WinHealth Pharma Group Ltd. ("WinHealth") made a $1 million investment in CET through the purchase of shares of its common stock. As part of the agreement, WinHealth obtained the rights to name an individual for appointment to the CET Board of Directors as well as the first opportunity to license CET products for the Chinese market. In connection with WinHealth's investment in CET, during 2019, Cumberland also made an additional $1 million investment in CET. Cumberland purchased additional CET common shares through contribution of $0.3 million in cash and a conversion of $0.7 million in intercompany loans payable. Upon completion of the additional investment by WinHealth and Cumberland, Gloria Pharmaceuticals returned its shares in CET in exchange for $0.8 million that was funded during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7, 2020, the Company entered into a Third Amendment to the Revolving Credit Note and Fourth Amendment (“Fourth Amendment”) to the Revolving Credit Loan Agreement with Pinnacle Bank (the “Pinnacle Agreement”). The original Pinnacle Agreement was dated July 2017. The Fourth Amendment provides for a principal available for borrowing of up to $15 million and Cumberland has the ability to request an increase of up to an additional $5 million, upon the satisfaction of certain conditions and approval by Pinnacle Bank. If fully expanded, the Fourth Amendment would provide a maximum principal available for borrowing of up to $20 million, which was also the maximum aggregate principal available for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borrowing under the previously amended Pinnacle Agreement. The Fourth Amendment extends the maturity date of the Pinnacle Agreement through October 1, 2022.</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10, 2019, the Company entered into a third amendment ("Third Amendment") to the Pinnacle Agreement. The Third Amendment extended the term of the Pinnacle Agreement through July 31, 2021 as well as modified certain definitions and terms of the existing financial covenants, including the definition of the Funded Debt Ratio and the compliance target of 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 First Amendment. The Company was in compliance with the Tangible Capital Ratio financial covenant as of September 30, 2020.</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interest rate on the Pinnacle Agreement is based on LIBOR plus an interest rate spread. The pricing under the Fourth Amendment provides for an interest rate spread of 1.75% to 2.75% above LIBOR with a minimum LIBOR of 0.90%. The applicable interest rate under the Pinnacle Agreement was 2.90% at September 30, 2020, prior to entering into the Fourth Amendment. In addition, a fee of 0.25% per year is charged on the unused line of credit. Interest and the unused line fee are payable quarterly. Borrowings under the line of credit are collateralized by substantially all of our assets. As of September 30, 2020 and December 31, 2019, the Company had $17.0 million and $18.5 million in borrowings outstanding under our revolving credit facility, respectively. Of the $17.0 million in borrowings outstanding at September 30, 2020, $2.0 million is classified as current based on the terms of the Fourth Amendment.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PPP is administered by the U.S. Small Business Administration ("SBA"). The loan matures April 14, 2022, and bears interest at a rate of 1.0% per year, payable monthly commencing during November 2020. The loan may be prepaid at any time prior to maturity with no prepayment penalties. Funds from the loan are to be used to maintain payroll, continue group health care benefits and pay for rent and utilities.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qualifying payroll costs, covered rent payments, and covered utilities. From the date of funding the Company has used the loan amount for such qualifying expenses. Cumberland has elected to account for the proceeds of the loan as a government grant under </w:t>
      </w:r>
      <w:r>
        <w:rPr>
          <w:rFonts w:ascii="Arial" w:cs="Arial" w:eastAsia="Arial" w:hAnsi="Arial"/>
          <w:sz w:val="17"/>
          <w:szCs w:val="17"/>
          <w:i w:val="1"/>
          <w:iCs w:val="1"/>
          <w:color w:val="auto"/>
        </w:rPr>
        <w:t>International Accounting Standard 20 ("IAS 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Government Grants and Disclosure of Government Assistance. </w:t>
      </w:r>
      <w:r>
        <w:rPr>
          <w:rFonts w:ascii="Arial" w:cs="Arial" w:eastAsia="Arial" w:hAnsi="Arial"/>
          <w:sz w:val="17"/>
          <w:szCs w:val="17"/>
          <w:color w:val="auto"/>
        </w:rPr>
        <w:t>The permitted analogous use of IAS 20 outlines a model for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government assistance, including forgivable loans. As result, the Company has recorded the $2,187,140 as a deferred income liability, which is included as a component of other current liabilities on the condensed consolidated balance sheet. The Company intends to apply IAS 20 to the PPP loan forgiveness and has presented the amounts expected to be forgiven as deferred income. The Company will account for the anticipated forgiveness of the PPP loan under IAS 20 when the Company believes that the forgiveness is reasonably assured.</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based on assistance from the PPP loan, the Company currently does not foresee doing so. In October 2020, the Company submitted a request for forgiveness of the PPP loan. The request was approved by the lender, Pinnacle Bank, who then submitted it to SBA for the SBA's review and approval.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2020, Cumberland entered into an agreement with WinHealth Investment (Singapore) Ltd creating </w:t>
      </w:r>
      <w:r>
        <w:rPr>
          <w:rFonts w:ascii="Arial" w:cs="Arial" w:eastAsia="Arial" w:hAnsi="Arial"/>
          <w:sz w:val="18"/>
          <w:szCs w:val="18"/>
          <w:i w:val="1"/>
          <w:iCs w:val="1"/>
          <w:color w:val="auto"/>
        </w:rPr>
        <w:t>WHC Biopharmaceuticals, Pte. Ltd</w:t>
      </w:r>
      <w:r>
        <w:rPr>
          <w:rFonts w:ascii="Arial" w:cs="Arial" w:eastAsia="Arial" w:hAnsi="Arial"/>
          <w:sz w:val="18"/>
          <w:szCs w:val="18"/>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$0.2 million convertible note. The joint venture will seek additional future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capital from additional investors and has entered into exclusive option agreements to license intellectual property from both Cumberland Pharmaceuticals Inc. and Cumberland Emerging Technologies.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the Company has approximately $56.3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2020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AGREEMENTS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10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ADDITIONS AND RETURN OF PRODUCT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The Company expects to deduct the goodwill acquired in the acquisition for tax purposes.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on future net sales of the product. The future royalty payments are required to be recognized at their acquisition-date fair value as part of the contingent consideration transferred in the business combination.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initial payments and consideration for the business combination: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8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20,000,000</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 during 2019</w:t>
            </w:r>
          </w:p>
        </w:tc>
        <w:tc>
          <w:tcPr>
            <w:tcW w:w="8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contingent consideration - net sales royalty</w:t>
            </w: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9,182,000</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34,182,000</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allocation of the fair values of the assets acquired as part of the acquisition of Vibativ:</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6,624,000</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Work in process - unlabeled vials</w:t>
            </w:r>
          </w:p>
        </w:tc>
        <w:tc>
          <w:tcPr>
            <w:tcW w:w="8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3,970,000</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 - validation vials</w:t>
            </w:r>
          </w:p>
        </w:tc>
        <w:tc>
          <w:tcPr>
            <w:tcW w:w="8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1,827,000</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w:t>
            </w:r>
          </w:p>
        </w:tc>
        <w:tc>
          <w:tcPr>
            <w:tcW w:w="8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9,129,000</w:t>
            </w:r>
          </w:p>
        </w:tc>
      </w:tr>
      <w:tr>
        <w:trPr>
          <w:trHeight w:val="248"/>
        </w:trPr>
        <w:tc>
          <w:tcPr>
            <w:tcW w:w="8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inventory</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21,550,000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 amortizable intangible assets</w:t>
            </w:r>
          </w:p>
        </w:tc>
        <w:tc>
          <w:tcPr>
            <w:tcW w:w="8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11,750,000</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882,000</w:t>
            </w:r>
          </w:p>
        </w:tc>
      </w:tr>
      <w:tr>
        <w:trPr>
          <w:trHeight w:val="223"/>
        </w:trPr>
        <w:tc>
          <w:tcPr>
            <w:tcW w:w="8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intangibles and goodwill</w:t>
            </w:r>
          </w:p>
        </w:tc>
        <w:tc>
          <w:tcPr>
            <w:tcW w:w="8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12,632,000</w:t>
            </w:r>
          </w:p>
        </w:tc>
      </w:tr>
      <w:tr>
        <w:trPr>
          <w:trHeight w:val="223"/>
        </w:trPr>
        <w:tc>
          <w:tcPr>
            <w:tcW w:w="8760" w:type="dxa"/>
            <w:vAlign w:val="bottom"/>
          </w:tcPr>
          <w:p>
            <w:pPr>
              <w:ind w:left="460"/>
              <w:spacing w:after="0"/>
              <w:rPr>
                <w:sz w:val="20"/>
                <w:szCs w:val="20"/>
                <w:color w:val="auto"/>
              </w:rPr>
            </w:pPr>
            <w:r>
              <w:rPr>
                <w:rFonts w:ascii="Arial" w:cs="Arial" w:eastAsia="Arial" w:hAnsi="Arial"/>
                <w:sz w:val="18"/>
                <w:szCs w:val="18"/>
                <w:color w:val="auto"/>
              </w:rPr>
              <w:t>Total assets acquired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34,182,000</w:t>
            </w:r>
          </w:p>
        </w:tc>
      </w:tr>
      <w:tr>
        <w:trPr>
          <w:trHeight w:val="21"/>
        </w:trPr>
        <w:tc>
          <w:tcPr>
            <w:tcW w:w="8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 The contingent consideration earned and accrued in operating expenses is paid to the seller quarterly.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8,633,589</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9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(834,014)</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9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(806,390)</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1,112,393</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8,105,578</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contingent consideration liability of $8.1 million was classified as other current liabilities of $2.8 million and other long-term liabilities of $5.3 million on the condensed consolidated balance sheet as of September 30,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2019, Cumberland received FDA approval for the first Nordic injectible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This milestone payment was paid in July 2020 and was recorded as an other current liability at December 31, 2019. Cumberland has approximately $1.9 million in net intangible assets related to RediTrex at September 30, 2020. During the three months ended June 30, 2020, Cumberland recognized $0.5 million of other revenue in its condensed consolidated statement of operations for a collaborative payment due from Nordic. The payment was received during July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Ethyol and Totect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May 2019, Cumberland entered into the Dissolution Agreement with Clinigen in which the Company returned the exclusive rights to</w:t>
      </w:r>
    </w:p>
    <w:p>
      <w:pPr>
        <w:spacing w:after="0" w:line="5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commercialize Ethyol and Totect (“the Products”) in the United States to Clinigen. This Dissolution Agreement originally targeted a transition from the Company's arrangements with Clinigen effective September 30, 2019, but was then amended to change the transition date to December 31, 2019. Under the terms of the Dissolution Agreement, Cumberland was no longer responsible for the distribution, marketing and promotion of either the Products or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competing products after December 31, 2019. In exchange for the return of these product license rights and the non-compete provisions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the Dissolution Agreement, Cumberland is receiving $5 million in financial consideration paid in quarterly installments over the two-years following the transition date. Cumberland recorded the first three quarterly installments totaling $2.3 million during the nine months ended September 30, 2020 as discontinued operations and will record each future quarterly installment over the two year period. As there are no expenses associated with these payments, approximately $2.3 million in discontinued operations income was recorded during the period ended September 30, 2020.</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Products provided $8.8 million in revenue, with $5.5 million in direct expenses resulting in $3.3 million in discontinued operations income during the nine months ended September 30, 2019. These direct expenses do not reflect the direct selling and marketing costs attributable to the individuals at</w:t>
      </w:r>
    </w:p>
    <w:p>
      <w:pPr>
        <w:jc w:val="both"/>
        <w:spacing w:after="0" w:line="277" w:lineRule="auto"/>
        <w:rPr>
          <w:sz w:val="20"/>
          <w:szCs w:val="20"/>
          <w:color w:val="auto"/>
        </w:rPr>
      </w:pPr>
      <w:r>
        <w:rPr>
          <w:rFonts w:ascii="Arial" w:cs="Arial" w:eastAsia="Arial" w:hAnsi="Arial"/>
          <w:sz w:val="18"/>
          <w:szCs w:val="18"/>
          <w:color w:val="auto"/>
        </w:rPr>
        <w:t>Cumberland responsible for promotion of the Products. Those sales and marketing individuals who supported the Products have subsequently shifted their efforts to support other Cumberland brands.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December 31, 2019 current assets of discontinued operations included $0.5 million in remaining inventory for the Products sold and returned to Clinigen as part of the transaction. As of December 31, 2019, the remaining balance of the current assets of discontinued operations were accounts receivable and the current liabilities of discontinued operations were accounts payable associated with Ethyol and Totect. As of September 30, 2020, the remaining balance of the current assets of discontinued operations was accounts receivable. The accounts receivable and accounts payable balances were not sold or disposed of as part of the Dissolution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ind w:right="38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2020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2019, our Quarterly Reports on Form 10-Q for the quarters ended March 31, 2020 and September 30, 2020, respectively, and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the quality of care for patients and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portfolio of FDA approved brands includes:</w:t>
      </w:r>
    </w:p>
    <w:p>
      <w:pPr>
        <w:spacing w:after="0" w:line="15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5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5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59"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and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Vaprisol</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conivaptan</w:t>
      </w:r>
      <w:r>
        <w:rPr>
          <w:rFonts w:ascii="Arial" w:cs="Arial" w:eastAsia="Arial" w:hAnsi="Arial"/>
          <w:sz w:val="16"/>
          <w:szCs w:val="16"/>
          <w:color w:val="auto"/>
        </w:rPr>
        <w:t>) Injection, to raise serum sodium levels in hospitalized patients with euvolemic and hypervolemic hyponatremia;</w:t>
      </w:r>
    </w:p>
    <w:p>
      <w:pPr>
        <w:spacing w:after="0" w:line="94" w:lineRule="exact"/>
        <w:rPr>
          <w:rFonts w:ascii="Arial" w:cs="Arial" w:eastAsia="Arial" w:hAnsi="Arial"/>
          <w:sz w:val="16"/>
          <w:szCs w:val="16"/>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 and</w:t>
      </w:r>
    </w:p>
    <w:p>
      <w:pPr>
        <w:spacing w:after="0" w:line="128" w:lineRule="exact"/>
        <w:rPr>
          <w:rFonts w:ascii="Arial" w:cs="Arial" w:eastAsia="Arial" w:hAnsi="Arial"/>
          <w:sz w:val="18"/>
          <w:szCs w:val="18"/>
          <w:color w:val="auto"/>
        </w:rPr>
      </w:pPr>
    </w:p>
    <w:p>
      <w:pPr>
        <w:ind w:left="1300" w:right="22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disabling psoriasis.</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have Phase II clinical programs underway evaluating our ifetroban product candidates in patients with cardiomyopathy associated with Duchenne Muscular Dystrophy, Systemic Sclerosis, and Aspirin-Exacerbated Respiratory Disease. We have also completed initial Phase II clinical studies with ifetroban in patients with Hepatorenal Syndrome and patients with Portal Hypertension.</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both product development and commercial capabilities, and we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Cumberland's growth strategy involves maximizing the potential of our existing brands while continuing to build a portfolio of differentiated products. We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market six FDA-approved products in the United States and expect to introduce our seventh product, RediTrex, before the end of 2020. Through our international partners, we are working to bring our medicines to patients in their countries. Our clinical team is developing a pipeline of new product candidates largely to address unmet medical needs. We also look for opportunities to expand the approved use of our products for additional patient populations through clinical trials, through new presentations, and through our support for select, investigator-initiated studies. Through our active business development initiative, we are pursuing the acquisition of additional marketed brands and late-stage development product candidates in our target medical specialties.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seeking long term sustainable growth by executing on the following:</w:t>
      </w:r>
    </w:p>
    <w:p>
      <w:pPr>
        <w:spacing w:after="0" w:line="113" w:lineRule="exact"/>
        <w:rPr>
          <w:sz w:val="20"/>
          <w:szCs w:val="20"/>
          <w:color w:val="auto"/>
        </w:rPr>
      </w:pPr>
    </w:p>
    <w:p>
      <w:pPr>
        <w:jc w:val="both"/>
        <w:spacing w:after="0" w:line="338" w:lineRule="auto"/>
        <w:rPr>
          <w:sz w:val="20"/>
          <w:szCs w:val="20"/>
          <w:color w:val="auto"/>
        </w:rPr>
      </w:pPr>
      <w:r>
        <w:rPr>
          <w:rFonts w:ascii="Arial" w:cs="Arial" w:eastAsia="Arial" w:hAnsi="Arial"/>
          <w:sz w:val="17"/>
          <w:szCs w:val="17"/>
          <w:b w:val="1"/>
          <w:bCs w:val="1"/>
          <w:color w:val="auto"/>
        </w:rPr>
        <w:t xml:space="preserve">Support and expand the use of our marketed products. </w:t>
      </w:r>
      <w:r>
        <w:rPr>
          <w:rFonts w:ascii="Arial" w:cs="Arial" w:eastAsia="Arial" w:hAnsi="Arial"/>
          <w:sz w:val="17"/>
          <w:szCs w:val="17"/>
          <w:color w:val="auto"/>
        </w:rPr>
        <w:t>We continue to evaluate our products following their FDA approval to determine if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data could expand their market and use. We will continue to explore opportunities for label expansion to bring our products to new patient populations. As examples, we have secured pediatric approvals, expanding the labeling for both our Acetadote and Caldolor brands.</w:t>
      </w:r>
    </w:p>
    <w:p>
      <w:pPr>
        <w:spacing w:after="0" w:line="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Selectively add complementary brands. </w:t>
      </w:r>
      <w:r>
        <w:rPr>
          <w:rFonts w:ascii="Arial" w:cs="Arial" w:eastAsia="Arial" w:hAnsi="Arial"/>
          <w:sz w:val="18"/>
          <w:szCs w:val="18"/>
          <w:color w:val="auto"/>
        </w:rPr>
        <w:t>In addition to our product development activities, we are also seeking to acquire products and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product candidates to continue to build a portfolio of complementary brands. We focus on under-promoted, FDA 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represents the largest product acquisition we have completed.</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Progress clinical pipeline and incubate future product opportunities at CET. </w:t>
      </w:r>
      <w:r>
        <w:rPr>
          <w:rFonts w:ascii="Arial" w:cs="Arial" w:eastAsia="Arial" w:hAnsi="Arial"/>
          <w:sz w:val="17"/>
          <w:szCs w:val="17"/>
          <w:color w:val="auto"/>
        </w:rPr>
        <w:t>We believe it is important to build a pipeline of innovative new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Our ifetroban Phase II development programs represent the implementation of this strategy. At CET, we are supplementing our acquisition and late-stage development activities with the early-stage drug development activities. CET partners with universities and other research organizations to develop promising, early-stage product candidates, which Cumberland has the opportunity to further develop and commercialize.</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Leverage our infrastructure through co-promotion partnerships. </w:t>
      </w:r>
      <w:r>
        <w:rPr>
          <w:rFonts w:ascii="Arial" w:cs="Arial" w:eastAsia="Arial" w:hAnsi="Arial"/>
          <w:sz w:val="18"/>
          <w:szCs w:val="18"/>
          <w:color w:val="auto"/>
        </w:rPr>
        <w:t>We believe that our commercial infrastructure can help drive prescription volume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sales. We also look for strategic co-promotion partners that can complement our capabilities and enhance the opportunity for our brands. Our co-promotion arrangements with Poly Pharmaceuticals, Inc. and Foxland Pharmaceuticals, Inc allow us to expand current promotional support for Kristalose across the U.S.</w:t>
      </w:r>
    </w:p>
    <w:p>
      <w:pPr>
        <w:spacing w:after="0" w:line="7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Build an international contribution to our business. </w:t>
      </w:r>
      <w:r>
        <w:rPr>
          <w:rFonts w:ascii="Arial" w:cs="Arial" w:eastAsia="Arial" w:hAnsi="Arial"/>
          <w:sz w:val="18"/>
          <w:szCs w:val="18"/>
          <w:color w:val="auto"/>
        </w:rPr>
        <w:t>We have established our own commercial capabilities, including two sales divisions to promote our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brands in the U.S. We have also entered into agreements with a group of international partners to register our products and make them available to patients in their countries.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acquisition of Vibativ resulted in several new international partners and market opportunities. We will continue to support and selectively expand our network of international partners, while assisting with the registration and commercialization efforts in their respective territories.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Manage our operations with financial discipline. </w:t>
      </w:r>
      <w:r>
        <w:rPr>
          <w:rFonts w:ascii="Arial" w:cs="Arial" w:eastAsia="Arial" w:hAnsi="Arial"/>
          <w:sz w:val="18"/>
          <w:szCs w:val="18"/>
          <w:color w:val="auto"/>
        </w:rPr>
        <w:t>We work to manage our expenses in line with our revenues in order to deliver positive cash flow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goal is to maintain a healthy financial position, with favorable gross margins, and a strong balance sheet.</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were incorporated in 1999 and have been headquartered in Nashville, Tennessee since inception. During 2009, we completed an initial public offering of our common shares and listing on the Nasdaq stock exchange. Our website address is www.cumberlandpharma.com. We make available through our website our Annual Reports on Form 10-K, Quarterly Reports on Form 10-Q, Current Reports on Form 8-K and all material press releases and other reports as soon as reasonably practicable after their filing with the U.S. Securities and Exchange Commission, (“SEC”). These filings are also available to the public at </w:t>
      </w:r>
      <w:r>
        <w:rPr>
          <w:rFonts w:ascii="Arial" w:cs="Arial" w:eastAsia="Arial" w:hAnsi="Arial"/>
          <w:sz w:val="18"/>
          <w:szCs w:val="18"/>
          <w:i w:val="1"/>
          <w:iCs w:val="1"/>
          <w:color w:val="0563C1"/>
        </w:rPr>
        <w:t>www.sec.gov</w:t>
      </w:r>
      <w:r>
        <w:rPr>
          <w:rFonts w:ascii="Arial" w:cs="Arial" w:eastAsia="Arial" w:hAnsi="Arial"/>
          <w:sz w:val="18"/>
          <w:szCs w:val="18"/>
          <w:color w:val="auto"/>
        </w:rPr>
        <w:t>. In April 2020, we issued our inaugural Environmental, Social and Governance (“ESG”) report which is also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U.S. declared a health care emergency following the outbreak of the (SARS-CoV-2) strain of coronavirus that causes COVID-19, a respiratory illness.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Cumberland’s facilities have remained open, as our business is considered to be essential by the United States Department of Homeland Security. We have implemented measures to address the impact of the novel coronavirus on our operations and taken appropriate action to protect our employees, secure our supply chain, and support the patients who can benefit from our medicines. All our employees have been provided the opportunity to work remotely, and those who wish to work at our offices are asked to follow the health guidelines outlined by the Centers for Disease Control.</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organization has continued to interact with medical professionals, providing information and product samples as requested. However, their contact has shifted from in person to telephonic and electronic communications. Travel across the organization and attendance at medical meetings have largely been discontinued. Cumberland has faced the same headwinds affecting other companies that rely on hospital admissions and patient visits to drive revenue. During this pandemic, less patients sought care, some patients postponed elective surgeries and Cumberland's access to medical facilities was substantially limited.</w:t>
      </w:r>
    </w:p>
    <w:p>
      <w:pPr>
        <w:spacing w:after="0" w:line="80"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We rely on third-party organizations around the world to supply components, manufacture and distribute our products. We are aware that we may experience revenue loss, supply interruptions, time delays and incur unplanned expenses as a result of the impact of the ongoing COVID-19 pandemic. We continue to monitor the coronavirus situation both in the U.S. and internationally in order to maintain our employees’ safety and well-being, while also</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keeping our business operating. Given the uncertainty of such changes, we are unable to quantify the impact on our future results as of the date of this filing. For additional discussion of the risks associated with COVID-19, please review the section entitled “Risk Factors” of our Quarterly Report on Form 10-Q for the quarter ended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Omeclamox-Pak Supply Update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Cumberland has partnered with a select group of FDA-approved facilities to manufacture its line of branded pharmaceutical products. The Company has been carefully monitoring its supply chain during the pandemic and preparing for its economic impact. The packager for Cumberland’s Omeclamox-Pak product encountered financial difficulties due to the impact of COVID-19, and their operations are currently suspended. Cumberland is awaiting resumption of those operations while also exploring other alternatives to restart the product’s packaging. Meanwhile, we informed the FDA of a shortage of the Omeclamox-Pak effective October 14, 2020, and have not provided a date for the availability of new inventory. Cumberland noted that there is currently some remaining inventory of the product in the distribution channels. For additional discussion of the risks discussed above, see Part II, Item 1A "Risk Factors" in this Quarterly Report on Form 10-Q.</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Caldolor Clinical Manuscripts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non-steroidal anti-inflammatory drug (“NSAID”), Caldolor may be used as the sole method of treatment for mild to moderate pain or as part of a multimodal treatment for severe pain. In January 2020, we commenced the national launch of our next generation Caldolor (</w:t>
      </w:r>
      <w:r>
        <w:rPr>
          <w:rFonts w:ascii="Arial" w:cs="Arial" w:eastAsia="Arial" w:hAnsi="Arial"/>
          <w:sz w:val="17"/>
          <w:szCs w:val="17"/>
          <w:i w:val="1"/>
          <w:iCs w:val="1"/>
          <w:color w:val="auto"/>
        </w:rPr>
        <w:t>ibuprofen</w:t>
      </w:r>
      <w:r>
        <w:rPr>
          <w:rFonts w:ascii="Arial" w:cs="Arial" w:eastAsia="Arial" w:hAnsi="Arial"/>
          <w:sz w:val="17"/>
          <w:szCs w:val="17"/>
          <w:color w:val="auto"/>
        </w:rPr>
        <w:t>) Injection product. This formulation of Caldolor comes in a ready-to-use bag that may be administered without dilution for pain relief. This launch follows FDA approval in 2019 of the product's new delivery method. The new, premixed presentation provides healthcare professionals a formulation that is easy to administer, helping manage the treatment of patient pain and fever, while reducing opioid consumption.</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July 2020, Cumberland announced a study published in the </w:t>
      </w:r>
      <w:r>
        <w:rPr>
          <w:rFonts w:ascii="Arial" w:cs="Arial" w:eastAsia="Arial" w:hAnsi="Arial"/>
          <w:sz w:val="17"/>
          <w:szCs w:val="17"/>
          <w:i w:val="1"/>
          <w:iCs w:val="1"/>
          <w:color w:val="auto"/>
        </w:rPr>
        <w:t>Journal of Orthopedic Trauma</w:t>
      </w:r>
      <w:r>
        <w:rPr>
          <w:rFonts w:ascii="Arial" w:cs="Arial" w:eastAsia="Arial" w:hAnsi="Arial"/>
          <w:sz w:val="17"/>
          <w:szCs w:val="17"/>
          <w:color w:val="auto"/>
        </w:rPr>
        <w:t>, evaluating the efficacy of Caldolor administration in the management of acute pain in orthopedic trauma patients. The study also measured Caldolor’s ability in minimizing opioid use. This single-center, randomized, double-blind, placebo-controlled study found that Caldolor (ibuprofen) Injection reduced the quantity of opioids required to manage pain after a traumatic injury with fracture. In addition, the time to first narcotic medication was longer in the Caldolor group than with hospital standard of care. Pain was also managed better in the Caldolor group compared to standard of care narcotics.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Additionally, in August 2020, Cumberland announced the results of a review of nine clinical studies evaluating Caldolor. The comprehensive review was published in the journal </w:t>
      </w:r>
      <w:r>
        <w:rPr>
          <w:rFonts w:ascii="Arial" w:cs="Arial" w:eastAsia="Arial" w:hAnsi="Arial"/>
          <w:sz w:val="17"/>
          <w:szCs w:val="17"/>
          <w:i w:val="1"/>
          <w:iCs w:val="1"/>
          <w:color w:val="auto"/>
        </w:rPr>
        <w:t>Clinical Therapeutics</w:t>
      </w:r>
      <w:r>
        <w:rPr>
          <w:rFonts w:ascii="Arial" w:cs="Arial" w:eastAsia="Arial" w:hAnsi="Arial"/>
          <w:sz w:val="17"/>
          <w:szCs w:val="17"/>
          <w:color w:val="auto"/>
        </w:rPr>
        <w:t xml:space="preserve"> and involved 1,062 adult patients, with 757 receiving Caldolor and 305 receiving placebo or a comparator medication. The data noted that the use of Caldolor improved post-surgery recovery, decreased surgical stress, and reduced the use of opioids and over-the-counter medication. The study determined that patients given Caldolor experienced less postoperative pain and decreased opioid use. Study authors also concluded that the rapid administration and preemptive use of Caldolor should be considered in Enhanced Recovery After Surgery protocols for the management of postoperative pain including that of traumatic origin.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Joint Venture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August 2020, Cumberland entered into an agreement with WinHealth Investment (Singapore) Ltd creating </w:t>
      </w:r>
      <w:r>
        <w:rPr>
          <w:rFonts w:ascii="Arial" w:cs="Arial" w:eastAsia="Arial" w:hAnsi="Arial"/>
          <w:sz w:val="18"/>
          <w:szCs w:val="18"/>
          <w:i w:val="1"/>
          <w:iCs w:val="1"/>
          <w:color w:val="auto"/>
        </w:rPr>
        <w:t>WHC Biopharmaceuticals, Pte. Ltd</w:t>
      </w:r>
      <w:r>
        <w:rPr>
          <w:rFonts w:ascii="Arial" w:cs="Arial" w:eastAsia="Arial" w:hAnsi="Arial"/>
          <w:sz w:val="18"/>
          <w:szCs w:val="18"/>
          <w:color w:val="auto"/>
        </w:rPr>
        <w:t>. The joint venture will focus on acquiring, developing, registering, and commercializing development stage and commercial stage biopharmaceuticals for China, Hong Kong and other Asian markets.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PPP is administered by the U.S. Small Business Administration ("SBA"). The loan matures April 14, 2022, and bears interest at a rate of 1.0% per year, payable monthly commencing during November 2020.</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loan may be prepaid at any time prior to maturity with no prepayment penalties. Funds from the loan are to be used to maintain payroll, continue group health care benefits and pay for rent and utilities.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qualifying payroll costs, covered rent payments, and covered utilities. From the date of funding we have used the loan amount for such qualifying expenses.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applied for this loan after carefully considering, with our bank, the eligibility criteria to participate in this program, and determining that Cumberland met these criteria. We evaluated and provided information on our payroll and other qualifying expenses to determine the amount of PPP funds to apply for.</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based on assistance from our PPP loan, we currently do not foresee doing so. In October 2020, we submitted a request for forgiveness of the PPP loan. The request was approved by the lender, Pinnacle Bank, who then submitted it to the SBA for the SBA's review and approval.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Phase II Clinical Programs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evaluating our ifetroban product candidate in a series of clinical studies. We have completed three pilot Phase II studies involving 1) patients suffering from Hepatorenal Syndrome, a life-threatening condition involving liver and kidney failure, 2) patients with Portal Hypertension associated with chronic liver disease and 3) patients suffering from Aspirin-Exacerbated Respiratory Disease, a severe form of asthma. A follow-up Phase II study is currently underway for this asthma indication.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currently evaluating ifetroban in two pilot Phase II studies of 1) patients with Systemic Sclerosis or scleroderma, a debilitating autoimmune disorder characterized by diffuse fibrosis of the skin and internal organs and 2) patients with cardiomyopathy associated with Duchenne Muscular Dystrophy. This rare, fatal, genetic neuromuscular disease results in deterioration of the skeletal, heart and lung muscles.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Additional pilot studies of ifetroban are underway, including several investigator-initiated trials.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Enrollment in our clinical studies was interrupted during 2020 due to the COVID-19 pandemic. While enrollment of new patients is currently limited, we are working to ensure that patients already entered into a trial continue to receive their study drug. Many of our clinical study sites have reopened and resumed screening of patients for potential enrollment into our studies. We are awaiting results from the studies underway before deciding on the best development path for the registration of ifetroban, our first new chemical entity.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Hospital Product Candidate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cholesterol-reducing agent for use in the hospital setting.</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we completed a Phase I study which defined the pharmacokinetic properties and provided a favorable safety profile for this new product candidate. The study results and a proposed clinical development plan were discussed with the FDA. A Phase II study has been initiated and patient enrollment completed. We have completed the study report, filed it with the FDA and are now determining the next steps for this product development program.</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2" w:name="page23"/>
    <w:bookmarkEnd w:id="2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2019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fair value of marketable securities, inventories, provision for income taxes, fair value of contingent consideration liability, share-based compensation, research and development expenses and intangible assets.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the three months ended September 30, 2019</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unaudited interim statements of operations for continuing operations for the three months ended September 30,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9,250,689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6,935,439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2,315,250</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562,189</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3,587,842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3,812,467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(224,625)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1,672,843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(442,508)</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2,381,273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2,032,129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349,144</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1,033,786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10,459,375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10,131,875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327,500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1,987,750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(50,511)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62,515</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(1,271,892)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(3,311,824)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2,039,932</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(1,275,620)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(3,316,286)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2,040,666</w:t>
            </w:r>
          </w:p>
        </w:tc>
      </w:tr>
      <w:tr>
        <w:trPr>
          <w:trHeight w:val="21"/>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Acetadote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218,462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777,185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(558,723)</w:t>
            </w:r>
          </w:p>
        </w:tc>
      </w:tr>
      <w:tr>
        <w:trPr>
          <w:trHeight w:val="229"/>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Omeclamox-Pak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400,003</w:t>
            </w: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Kristalose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3,615,557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2,924,237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691,320</w:t>
            </w:r>
          </w:p>
        </w:tc>
      </w:tr>
      <w:tr>
        <w:trPr>
          <w:trHeight w:val="230"/>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181,222</w:t>
            </w: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Caldolor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1,416,146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1,170,567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245,579</w:t>
            </w:r>
          </w:p>
        </w:tc>
      </w:tr>
      <w:tr>
        <w:trPr>
          <w:trHeight w:val="229"/>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Vibativ</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2,813,249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1,361,654</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270,852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9,250,689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6,935,439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2,315,250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for the three months ended September 30, 2020, were $9.3 million compared to $6.9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As detailed in the table above, net revenue increased for five of our marketed products: Vibativ, Kristalose, Omeclamox-Pak, Caldolor and Vaprisol during the quarter. 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associated non-compete provisions, Cumberland is receiving $5 million in financial consideration paid over the two-years following the return date. The third installment of $0.8 million due from Clinigen was recorded during the three months ended September 30, 2020, as discontinued operations. We do not incur expenses associated with these payments from Clinigen.</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revenue was $2.8 million for the three months ended September 30, 2020, an increase of $1.4 million over the same period last year. The increase was a result of improved sales volumes.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increased by $0.7 million during the third quarter of 2020, when compared to the prior year period. The increase was primarily the result of increased sales volumes for the product.</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Caldolor revenue was $1.4 million for the third quarter of 2020, an increase of $0.2 million compared to the same period last year. The improvement in net revenue was the result of an increase in international shipments of Caldolor when compared to the prior year period, which were partially offset by lower domestic shipments of the product.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Vaprisol revenue was $0.4 million for the third quarter of 2020, an increase of $0.2 million. This increase of net sales compared to the third quarter of 2019 is primarily due to increased sales volumes for the product.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Omeclamox-Pak revenue increased $0.4 million for the third quarter of 2020, compared to the third quarter of 2019, primarily due to an increase in sales volumes and improved net pricing.</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Acetadote revenue includes net sales of our Acetadote brand and our share of net sales from our Authorized Generic. During the quarter, there was a decrease of $0.6 million in the product's revenue when compared to the prior year period as a result of lower sales volumes during the period.</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third quarter of 2020 and 2019 were $2.1 million and $1.6 million, respectively. Cost of products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revenues, were 23.2% during the three months ended September 30, 2020, compared to 22.8% during the three months ended September 30, 2019. This change in costs of products sold as a percentage of revenue was attributable to a change in the product sales mix, particularly the increase in sales of Vibativ. The increase in Vibativ costs of product sold in the current period was $0.4 million due to increased product sales. The Vibativ inventory sold during the period was acquired and paid for by Cumberland as part of the acquisition of the brand during 2018. The increase in costs of product sold expense included $0.2 million that was the result of a step up in the fair value of the inventory over the cost to Theravance, as required under purchase accounting rules.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third quarter of 2020 decreased $0.2 million compared to the prior year period. This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attributable to decreases in direct promotional spending, meeting costs and travel expenses. There were partially offsetting increases in royalty costs associated with growth in Vibativ sales during the current quarter.</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were $1.2 million for the third quarter of 2020 and $1.7 million for the same period last year.</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products. The decrease in costs were primarily the result of decreased study activity as well as decreases in the costs of our medical science liaison activities partially offset by increases in our annual FDA user fees.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third quarter of 2020 increased to $2.4 million from $2.0 million during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as a result of increases in business development, professional, legal and insurance costs. These increases were partially offset by decreases in non-cash stock based compensation during the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3"/>
              </w:rPr>
              <w:t>Three months ended September 30,</w:t>
            </w:r>
          </w:p>
        </w:tc>
      </w:tr>
      <w:tr>
        <w:trPr>
          <w:trHeight w:val="223"/>
        </w:trPr>
        <w:tc>
          <w:tcPr>
            <w:tcW w:w="7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2,813,249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1,451,595</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945,066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524,664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160,968</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1,246,939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765,963</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three months ended September 30, 2020, and three months ended September 30, 2019, totaled approximately $1.1 million and $1.0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September 30, 2020, was comparable to the income tax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2020, we had approximately $44 million of net operating loss carryforwards resulting from the exercise of nonqualified stock options that have historically been used to significantly offset income tax obligations. We expect to continue to pay minimal income taxes during 2020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the nine months ended September 30, 2019</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unaudited interim statements of operations for continuing operations for the nine months ended September 30,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27,179,600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25,082,742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2,096,858</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6,387,002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1,355,270</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11,160,924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11,231,778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(70,854)</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4,374,392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4,788,698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(414,306)</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6,608,322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6,839,187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(230,865)</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3,284,610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3,085,139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199,471</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31,815,250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30,976,534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838,716</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1,258,142</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195,915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(125,362)</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(4,792,827)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(5,914,865)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1,122,038</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(4,838,250)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(5,842,361)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1,004,111</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62"/>
        </w:trPr>
        <w:tc>
          <w:tcPr>
            <w:tcW w:w="5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c>
          <w:tcPr>
            <w:tcW w:w="138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Acetadote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1,527,173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2,608,160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(1,080,987)</w:t>
            </w: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Omeclamox-Pak</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(153,770)</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Kristalose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10,387,046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9,720,434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666,612</w:t>
            </w:r>
          </w:p>
        </w:tc>
      </w:tr>
      <w:tr>
        <w:trPr>
          <w:trHeight w:val="230"/>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Vaprisol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66,674</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Caldolor</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3,677,434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3,543,166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134,268</w:t>
            </w: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Vibativ</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6,156,653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2,394,472</w:t>
            </w:r>
          </w:p>
        </w:tc>
      </w:tr>
      <w:tr>
        <w:trPr>
          <w:trHeight w:val="23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1,535,981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69,589</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27,179,600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25,082,742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2,096,858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for the nine months ended September 30, 2020, were $27.2 million compared to $25.1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As detailed in the table above, net revenue increased during the first nine months of 2020 for four of our marketed products: Vibativ, Kristalose, Caldolor and Vaprisol. This resulted in an overall 8.4% revenue increase partially offset by decreases in our other two products. 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associated non-compete provision, Cumberland is receiving $5 million in financial consideration paid over the two-years following the return date. The first three installments totaling $2.3 million due from Clinigen was recorded during the nine months ended September 30, 2020, as discontinued operations. We do not incur expenses associated with these payments from Clinigen.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revenue was $8.6 million for the nine months ended September 30, 2020, an increase of $2.4 million over the same period last year. The 38.9% increase in net revenue was a result of improved sales volume for the product.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was $10.4 million during the first nine months of 2020, an increase of $0.7 million for the same period last year. The 7% increase in net revenue was a result of improved sales volume for the product.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Vaprisol revenue was $0.8 million for the first nine months of 2020, which is an increase of net sales of $0.1 million compared to the first nine months of 2019 primarily due to increased sales volumes.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Omeclamox-Pak revenue decreased $0.2 million for the nine months ended September 30, 2020, compared to the nine months ended September 30, 2019, primarily due to a decrease in sales volumes.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There was a decrease of $1.1 million in the product's year to date revenue for the nine months ended September 30, 2020, when compared to the prior year period as a result of lower sales volumes, partially offset by improved net pricing.</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Caldolor revenue was $3.7 million for the first three quarters of 2020, an increase of $0.1 million compared to the same period last year. The 4% improvement in net revenue was the result of an increase in international shipments of Caldolor when compared to the prior year period, which were partially offset by lower domestic shipments of the product, significantly impacted by COVID - 19 and a reduction in elective surgeries.</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first nine months of 2020 and 2019 were $6.4 million and $5.0 million, respectively. Cost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as a percentage of net revenues, were 23.5% during the nine months ended September 30, 2020, compared to 20.1% during the nine months ended September 30, 2019. This change in costs of products sold as a percentage of revenue was attributable to a change in the product sales mix, particularly the increase in sales of Vibativ. The increase in Vibativ costs of product sold in the current period was $1.0 million due to increased product sales. The Vibativ inventory sold during the period was acquired and paid for by Cumberland as part of the acquisition of the brand during 2018. The increase in costs of product sold expense included $0.5 million that was the result of a step up in the fair value of the inventory over the cost to Theravance, as required under purchase accounting rules.</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Selling and marketing</w:t>
      </w:r>
      <w:r>
        <w:rPr>
          <w:rFonts w:ascii="Arial" w:cs="Arial" w:eastAsia="Arial" w:hAnsi="Arial"/>
          <w:sz w:val="16"/>
          <w:szCs w:val="16"/>
          <w:color w:val="auto"/>
        </w:rPr>
        <w:t>. Selling and marketing expense for the nine months ended September 30, 2020 and 2019 were both $11.2 million. Overall, there was</w:t>
      </w:r>
      <w:r>
        <w:rPr>
          <w:rFonts w:ascii="Arial" w:cs="Arial" w:eastAsia="Arial" w:hAnsi="Arial"/>
          <w:sz w:val="16"/>
          <w:szCs w:val="16"/>
          <w:i w:val="1"/>
          <w:iCs w:val="1"/>
          <w:color w:val="auto"/>
        </w:rPr>
        <w:t xml:space="preserve"> </w:t>
      </w:r>
      <w:r>
        <w:rPr>
          <w:rFonts w:ascii="Arial" w:cs="Arial" w:eastAsia="Arial" w:hAnsi="Arial"/>
          <w:sz w:val="16"/>
          <w:szCs w:val="16"/>
          <w:color w:val="auto"/>
        </w:rPr>
        <w:t>a small decrease in selling and marketing expenses, with decreases in direct promotional spending, meeting costs and travel expenses. These decreases were partially offset by increases in salaries as well as increases in royalty costs associated with growth in Vibativ sales during the period.</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were $4.4 million for the first nine months of 2020 and $4.8 million for the same period last</w:t>
      </w:r>
      <w:r>
        <w:rPr>
          <w:rFonts w:ascii="Arial" w:cs="Arial" w:eastAsia="Arial" w:hAnsi="Arial"/>
          <w:sz w:val="17"/>
          <w:szCs w:val="17"/>
          <w:i w:val="1"/>
          <w:iCs w:val="1"/>
          <w:color w:val="auto"/>
        </w:rPr>
        <w:t xml:space="preserve"> </w:t>
      </w:r>
      <w:r>
        <w:rPr>
          <w:rFonts w:ascii="Arial" w:cs="Arial" w:eastAsia="Arial" w:hAnsi="Arial"/>
          <w:sz w:val="17"/>
          <w:szCs w:val="17"/>
          <w:color w:val="auto"/>
        </w:rPr>
        <w:t>year. A 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products. We experienced a decrease in study activity offset by increases in our annual FDA user fees.</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 for the nine months ended September 30, 2020, decreased to $6.6 million from $6.8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nine months ended September 30, 2019 as a result of decreases in advisory, legal and professional fees. We also experienced a reduction in non-cash stock based compensation during the period. A portion of these decreased costs were for 2019 expenses related to our acquisition of Vibativ.</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7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6,156,653</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2,765,810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1,760,759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1,033,900</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4,460,116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3,361,994</w:t>
            </w: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The Vibativ inventory included in the costs of product sold during the period was acquired and paid for by Cumberland as part of the acquisition of the brand during 2018.</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nine months ended September 30, 2020, and nine months ended September 30, 2019, totaled approximately $3.3 million and $3.1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(benefit) for the nine months ended September 30, 2020, as a percentage of loss from continuing operations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was 0.9%, compared to (1.2)%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sources of liquidity are cash flows provided by our operations, the proceeds from the Paycheck Protection Program loan,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invest a portion of our cash reserves in marketable securities including short-term cash investments, U.S. Treasury notes and bonds, corporate bonds and commercial paper. At September 30, 2020 and December 31, 2019, all our investments had original maturities of less than ninety days and as a result were classified as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September 30, 2020 and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r>
      <w:tr>
        <w:trPr>
          <w:trHeight w:val="101"/>
        </w:trPr>
        <w:tc>
          <w:tcPr>
            <w:tcW w:w="66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26,646,530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marketable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26,646,530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26,012,840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r>
      <w:tr>
        <w:trPr>
          <w:trHeight w:val="21"/>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net changes in cash and cash equivalents for the nine months ended September 30, 2020 and September 30,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19"/>
                <w:szCs w:val="19"/>
                <w:color w:val="auto"/>
              </w:rPr>
            </w:pPr>
          </w:p>
        </w:tc>
      </w:tr>
      <w:tr>
        <w:trPr>
          <w:trHeight w:val="88"/>
        </w:trPr>
        <w:tc>
          <w:tcPr>
            <w:tcW w:w="6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4,561,140</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2,199,356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(1,441,768)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394,733</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(4,685,477)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(3,554,625)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(1,566,105)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(960,536)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net $1.6 million decrease in cash and cash equivalents for the nine months ended September 30, 2020, was primarily attributable to cash used in investing and financing activities. Cash provided by operating activities of $4.6 million was positively impacted by decreases in inventory of $1.7 million, as well as the add back of non-cash expenses of depreciation, amortization and share-based compensation expense totaling $4.3 million. Cash used by investing activities was the result of additions to intangibles of $1.8 million, equipment of $0.1 million and the payment of $1.0 million to Nordic. Our financing activities included the net repayment of $1.5 million on our revolving line of credit, the $1.6 million in cash used to repurchase shares of our common stock as well as the $0.8 million used for the repurchase of a portion of CET's shares.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net $1.0 million decrease in cash and cash equivalents for the nine months ended September 30, 2019 was attributable to cash used in financing activities, partially offset by the $2.2 million and the $0.4 million in cash provided by operating and investing activities, respectively. Cash provided by operating activities of $2.2 million was positively impacted by the decrease in inventory as well as the add back of non-cash expenses of depreciation, amortization and share-based compensation expense totaling $4.4 million. Cash provided by investing activities was increased by net sales of marketable securities of $6.1 million, partially offset by the $5.0 million payment to Theravance as part of the acquisition of Vibativ and the additions to intangibles of $0.5 million. Our financing activities reflected the $2.6 million in cash used to repurchase shares of our common stock.</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Debt Agreement</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7, 2020, we entered into a Fourth Amendment (“Fourth Amendment”) to the Revolving Credit Loan Agreement with Pinnacle Bank (the “Pinnacle Agreement”). The Fourth Amendment extends the maturity date of the Pinnacle Agreement through October 1, 2022 and provides for a principal available for borrowing of up to $15 million. We also have the ability to request an increase of up to an additional $5 million, upon the satisfaction of certain conditions and approval by Pinnacle Bank. If fully expanded, the Fourth Amendment would provide a maximum principal available for borrowing of up to $20 million. On May 10, 2019, we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On October 17, 2018, we entered into a second amendment (“Second Amendment”) which increased the maximum aggregate principal available for borrowing under the Pinnacle Agreement to $20.0 million. For a summary of the material terms of the Pinnacle Agreement, as amended, see Note 7 to the accompanying unaudited condensed consolidated financial statements.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September 30, 2020. We expect to maintain compliance with the Tangible Capital Ratio financial covenant in future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 For a summary of the material terms of the Paycheck Protection Program loan, see Note 7 to the accompanying unaudited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qualifying payroll costs, covered rent payments, and covered utilities. From the date of funding we have used the loan amount for such qualifying expenses.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Cumberland has not laid off or furloughed any employees as a result of the COVID-19 pandemic and, based on assistance from our PPP loan, we currently do not foresee doing so. In October 2020, we submitted a request for forgiveness of the PPP loan. The request was approved by the lender, Pinnacle Bank, who then submitted it to the U.S. Small Business Administration ("SBA") for the SBA's review and approval.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and 2019, we did not engage in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classified as marketable securities at September 30, 2020. Based on current interest rates, we do not believe we are exposed to significant downside risk related to change in interest on our investment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 pricing under the Fourth Amendment of the Pinnacle Agreement provides for an interest rate spread of 1.75% to 2.75% above LIBOR with a minimum LIBOR of 0.90%. The applicable interest rate under the Pinnacle Agreement was 2.90% at September 30, 2020, prior to entering into the Fourth Amendment. As of September 30, 2020, we had $17.0 million in borrowings outstanding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Exchange Rate Risk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nine months ended September 30, 2020 and 2019.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of the end of the period covered by this Quarterly Report on Form 10-Q. Based on such evaluation, the Company’s management has concluded that, as of the end of such period, the Company’s disclosure controls and procedures were effective in recording, processing, summarizing and reporting, on a timely basis, information required to be disclosed by the Company in the reports that it files or submits under the Exchange Act.</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2020, there has not been any change in our internal control over financial reporting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updating the following risk factor that appears in the 2019 Annual Report on Form 10-K under the section titled "Risk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 A long-term inability to meet demand for our products could result in impairment of our brands overall future and the carrying value of the assets associated with our brands. The recent COVID-19 pandemic may create local issues for our third party-manufacturers and introduce delays in our manufacturing process.</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Acetadote</w:t>
      </w:r>
      <w:r>
        <w:rPr>
          <w:rFonts w:ascii="Arial" w:cs="Arial" w:eastAsia="Arial" w:hAnsi="Arial"/>
          <w:sz w:val="18"/>
          <w:szCs w:val="18"/>
          <w:color w:val="auto"/>
        </w:rPr>
        <w:t>: We have agreements with two manufacturers, and one manufacturer provided commercial supplies of the product during 2019. If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of Acetadote is unable to produce marketable inventory in sufficient quantities, in the agreed upon time period, we could suffer an inability to meet demand for our product.</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Caldolor</w:t>
      </w:r>
      <w:r>
        <w:rPr>
          <w:rFonts w:ascii="Arial" w:cs="Arial" w:eastAsia="Arial" w:hAnsi="Arial"/>
          <w:sz w:val="17"/>
          <w:szCs w:val="17"/>
          <w:color w:val="auto"/>
        </w:rPr>
        <w:t>: We have agreements with multiple manufacturers for the supply of Caldolor and during 2019 we obtained commercial supplies from</w:t>
      </w:r>
      <w:r>
        <w:rPr>
          <w:rFonts w:ascii="Arial" w:cs="Arial" w:eastAsia="Arial" w:hAnsi="Arial"/>
          <w:sz w:val="17"/>
          <w:szCs w:val="17"/>
          <w:i w:val="1"/>
          <w:iCs w:val="1"/>
          <w:color w:val="auto"/>
        </w:rPr>
        <w:t xml:space="preserve"> </w:t>
      </w:r>
      <w:r>
        <w:rPr>
          <w:rFonts w:ascii="Arial" w:cs="Arial" w:eastAsia="Arial" w:hAnsi="Arial"/>
          <w:sz w:val="17"/>
          <w:szCs w:val="17"/>
          <w:color w:val="auto"/>
        </w:rPr>
        <w:t>three of these manufacturers for our international and domestic Caldolor requirements. If the manufacturers of Caldolor are unable to produce marketable inventory in sufficient quantities, in the agreed upon time period, we could suffer an inability to meet demand for our product.</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Kristalose</w:t>
      </w:r>
      <w:r>
        <w:rPr>
          <w:rFonts w:ascii="Arial" w:cs="Arial" w:eastAsia="Arial" w:hAnsi="Arial"/>
          <w:sz w:val="18"/>
          <w:szCs w:val="18"/>
          <w:color w:val="auto"/>
        </w:rPr>
        <w:t>: The active pharmaceutical ingredient for Kristalose is manufactured at a single facility by an international supplier. We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relationships with two packagers who provided finished supplies of the product for commercial and sampling purposes during 2019. If these facilities are damaged or destroyed, or if local conditions result in a work stoppage, we could suffer an inability to meet demand for our product. Kristalose is manufactured through a complex process. It would be particularly difficult to find a new manufacturer of Kristalose active pharmaceutical ingredient on an expedited basis. As a result of these factors, our ability to manufacture Kristalose may be substantially impaired if the manufacturer is unable or unwilling to supply sufficient quantities of the product.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i w:val="1"/>
          <w:iCs w:val="1"/>
          <w:color w:val="auto"/>
        </w:rPr>
        <w:t>Omeclamox-Pak</w:t>
      </w:r>
      <w:r>
        <w:rPr>
          <w:rFonts w:ascii="Arial" w:cs="Arial" w:eastAsia="Arial" w:hAnsi="Arial"/>
          <w:sz w:val="17"/>
          <w:szCs w:val="17"/>
          <w:color w:val="auto"/>
        </w:rPr>
        <w:t>: Prior to our asset purchase agreement with GEL that closed in December 2018, GEL managed the packaging and supply of</w:t>
      </w:r>
      <w:r>
        <w:rPr>
          <w:rFonts w:ascii="Arial" w:cs="Arial" w:eastAsia="Arial" w:hAnsi="Arial"/>
          <w:sz w:val="17"/>
          <w:szCs w:val="17"/>
          <w:i w:val="1"/>
          <w:iCs w:val="1"/>
          <w:color w:val="auto"/>
        </w:rPr>
        <w:t xml:space="preserve"> </w:t>
      </w:r>
      <w:r>
        <w:rPr>
          <w:rFonts w:ascii="Arial" w:cs="Arial" w:eastAsia="Arial" w:hAnsi="Arial"/>
          <w:sz w:val="17"/>
          <w:szCs w:val="17"/>
          <w:color w:val="auto"/>
        </w:rPr>
        <w:t>Omeclamox-Pak commercial and sample units. Following our acquisition of the remaining rights to the brand in late 2018, we assumed responsibility for the packaging and supply of the product. During 2019 we entered into a new packaging arrangement for this product. The Company has been carefully monitoring its supply chain during the pandemic and preparing for its economic impact. The packager for Cumberland’s Omeclamox-Pak product encountered financial difficulties due to the impact of COVID-19, and their operations are currently suspended. Cumberland is awaiting resumption of those operations while also exploring other alternatives to restart the product’s packaging. Meanwhile, we informed the FDA of a shortage of the Omeclamox-Pak effective October 14, 2020, and have not provided a date for the availability of new inventory. Cumberland noted that there is currently some remaining inventory of the product in the distribution channels. If we are unable to obtain marketable inventory in the future, we could suffer an inability to meet demand for our product.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i w:val="1"/>
          <w:iCs w:val="1"/>
          <w:color w:val="auto"/>
        </w:rPr>
        <w:t>Vaprisol</w:t>
      </w:r>
      <w:r>
        <w:rPr>
          <w:rFonts w:ascii="Arial" w:cs="Arial" w:eastAsia="Arial" w:hAnsi="Arial"/>
          <w:sz w:val="17"/>
          <w:szCs w:val="17"/>
          <w:color w:val="auto"/>
        </w:rPr>
        <w:t>: As part of the acquisition of Vaprisol, we purchased an existing supply of raw material inventory. In addition, as part of this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we were assigned a commercial supply agreement with the historical Vaprisol manufacturer. In 2018, the manufacturer informed us that they would no longer be able to provide the product following the manufacturing of one final batch which is expected to provide us with a multi-year supply. Therefore, we are evaluating alternatives for a new manufacturer to provide us with long term supplies of the product. If we are unable to produce additional marketable inventory in sufficient quantities of Vaprisol, we could suffer an inability to meet demand for our product.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jc w:val="both"/>
        <w:ind w:firstLine="648"/>
        <w:spacing w:after="0" w:line="243" w:lineRule="auto"/>
        <w:rPr>
          <w:sz w:val="20"/>
          <w:szCs w:val="20"/>
          <w:color w:val="auto"/>
        </w:rPr>
      </w:pPr>
      <w:r>
        <w:rPr>
          <w:rFonts w:ascii="Arial" w:cs="Arial" w:eastAsia="Arial" w:hAnsi="Arial"/>
          <w:sz w:val="18"/>
          <w:szCs w:val="18"/>
          <w:i w:val="1"/>
          <w:iCs w:val="1"/>
          <w:color w:val="auto"/>
        </w:rPr>
        <w:t>Vibativ</w:t>
      </w:r>
      <w:r>
        <w:rPr>
          <w:rFonts w:ascii="Arial" w:cs="Arial" w:eastAsia="Arial" w:hAnsi="Arial"/>
          <w:sz w:val="18"/>
          <w:szCs w:val="18"/>
          <w:color w:val="auto"/>
        </w:rPr>
        <w:t>: Through our acquisition of Vibativ, we acquired a multi-year supply of raw material, work in process and finished goods inventory.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agreement, we are now responsible for the future manufacture of the product and completed the transfer of the product’s manufacturing activities to a new supplier in 2019. If we are unable to obtain marketable inventory in the future, we could suffer an inability to meet demand for our product.</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i w:val="1"/>
          <w:iCs w:val="1"/>
          <w:color w:val="auto"/>
        </w:rPr>
        <w:t>RediTrex</w:t>
      </w:r>
      <w:r>
        <w:rPr>
          <w:rFonts w:ascii="Arial" w:cs="Arial" w:eastAsia="Arial" w:hAnsi="Arial"/>
          <w:sz w:val="17"/>
          <w:szCs w:val="17"/>
          <w:color w:val="auto"/>
        </w:rPr>
        <w:t>: Under our agreement with Nordic, they will be responsible for providing us the packaged and labeled commercial supply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RediTrex product. If we are unable to obtain marketable inventory in the future, we could suffer an inability to meet demand for our product.</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may be unable to comply with GMP requirements and with other FDA, state and foreign regulatory requirements.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no control over our manufacturers’ compliance with these regulations and standards. If our third-party manufacturers do not comply with these requirements, we could be subject to:</w:t>
      </w:r>
    </w:p>
    <w:p>
      <w:pPr>
        <w:spacing w:after="0" w:line="26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18"/>
          <w:szCs w:val="18"/>
          <w:color w:val="auto"/>
        </w:rPr>
        <w:t>Fines and civil penalties;</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18"/>
          <w:szCs w:val="18"/>
          <w:color w:val="auto"/>
        </w:rPr>
        <w:t>Suspension of production or distribution;</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18"/>
          <w:szCs w:val="18"/>
          <w:color w:val="auto"/>
        </w:rPr>
        <w:t>Suspension or delay in product approval;</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18"/>
          <w:szCs w:val="18"/>
          <w:color w:val="auto"/>
        </w:rPr>
        <w:t>Product seizure or recall; and</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18"/>
          <w:szCs w:val="18"/>
          <w:color w:val="auto"/>
        </w:rPr>
        <w:t>Withdrawal of product approval.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ind w:right="224"/>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4"/>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4"/>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Price Paid</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Units)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per Share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(1)</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484"/>
              <w:spacing w:after="0" w:line="189" w:lineRule="exact"/>
              <w:rPr>
                <w:sz w:val="20"/>
                <w:szCs w:val="20"/>
                <w:color w:val="auto"/>
              </w:rPr>
            </w:pPr>
            <w:r>
              <w:rPr>
                <w:rFonts w:ascii="Arial" w:cs="Arial" w:eastAsia="Arial" w:hAnsi="Arial"/>
                <w:sz w:val="13"/>
                <w:szCs w:val="13"/>
                <w:b w:val="1"/>
                <w:bCs w:val="1"/>
                <w:color w:val="auto"/>
              </w:rPr>
              <w:t xml:space="preserve">Programs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33,887</w:t>
            </w:r>
          </w:p>
        </w:tc>
        <w:tc>
          <w:tcPr>
            <w:tcW w:w="4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33,887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6,711,736</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August</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31,196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31,196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ind w:right="4"/>
              <w:spacing w:after="0"/>
              <w:rPr>
                <w:sz w:val="20"/>
                <w:szCs w:val="20"/>
                <w:color w:val="auto"/>
              </w:rPr>
            </w:pPr>
            <w:r>
              <w:rPr>
                <w:rFonts w:ascii="Arial" w:cs="Arial" w:eastAsia="Arial" w:hAnsi="Arial"/>
                <w:sz w:val="18"/>
                <w:szCs w:val="18"/>
                <w:color w:val="auto"/>
              </w:rPr>
              <w:t>6,606,469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36,271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(1)</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6,485,814</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101,354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101,354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this amount, 1,324 shares were repurchased directly through private purchases at the then-current fair market value of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4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27"/>
        </w:trPr>
        <w:tc>
          <w:tcPr>
            <w:tcW w:w="1380" w:type="dxa"/>
            <w:vAlign w:val="bottom"/>
          </w:tcPr>
          <w:p>
            <w:pPr>
              <w:ind w:left="20"/>
              <w:spacing w:after="0"/>
              <w:rPr>
                <w:sz w:val="20"/>
                <w:szCs w:val="20"/>
                <w:color w:val="auto"/>
              </w:rPr>
            </w:pPr>
            <w:r>
              <w:rPr>
                <w:rFonts w:ascii="Arial" w:cs="Arial" w:eastAsia="Arial" w:hAnsi="Arial"/>
                <w:sz w:val="18"/>
                <w:szCs w:val="18"/>
                <w:color w:val="auto"/>
              </w:rPr>
              <w:t>No.</w:t>
            </w:r>
          </w:p>
        </w:tc>
        <w:tc>
          <w:tcPr>
            <w:tcW w:w="8380" w:type="dxa"/>
            <w:vAlign w:val="bottom"/>
            <w:gridSpan w:val="7"/>
          </w:tcPr>
          <w:p>
            <w:pPr>
              <w:spacing w:after="0"/>
              <w:rPr>
                <w:sz w:val="20"/>
                <w:szCs w:val="20"/>
                <w:color w:val="auto"/>
              </w:rPr>
            </w:pPr>
            <w:r>
              <w:rPr>
                <w:rFonts w:ascii="Arial" w:cs="Arial" w:eastAsia="Arial" w:hAnsi="Arial"/>
                <w:sz w:val="18"/>
                <w:szCs w:val="18"/>
                <w:color w:val="auto"/>
              </w:rPr>
              <w:t>Description</w:t>
            </w:r>
          </w:p>
        </w:tc>
      </w:tr>
      <w:tr>
        <w:trPr>
          <w:trHeight w:val="418"/>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3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Third Amendment to Revolving Credit Note and Fourth Amendment to Revolving Credit Loan Agreement, dated as</w:t>
              </w:r>
            </w:hyperlink>
          </w:p>
        </w:tc>
      </w:tr>
      <w:tr>
        <w:trPr>
          <w:trHeight w:val="156"/>
        </w:trPr>
        <w:tc>
          <w:tcPr>
            <w:tcW w:w="1380" w:type="dxa"/>
            <w:vAlign w:val="bottom"/>
          </w:tcPr>
          <w:p>
            <w:pPr>
              <w:spacing w:after="0"/>
              <w:rPr>
                <w:sz w:val="13"/>
                <w:szCs w:val="13"/>
                <w:color w:val="auto"/>
              </w:rPr>
            </w:pPr>
          </w:p>
        </w:tc>
        <w:tc>
          <w:tcPr>
            <w:tcW w:w="8380" w:type="dxa"/>
            <w:vAlign w:val="bottom"/>
            <w:gridSpan w:val="7"/>
          </w:tcPr>
          <w:p>
            <w:pPr>
              <w:spacing w:after="0" w:line="156" w:lineRule="exact"/>
              <w:rPr>
                <w:rFonts w:ascii="Arial" w:cs="Arial" w:eastAsia="Arial" w:hAnsi="Arial"/>
                <w:sz w:val="18"/>
                <w:szCs w:val="18"/>
                <w:color w:val="0000FF"/>
              </w:rPr>
            </w:pPr>
            <w:hyperlink w:anchor="page35">
              <w:r>
                <w:rPr>
                  <w:rFonts w:ascii="Arial" w:cs="Arial" w:eastAsia="Arial" w:hAnsi="Arial"/>
                  <w:sz w:val="18"/>
                  <w:szCs w:val="18"/>
                  <w:color w:val="0000FF"/>
                </w:rPr>
                <w:t>of October 7, 2020 by and between Cumberland Pharmaceuticals Inc. and Pinnacle Bank.</w:t>
              </w:r>
            </w:hyperlink>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8380" w:type="dxa"/>
            <w:vAlign w:val="bottom"/>
            <w:gridSpan w:val="7"/>
          </w:tcPr>
          <w:p>
            <w:pPr>
              <w:spacing w:after="0"/>
              <w:rPr>
                <w:rFonts w:ascii="Arial" w:cs="Arial" w:eastAsia="Arial" w:hAnsi="Arial"/>
                <w:sz w:val="18"/>
                <w:szCs w:val="18"/>
                <w:color w:val="0000FF"/>
                <w:w w:val="97"/>
              </w:rPr>
            </w:pPr>
            <w:hyperlink w:anchor="page40">
              <w:r>
                <w:rPr>
                  <w:rFonts w:ascii="Arial" w:cs="Arial" w:eastAsia="Arial" w:hAnsi="Arial"/>
                  <w:sz w:val="18"/>
                  <w:szCs w:val="18"/>
                  <w:color w:val="0000FF"/>
                  <w:w w:val="97"/>
                </w:rPr>
                <w:t>Certification of Chief Executive Officer Pursuant to Rule 13-14(a) of the Securities Exchange Act of 1934 as</w:t>
              </w:r>
            </w:hyperlink>
          </w:p>
        </w:tc>
      </w:tr>
      <w:tr>
        <w:trPr>
          <w:trHeight w:val="156"/>
        </w:trPr>
        <w:tc>
          <w:tcPr>
            <w:tcW w:w="138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Adopted Pursuant to Section 302 of the Sarbanes-Oxley Act of 2002.</w:t>
              </w:r>
            </w:hyperlink>
          </w:p>
        </w:tc>
        <w:tc>
          <w:tcPr>
            <w:tcW w:w="286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8380" w:type="dxa"/>
            <w:vAlign w:val="bottom"/>
            <w:gridSpan w:val="7"/>
          </w:tcPr>
          <w:p>
            <w:pPr>
              <w:spacing w:after="0"/>
              <w:rPr>
                <w:rFonts w:ascii="Arial" w:cs="Arial" w:eastAsia="Arial" w:hAnsi="Arial"/>
                <w:sz w:val="18"/>
                <w:szCs w:val="18"/>
                <w:color w:val="0000FF"/>
                <w:w w:val="98"/>
              </w:rPr>
            </w:pPr>
            <w:hyperlink w:anchor="page41">
              <w:r>
                <w:rPr>
                  <w:rFonts w:ascii="Arial" w:cs="Arial" w:eastAsia="Arial" w:hAnsi="Arial"/>
                  <w:sz w:val="18"/>
                  <w:szCs w:val="18"/>
                  <w:color w:val="0000FF"/>
                  <w:w w:val="98"/>
                </w:rPr>
                <w:t>Certification of Chief Financial Officer Pursuant to Rule 13-14(a) of the Securities Exchange Act of 1934 as</w:t>
              </w:r>
            </w:hyperlink>
          </w:p>
        </w:tc>
      </w:tr>
      <w:tr>
        <w:trPr>
          <w:trHeight w:val="156"/>
        </w:trPr>
        <w:tc>
          <w:tcPr>
            <w:tcW w:w="138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Adopted Pursuant to Section 302 of the Sarbanes-Oxley Act of 2002.</w:t>
              </w:r>
            </w:hyperlink>
          </w:p>
        </w:tc>
        <w:tc>
          <w:tcPr>
            <w:tcW w:w="2820" w:type="dxa"/>
            <w:vAlign w:val="bottom"/>
            <w:tcBorders>
              <w:top w:val="single" w:sz="8" w:color="0000FF"/>
            </w:tcBorders>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380" w:type="dxa"/>
            <w:vAlign w:val="bottom"/>
            <w:gridSpan w:val="7"/>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Certification of Chief Executive and Principal Financial Officer Pursuant to 18 U.S.C. Section 1350, as Adopted</w:t>
              </w:r>
            </w:hyperlink>
          </w:p>
        </w:tc>
      </w:tr>
      <w:tr>
        <w:trPr>
          <w:trHeight w:val="155"/>
        </w:trPr>
        <w:tc>
          <w:tcPr>
            <w:tcW w:w="1380" w:type="dxa"/>
            <w:vAlign w:val="bottom"/>
          </w:tcPr>
          <w:p>
            <w:pPr>
              <w:spacing w:after="0"/>
              <w:rPr>
                <w:sz w:val="13"/>
                <w:szCs w:val="13"/>
                <w:color w:val="auto"/>
              </w:rPr>
            </w:pPr>
          </w:p>
        </w:tc>
        <w:tc>
          <w:tcPr>
            <w:tcW w:w="81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Pursuant to Section 906 of the Sarbanes-Oxley Act of 2002.</w:t>
              </w:r>
            </w:hyperlink>
          </w:p>
        </w:tc>
        <w:tc>
          <w:tcPr>
            <w:tcW w:w="28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r>
      <w:tr>
        <w:trPr>
          <w:trHeight w:val="426"/>
        </w:trPr>
        <w:tc>
          <w:tcPr>
            <w:tcW w:w="1380" w:type="dxa"/>
            <w:vAlign w:val="bottom"/>
          </w:tcPr>
          <w:p>
            <w:pPr>
              <w:ind w:left="20"/>
              <w:spacing w:after="0"/>
              <w:rPr>
                <w:sz w:val="20"/>
                <w:szCs w:val="20"/>
                <w:color w:val="auto"/>
              </w:rPr>
            </w:pPr>
            <w:r>
              <w:rPr>
                <w:rFonts w:ascii="Arial" w:cs="Arial" w:eastAsia="Arial" w:hAnsi="Arial"/>
                <w:sz w:val="18"/>
                <w:szCs w:val="18"/>
                <w:color w:val="auto"/>
              </w:rPr>
              <w:t>101.INS*</w:t>
            </w:r>
          </w:p>
        </w:tc>
        <w:tc>
          <w:tcPr>
            <w:tcW w:w="8380" w:type="dxa"/>
            <w:vAlign w:val="bottom"/>
            <w:gridSpan w:val="7"/>
          </w:tcPr>
          <w:p>
            <w:pPr>
              <w:spacing w:after="0"/>
              <w:rPr>
                <w:sz w:val="20"/>
                <w:szCs w:val="20"/>
                <w:color w:val="auto"/>
              </w:rPr>
            </w:pPr>
            <w:r>
              <w:rPr>
                <w:rFonts w:ascii="Arial" w:cs="Arial" w:eastAsia="Arial" w:hAnsi="Arial"/>
                <w:sz w:val="18"/>
                <w:szCs w:val="18"/>
                <w:color w:val="auto"/>
              </w:rPr>
              <w:t>XBRL INSTANCE DOCUMENT - THE INSTANCE DOCUMENT DOES NOT APPEAR IN THE</w:t>
            </w:r>
          </w:p>
        </w:tc>
      </w:tr>
      <w:tr>
        <w:trPr>
          <w:trHeight w:val="175"/>
        </w:trPr>
        <w:tc>
          <w:tcPr>
            <w:tcW w:w="1380" w:type="dxa"/>
            <w:vAlign w:val="bottom"/>
          </w:tcPr>
          <w:p>
            <w:pPr>
              <w:spacing w:after="0"/>
              <w:rPr>
                <w:sz w:val="15"/>
                <w:szCs w:val="15"/>
                <w:color w:val="auto"/>
              </w:rPr>
            </w:pPr>
          </w:p>
        </w:tc>
        <w:tc>
          <w:tcPr>
            <w:tcW w:w="8380" w:type="dxa"/>
            <w:vAlign w:val="bottom"/>
            <w:gridSpan w:val="7"/>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 XBRL</w:t>
            </w:r>
          </w:p>
        </w:tc>
      </w:tr>
      <w:tr>
        <w:trPr>
          <w:trHeight w:val="230"/>
        </w:trPr>
        <w:tc>
          <w:tcPr>
            <w:tcW w:w="138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58"/>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3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3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3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3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3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1380" w:hanging="38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80" w:hanging="38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6640" w:type="dxa"/>
            <w:vAlign w:val="bottom"/>
            <w:gridSpan w:val="2"/>
          </w:tcPr>
          <w:p>
            <w:pPr>
              <w:ind w:left="19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3760" w:type="dxa"/>
            <w:vAlign w:val="bottom"/>
          </w:tcPr>
          <w:p>
            <w:pPr>
              <w:spacing w:after="0"/>
              <w:rPr>
                <w:sz w:val="20"/>
                <w:szCs w:val="20"/>
                <w:color w:val="auto"/>
              </w:rPr>
            </w:pPr>
            <w:r>
              <w:rPr>
                <w:rFonts w:ascii="Arial" w:cs="Arial" w:eastAsia="Arial" w:hAnsi="Arial"/>
                <w:sz w:val="18"/>
                <w:szCs w:val="18"/>
                <w:color w:val="auto"/>
              </w:rPr>
              <w:t>Date: November 13, 2020</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Michael Bonner</w:t>
            </w:r>
          </w:p>
        </w:tc>
      </w:tr>
      <w:tr>
        <w:trPr>
          <w:trHeight w:val="222"/>
        </w:trPr>
        <w:tc>
          <w:tcPr>
            <w:tcW w:w="37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Michael Bonner</w:t>
            </w:r>
          </w:p>
        </w:tc>
      </w:tr>
      <w:tr>
        <w:trPr>
          <w:trHeight w:val="230"/>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5"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u w:val="single" w:color="auto"/>
          <w:color w:val="auto"/>
        </w:rPr>
        <w:t>THIRD AMENDMENT TO REVOLVING CREDIT NOTE AND</w:t>
      </w:r>
    </w:p>
    <w:p>
      <w:pPr>
        <w:jc w:val="center"/>
        <w:spacing w:after="0" w:line="231" w:lineRule="auto"/>
        <w:rPr>
          <w:sz w:val="20"/>
          <w:szCs w:val="20"/>
          <w:color w:val="auto"/>
        </w:rPr>
      </w:pPr>
      <w:r>
        <w:rPr>
          <w:rFonts w:ascii="Arial" w:cs="Arial" w:eastAsia="Arial" w:hAnsi="Arial"/>
          <w:sz w:val="20"/>
          <w:szCs w:val="20"/>
          <w:b w:val="1"/>
          <w:bCs w:val="1"/>
          <w:u w:val="single" w:color="auto"/>
          <w:color w:val="auto"/>
        </w:rPr>
        <w:t>FOURTH AMENDMENT TO REVOLVING CREDIT LOAN AGREEMENT</w:t>
      </w:r>
    </w:p>
    <w:p>
      <w:pPr>
        <w:jc w:val="both"/>
        <w:ind w:firstLine="648"/>
        <w:spacing w:after="0" w:line="231" w:lineRule="auto"/>
        <w:rPr>
          <w:sz w:val="20"/>
          <w:szCs w:val="20"/>
          <w:color w:val="auto"/>
        </w:rPr>
      </w:pPr>
      <w:r>
        <w:rPr>
          <w:rFonts w:ascii="Arial" w:cs="Arial" w:eastAsia="Arial" w:hAnsi="Arial"/>
          <w:sz w:val="22"/>
          <w:szCs w:val="22"/>
          <w:color w:val="auto"/>
        </w:rPr>
        <w:t>THIS THIRD AMENDMENT TO REVOLVING CREDIT NOTE AND FOURTH AMENDMENT TO REVOLVING CREDIT LOAN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October 7, 2020, by and between CUMBERLAND PHARMACEUTICALS INC., a Tennessee corporation (“</w:t>
      </w:r>
      <w:r>
        <w:rPr>
          <w:rFonts w:ascii="Arial" w:cs="Arial" w:eastAsia="Arial" w:hAnsi="Arial"/>
          <w:sz w:val="22"/>
          <w:szCs w:val="22"/>
          <w:b w:val="1"/>
          <w:bCs w:val="1"/>
          <w:color w:val="auto"/>
        </w:rPr>
        <w:t>Borrower</w:t>
      </w:r>
      <w:r>
        <w:rPr>
          <w:rFonts w:ascii="Arial" w:cs="Arial" w:eastAsia="Arial" w:hAnsi="Arial"/>
          <w:sz w:val="22"/>
          <w:szCs w:val="22"/>
          <w:color w:val="auto"/>
        </w:rPr>
        <w:t>”), and PINNACLE BANK, a Tennessee banking corporation (the “</w:t>
      </w:r>
      <w:r>
        <w:rPr>
          <w:rFonts w:ascii="Arial" w:cs="Arial" w:eastAsia="Arial" w:hAnsi="Arial"/>
          <w:sz w:val="22"/>
          <w:szCs w:val="22"/>
          <w:b w:val="1"/>
          <w:bCs w:val="1"/>
          <w:color w:val="auto"/>
        </w:rPr>
        <w:t>Lender</w:t>
      </w:r>
      <w:r>
        <w:rPr>
          <w:rFonts w:ascii="Arial" w:cs="Arial" w:eastAsia="Arial" w:hAnsi="Arial"/>
          <w:sz w:val="22"/>
          <w:szCs w:val="22"/>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left="660" w:hanging="328"/>
        <w:spacing w:after="0" w:line="245" w:lineRule="auto"/>
        <w:tabs>
          <w:tab w:leader="none" w:pos="658" w:val="left"/>
        </w:tabs>
        <w:numPr>
          <w:ilvl w:val="0"/>
          <w:numId w:val="10"/>
        </w:numPr>
        <w:rPr>
          <w:rFonts w:ascii="Arial" w:cs="Arial" w:eastAsia="Arial" w:hAnsi="Arial"/>
          <w:sz w:val="19"/>
          <w:szCs w:val="19"/>
          <w:color w:val="auto"/>
        </w:rPr>
      </w:pPr>
      <w:r>
        <w:rPr>
          <w:rFonts w:ascii="Arial" w:cs="Arial" w:eastAsia="Arial" w:hAnsi="Arial"/>
          <w:sz w:val="21"/>
          <w:szCs w:val="21"/>
          <w:color w:val="auto"/>
        </w:rPr>
        <w:t>Borrower issued to the order of Lender that certain $12,000,000.00 Revolving Credit Note dated July 31, 2017, as amended by that certain First Amendment to Revolving Credit Note and Second Amendment to Revolving Credit Loan Agreement dated October 17, 2018 whereby among other changes the principal amount thereof was increased to up to $20,000,000.00, and as amended by that certain Second Amendment to Revolving Credit Note and Third Amendment to Revolving Credit Loan Agreement dated May 10, 2019 (the “</w:t>
      </w:r>
      <w:r>
        <w:rPr>
          <w:rFonts w:ascii="Arial" w:cs="Arial" w:eastAsia="Arial" w:hAnsi="Arial"/>
          <w:sz w:val="21"/>
          <w:szCs w:val="21"/>
          <w:b w:val="1"/>
          <w:bCs w:val="1"/>
          <w:color w:val="auto"/>
        </w:rPr>
        <w:t>Note</w:t>
      </w:r>
      <w:r>
        <w:rPr>
          <w:rFonts w:ascii="Arial" w:cs="Arial" w:eastAsia="Arial" w:hAnsi="Arial"/>
          <w:sz w:val="21"/>
          <w:szCs w:val="21"/>
          <w:color w:val="auto"/>
        </w:rPr>
        <w:t>”).</w:t>
      </w:r>
    </w:p>
    <w:p>
      <w:pPr>
        <w:jc w:val="both"/>
        <w:ind w:left="660" w:hanging="328"/>
        <w:spacing w:after="0" w:line="232" w:lineRule="auto"/>
        <w:tabs>
          <w:tab w:leader="none" w:pos="658" w:val="left"/>
        </w:tabs>
        <w:numPr>
          <w:ilvl w:val="0"/>
          <w:numId w:val="10"/>
        </w:numPr>
        <w:rPr>
          <w:rFonts w:ascii="Arial" w:cs="Arial" w:eastAsia="Arial" w:hAnsi="Arial"/>
          <w:sz w:val="20"/>
          <w:szCs w:val="20"/>
          <w:color w:val="auto"/>
        </w:rPr>
      </w:pPr>
      <w:r>
        <w:rPr>
          <w:rFonts w:ascii="Arial" w:cs="Arial" w:eastAsia="Arial" w:hAnsi="Arial"/>
          <w:sz w:val="22"/>
          <w:szCs w:val="22"/>
          <w:color w:val="auto"/>
        </w:rPr>
        <w:t>Borrower and the Lender entered into that certain Revolving Credit Loan Agreement dated as of July 31, 2017, as amended by that certain First Amendment to Revolving Credit Loan Agreement dated August 14, 2018, as amended by that certain First Amendment to Revolving Credit Note and Second Amendment to Revolving Credit Loan Agreement dated October 17, 2018 (“</w:t>
      </w:r>
      <w:r>
        <w:rPr>
          <w:rFonts w:ascii="Arial" w:cs="Arial" w:eastAsia="Arial" w:hAnsi="Arial"/>
          <w:sz w:val="22"/>
          <w:szCs w:val="22"/>
          <w:b w:val="1"/>
          <w:bCs w:val="1"/>
          <w:color w:val="auto"/>
        </w:rPr>
        <w:t>Second Amendment to Loan Agreement</w:t>
      </w:r>
      <w:r>
        <w:rPr>
          <w:rFonts w:ascii="Arial" w:cs="Arial" w:eastAsia="Arial" w:hAnsi="Arial"/>
          <w:sz w:val="22"/>
          <w:szCs w:val="22"/>
          <w:color w:val="auto"/>
        </w:rPr>
        <w:t>”), and as amended by that certain Second Amendment to Revolving Credit Note and Third Amendment to Revolving Credit Loan Agreement dated May 10, 2019 (the “</w:t>
      </w:r>
      <w:r>
        <w:rPr>
          <w:rFonts w:ascii="Arial" w:cs="Arial" w:eastAsia="Arial" w:hAnsi="Arial"/>
          <w:sz w:val="22"/>
          <w:szCs w:val="22"/>
          <w:b w:val="1"/>
          <w:bCs w:val="1"/>
          <w:color w:val="auto"/>
        </w:rPr>
        <w:t>Loan Agreement</w:t>
      </w:r>
      <w:r>
        <w:rPr>
          <w:rFonts w:ascii="Arial" w:cs="Arial" w:eastAsia="Arial" w:hAnsi="Arial"/>
          <w:sz w:val="22"/>
          <w:szCs w:val="22"/>
          <w:color w:val="auto"/>
        </w:rPr>
        <w:t>”). Capitalized terms not otherwise defined therein have the same meaning as set forth in the Loan Agreement.</w:t>
      </w:r>
    </w:p>
    <w:p>
      <w:pPr>
        <w:spacing w:after="0" w:line="214"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2"/>
          <w:szCs w:val="22"/>
          <w:color w:val="auto"/>
        </w:rPr>
        <w:t>Borrower and the Lender desire to amend the Note and Loan Agreement as provided herein.</w:t>
      </w:r>
    </w:p>
    <w:p>
      <w:pPr>
        <w:spacing w:after="0" w:line="10" w:lineRule="exact"/>
        <w:rPr>
          <w:rFonts w:ascii="Arial" w:cs="Arial" w:eastAsia="Arial" w:hAnsi="Arial"/>
          <w:sz w:val="20"/>
          <w:szCs w:val="20"/>
          <w:color w:val="auto"/>
        </w:rPr>
      </w:pPr>
    </w:p>
    <w:p>
      <w:pPr>
        <w:ind w:left="660"/>
        <w:spacing w:after="0" w:line="234" w:lineRule="auto"/>
        <w:rPr>
          <w:rFonts w:ascii="Arial" w:cs="Arial" w:eastAsia="Arial" w:hAnsi="Arial"/>
          <w:sz w:val="20"/>
          <w:szCs w:val="20"/>
          <w:color w:val="auto"/>
        </w:rPr>
      </w:pPr>
      <w:r>
        <w:rPr>
          <w:rFonts w:ascii="Arial" w:cs="Arial" w:eastAsia="Arial" w:hAnsi="Arial"/>
          <w:sz w:val="20"/>
          <w:szCs w:val="20"/>
          <w:color w:val="auto"/>
        </w:rPr>
        <w:t>NOW, THEREFORE, in consideration of the premises and for other good and valuable consideration, the receipt and adequacy of which is hereby acknowledged, the parties hereto agree as follows:</w:t>
      </w:r>
    </w:p>
    <w:p>
      <w:pPr>
        <w:spacing w:after="0" w:line="205" w:lineRule="exact"/>
        <w:rPr>
          <w:rFonts w:ascii="Arial" w:cs="Arial" w:eastAsia="Arial" w:hAnsi="Arial"/>
          <w:sz w:val="20"/>
          <w:szCs w:val="20"/>
          <w:color w:val="auto"/>
        </w:rPr>
      </w:pPr>
    </w:p>
    <w:p>
      <w:pPr>
        <w:ind w:left="1300" w:hanging="320"/>
        <w:spacing w:after="0" w:line="239" w:lineRule="auto"/>
        <w:tabs>
          <w:tab w:leader="none" w:pos="1289" w:val="left"/>
        </w:tabs>
        <w:numPr>
          <w:ilvl w:val="1"/>
          <w:numId w:val="10"/>
        </w:numPr>
        <w:rPr>
          <w:rFonts w:ascii="Arial" w:cs="Arial" w:eastAsia="Arial" w:hAnsi="Arial"/>
          <w:sz w:val="20"/>
          <w:szCs w:val="20"/>
          <w:color w:val="auto"/>
        </w:rPr>
      </w:pPr>
      <w:r>
        <w:rPr>
          <w:rFonts w:ascii="Arial" w:cs="Arial" w:eastAsia="Arial" w:hAnsi="Arial"/>
          <w:sz w:val="22"/>
          <w:szCs w:val="22"/>
          <w:color w:val="auto"/>
        </w:rPr>
        <w:t>The maximum principal amount of the Note, as set forth in the upper right hand corner of the first page and within the first paragraph thereof, is hereby decreased by $5,000,000.00 to $15,000,000.00.</w:t>
      </w:r>
    </w:p>
    <w:p>
      <w:pPr>
        <w:ind w:left="1300" w:hanging="320"/>
        <w:spacing w:after="0" w:line="204" w:lineRule="auto"/>
        <w:tabs>
          <w:tab w:leader="none" w:pos="1300" w:val="left"/>
        </w:tabs>
        <w:numPr>
          <w:ilvl w:val="1"/>
          <w:numId w:val="10"/>
        </w:numPr>
        <w:rPr>
          <w:rFonts w:ascii="Arial" w:cs="Arial" w:eastAsia="Arial" w:hAnsi="Arial"/>
          <w:sz w:val="20"/>
          <w:szCs w:val="20"/>
          <w:color w:val="auto"/>
        </w:rPr>
      </w:pPr>
      <w:r>
        <w:rPr>
          <w:rFonts w:ascii="Arial" w:cs="Arial" w:eastAsia="Arial" w:hAnsi="Arial"/>
          <w:sz w:val="22"/>
          <w:szCs w:val="22"/>
          <w:color w:val="auto"/>
        </w:rPr>
        <w:t>The fifth paragraph of the Note, regarding repayment, is hereby amended and restated as follows:</w:t>
      </w:r>
    </w:p>
    <w:p>
      <w:pPr>
        <w:spacing w:after="0" w:line="1" w:lineRule="exact"/>
        <w:rPr>
          <w:sz w:val="20"/>
          <w:szCs w:val="20"/>
          <w:color w:val="auto"/>
        </w:rPr>
      </w:pPr>
    </w:p>
    <w:p>
      <w:pPr>
        <w:jc w:val="both"/>
        <w:ind w:left="1300" w:firstLine="1296"/>
        <w:spacing w:after="0" w:line="247" w:lineRule="auto"/>
        <w:rPr>
          <w:sz w:val="20"/>
          <w:szCs w:val="20"/>
          <w:color w:val="auto"/>
        </w:rPr>
      </w:pPr>
      <w:r>
        <w:rPr>
          <w:rFonts w:ascii="Arial" w:cs="Arial" w:eastAsia="Arial" w:hAnsi="Arial"/>
          <w:sz w:val="18"/>
          <w:szCs w:val="18"/>
          <w:color w:val="auto"/>
        </w:rPr>
        <w:t>This Note shall be payable as follows: (a) commencing on October 1, 2020 and continuing on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each consecutive month thereafter through and including September 1, 2022, the Borrower shall pay to the Lender and amount equal to all accrued and unpaid interest; and (b) this Note shall mature on October 1, 2022 (the “</w:t>
      </w:r>
      <w:r>
        <w:rPr>
          <w:rFonts w:ascii="Arial" w:cs="Arial" w:eastAsia="Arial" w:hAnsi="Arial"/>
          <w:sz w:val="19"/>
          <w:szCs w:val="19"/>
          <w:b w:val="1"/>
          <w:bCs w:val="1"/>
          <w:color w:val="auto"/>
        </w:rPr>
        <w:t>Maturity Date</w:t>
      </w:r>
      <w:r>
        <w:rPr>
          <w:rFonts w:ascii="Arial" w:cs="Arial" w:eastAsia="Arial" w:hAnsi="Arial"/>
          <w:sz w:val="18"/>
          <w:szCs w:val="18"/>
          <w:color w:val="auto"/>
        </w:rPr>
        <w:t>”), at which time Borrower shall pay to the Lender an amount equal to all outstanding principal, plus all accrued and unpaid interest and any other outstanding fees and expenses due and payable under the Loan Documents.</w:t>
      </w:r>
    </w:p>
    <w:p>
      <w:pPr>
        <w:sectPr>
          <w:pgSz w:w="11900" w:h="16838" w:orient="portrait"/>
          <w:cols w:equalWidth="0" w:num="1">
            <w:col w:w="11240"/>
          </w:cols>
          <w:pgMar w:left="320" w:top="1413" w:right="339" w:bottom="1440" w:gutter="0" w:footer="0" w:header="0"/>
        </w:sectPr>
      </w:pPr>
    </w:p>
    <w:bookmarkStart w:id="35" w:name="page36"/>
    <w:bookmarkEnd w:id="35"/>
    <w:p>
      <w:pPr>
        <w:jc w:val="both"/>
        <w:ind w:left="320" w:hanging="320"/>
        <w:spacing w:after="0" w:line="243" w:lineRule="auto"/>
        <w:tabs>
          <w:tab w:leader="none" w:pos="309" w:val="left"/>
        </w:tabs>
        <w:numPr>
          <w:ilvl w:val="0"/>
          <w:numId w:val="11"/>
        </w:numPr>
        <w:rPr>
          <w:rFonts w:ascii="Arial" w:cs="Arial" w:eastAsia="Arial" w:hAnsi="Arial"/>
          <w:sz w:val="20"/>
          <w:szCs w:val="20"/>
          <w:color w:val="auto"/>
        </w:rPr>
      </w:pPr>
      <w:r>
        <w:rPr>
          <w:rFonts w:ascii="Arial" w:cs="Arial" w:eastAsia="Arial" w:hAnsi="Arial"/>
          <w:sz w:val="22"/>
          <w:szCs w:val="22"/>
          <w:color w:val="auto"/>
        </w:rPr>
        <w:t>Borrower acknowledges that as of the date of this Amendment, the current “</w:t>
      </w:r>
      <w:r>
        <w:rPr>
          <w:rFonts w:ascii="Arial" w:cs="Arial" w:eastAsia="Arial" w:hAnsi="Arial"/>
          <w:sz w:val="22"/>
          <w:szCs w:val="22"/>
          <w:b w:val="1"/>
          <w:bCs w:val="1"/>
          <w:color w:val="auto"/>
        </w:rPr>
        <w:t>Applicable Margin</w:t>
      </w:r>
      <w:r>
        <w:rPr>
          <w:rFonts w:ascii="Arial" w:cs="Arial" w:eastAsia="Arial" w:hAnsi="Arial"/>
          <w:sz w:val="22"/>
          <w:szCs w:val="22"/>
          <w:color w:val="auto"/>
        </w:rPr>
        <w:t>,” as defined within the Note, is 275 basis points per annum. This Amendment does not contain any revisions to the current definition of Applicable Margin.</w:t>
      </w:r>
    </w:p>
    <w:p>
      <w:pPr>
        <w:spacing w:after="0" w:line="209" w:lineRule="exact"/>
        <w:rPr>
          <w:rFonts w:ascii="Arial" w:cs="Arial" w:eastAsia="Arial" w:hAnsi="Arial"/>
          <w:sz w:val="20"/>
          <w:szCs w:val="20"/>
          <w:color w:val="auto"/>
        </w:rPr>
      </w:pPr>
    </w:p>
    <w:p>
      <w:pPr>
        <w:jc w:val="both"/>
        <w:ind w:left="320" w:hanging="320"/>
        <w:spacing w:after="0" w:line="238" w:lineRule="auto"/>
        <w:tabs>
          <w:tab w:leader="none" w:pos="309" w:val="left"/>
        </w:tabs>
        <w:numPr>
          <w:ilvl w:val="0"/>
          <w:numId w:val="11"/>
        </w:numPr>
        <w:rPr>
          <w:rFonts w:ascii="Arial" w:cs="Arial" w:eastAsia="Arial" w:hAnsi="Arial"/>
          <w:sz w:val="20"/>
          <w:szCs w:val="20"/>
          <w:color w:val="auto"/>
        </w:rPr>
      </w:pPr>
      <w:r>
        <w:rPr>
          <w:rFonts w:ascii="Arial" w:cs="Arial" w:eastAsia="Arial" w:hAnsi="Arial"/>
          <w:sz w:val="22"/>
          <w:szCs w:val="22"/>
          <w:color w:val="auto"/>
        </w:rPr>
        <w:t xml:space="preserve">All references to the principal amount of the Note, and the Loan amount, set forth within the Loan Agreement are hereby amended and restated to mean $15,000,000.00, including without limitation the following: (i) the description of the Loan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Loan Agreement; and (ii) the definition of “</w:t>
      </w:r>
      <w:r>
        <w:rPr>
          <w:rFonts w:ascii="Arial" w:cs="Arial" w:eastAsia="Arial" w:hAnsi="Arial"/>
          <w:sz w:val="22"/>
          <w:szCs w:val="22"/>
          <w:b w:val="1"/>
          <w:bCs w:val="1"/>
          <w:color w:val="auto"/>
        </w:rPr>
        <w:t>Note</w:t>
      </w:r>
      <w:r>
        <w:rPr>
          <w:rFonts w:ascii="Arial" w:cs="Arial" w:eastAsia="Arial" w:hAnsi="Arial"/>
          <w:sz w:val="22"/>
          <w:szCs w:val="22"/>
          <w:color w:val="auto"/>
        </w:rPr>
        <w:t xml:space="preserve">” set forth within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Loan Agreement.</w:t>
      </w:r>
    </w:p>
    <w:p>
      <w:pPr>
        <w:spacing w:after="0" w:line="211" w:lineRule="exact"/>
        <w:rPr>
          <w:rFonts w:ascii="Arial" w:cs="Arial" w:eastAsia="Arial" w:hAnsi="Arial"/>
          <w:sz w:val="20"/>
          <w:szCs w:val="20"/>
          <w:color w:val="auto"/>
        </w:rPr>
      </w:pPr>
    </w:p>
    <w:p>
      <w:pPr>
        <w:ind w:left="320" w:hanging="320"/>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of the Loan Agreement is hereby amended and restated as follows:</w:t>
      </w:r>
    </w:p>
    <w:p>
      <w:pPr>
        <w:spacing w:after="0" w:line="233" w:lineRule="exact"/>
        <w:rPr>
          <w:rFonts w:ascii="Arial" w:cs="Arial" w:eastAsia="Arial" w:hAnsi="Arial"/>
          <w:sz w:val="20"/>
          <w:szCs w:val="20"/>
          <w:color w:val="auto"/>
        </w:rPr>
      </w:pPr>
    </w:p>
    <w:p>
      <w:pPr>
        <w:jc w:val="both"/>
        <w:ind w:left="320"/>
        <w:spacing w:after="0" w:line="252" w:lineRule="auto"/>
        <w:rPr>
          <w:rFonts w:ascii="Arial" w:cs="Arial" w:eastAsia="Arial" w:hAnsi="Arial"/>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Increase of Availability Under Note.</w:t>
      </w:r>
      <w:r>
        <w:rPr>
          <w:rFonts w:ascii="Arial" w:cs="Arial" w:eastAsia="Arial" w:hAnsi="Arial"/>
          <w:sz w:val="19"/>
          <w:szCs w:val="19"/>
          <w:color w:val="auto"/>
        </w:rPr>
        <w:t xml:space="preserve"> </w:t>
      </w:r>
      <w:r>
        <w:rPr>
          <w:rFonts w:ascii="Arial" w:cs="Arial" w:eastAsia="Arial" w:hAnsi="Arial"/>
          <w:sz w:val="20"/>
          <w:szCs w:val="20"/>
          <w:u w:val="single" w:color="auto"/>
          <w:color w:val="auto"/>
        </w:rPr>
        <w:t>Provided</w:t>
      </w:r>
      <w:r>
        <w:rPr>
          <w:rFonts w:ascii="Arial" w:cs="Arial" w:eastAsia="Arial" w:hAnsi="Arial"/>
          <w:sz w:val="19"/>
          <w:szCs w:val="19"/>
          <w:color w:val="auto"/>
        </w:rPr>
        <w:t xml:space="preserve"> that no Default or Event of Default under the Note exists or is threatened, the Borrower, commencing October 1, 2020, may from time to time request in writing that the Lender increase the principal amount available under the Note by an aggregate principal amount of up to an additional $5,000,000.00;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18"/>
          <w:szCs w:val="18"/>
          <w:color w:val="auto"/>
        </w:rPr>
        <w:t>that the Lender in the exercise of its sole discretion shall determine whether it will or will not fund any requested</w:t>
      </w:r>
      <w:r>
        <w:rPr>
          <w:rFonts w:ascii="Arial" w:cs="Arial" w:eastAsia="Arial" w:hAnsi="Arial"/>
          <w:sz w:val="20"/>
          <w:szCs w:val="20"/>
          <w:color w:val="auto"/>
        </w:rPr>
        <w:t xml:space="preserve"> </w:t>
      </w:r>
      <w:r>
        <w:rPr>
          <w:rFonts w:ascii="Arial" w:cs="Arial" w:eastAsia="Arial" w:hAnsi="Arial"/>
          <w:sz w:val="18"/>
          <w:szCs w:val="18"/>
          <w:color w:val="auto"/>
        </w:rPr>
        <w:t>increase. In connection with any request by the Borrower for an increase, the following shall apply:</w:t>
      </w:r>
    </w:p>
    <w:p>
      <w:pPr>
        <w:spacing w:after="0" w:line="209" w:lineRule="exact"/>
        <w:rPr>
          <w:rFonts w:ascii="Arial" w:cs="Arial" w:eastAsia="Arial" w:hAnsi="Arial"/>
          <w:sz w:val="20"/>
          <w:szCs w:val="20"/>
          <w:color w:val="auto"/>
        </w:rPr>
      </w:pPr>
    </w:p>
    <w:p>
      <w:pPr>
        <w:ind w:left="960" w:hanging="312"/>
        <w:spacing w:after="0"/>
        <w:tabs>
          <w:tab w:leader="none" w:pos="960" w:val="left"/>
        </w:tabs>
        <w:numPr>
          <w:ilvl w:val="1"/>
          <w:numId w:val="11"/>
        </w:numPr>
        <w:rPr>
          <w:rFonts w:ascii="Arial" w:cs="Arial" w:eastAsia="Arial" w:hAnsi="Arial"/>
          <w:sz w:val="22"/>
          <w:szCs w:val="22"/>
          <w:color w:val="auto"/>
        </w:rPr>
      </w:pPr>
      <w:r>
        <w:rPr>
          <w:rFonts w:ascii="Arial" w:cs="Arial" w:eastAsia="Arial" w:hAnsi="Arial"/>
          <w:sz w:val="20"/>
          <w:szCs w:val="20"/>
          <w:color w:val="auto"/>
        </w:rPr>
        <w:t>each approved increase must be in a minimum amount of no less than $1,000,000.00;</w:t>
      </w:r>
    </w:p>
    <w:p>
      <w:pPr>
        <w:spacing w:after="0" w:line="235" w:lineRule="exact"/>
        <w:rPr>
          <w:rFonts w:ascii="Arial" w:cs="Arial" w:eastAsia="Arial" w:hAnsi="Arial"/>
          <w:sz w:val="22"/>
          <w:szCs w:val="22"/>
          <w:color w:val="auto"/>
        </w:rPr>
      </w:pPr>
    </w:p>
    <w:p>
      <w:pPr>
        <w:ind w:left="960" w:hanging="312"/>
        <w:spacing w:after="0"/>
        <w:tabs>
          <w:tab w:leader="none" w:pos="960" w:val="left"/>
        </w:tabs>
        <w:numPr>
          <w:ilvl w:val="1"/>
          <w:numId w:val="11"/>
        </w:numPr>
        <w:rPr>
          <w:rFonts w:ascii="Arial" w:cs="Arial" w:eastAsia="Arial" w:hAnsi="Arial"/>
          <w:sz w:val="21"/>
          <w:szCs w:val="21"/>
          <w:color w:val="auto"/>
        </w:rPr>
      </w:pPr>
      <w:r>
        <w:rPr>
          <w:rFonts w:ascii="Arial" w:cs="Arial" w:eastAsia="Arial" w:hAnsi="Arial"/>
          <w:sz w:val="19"/>
          <w:szCs w:val="19"/>
          <w:color w:val="auto"/>
        </w:rPr>
        <w:t>no request for an increase shall be delivered to Lender less than ninety (90) days prior to the Maturity Date;</w:t>
      </w:r>
    </w:p>
    <w:p>
      <w:pPr>
        <w:spacing w:after="0" w:line="244" w:lineRule="exact"/>
        <w:rPr>
          <w:rFonts w:ascii="Arial" w:cs="Arial" w:eastAsia="Arial" w:hAnsi="Arial"/>
          <w:sz w:val="21"/>
          <w:szCs w:val="21"/>
          <w:color w:val="auto"/>
        </w:rPr>
      </w:pPr>
    </w:p>
    <w:p>
      <w:pPr>
        <w:jc w:val="both"/>
        <w:ind w:left="980" w:hanging="332"/>
        <w:spacing w:after="0" w:line="234" w:lineRule="auto"/>
        <w:tabs>
          <w:tab w:leader="none" w:pos="972" w:val="left"/>
        </w:tabs>
        <w:numPr>
          <w:ilvl w:val="1"/>
          <w:numId w:val="11"/>
        </w:numPr>
        <w:rPr>
          <w:rFonts w:ascii="Arial" w:cs="Arial" w:eastAsia="Arial" w:hAnsi="Arial"/>
          <w:sz w:val="22"/>
          <w:szCs w:val="22"/>
          <w:color w:val="auto"/>
        </w:rPr>
      </w:pPr>
      <w:r>
        <w:rPr>
          <w:rFonts w:ascii="Arial" w:cs="Arial" w:eastAsia="Arial" w:hAnsi="Arial"/>
          <w:sz w:val="20"/>
          <w:szCs w:val="20"/>
          <w:color w:val="auto"/>
        </w:rPr>
        <w:t>the Borrower’s request to the Lender for an increase shall be made in writing at least thirty (30) Business Days prior to the date the Borrower desires the requested increase to be funded and in connection with any such written request the Borrower shall submit:</w:t>
      </w:r>
    </w:p>
    <w:p>
      <w:pPr>
        <w:spacing w:after="0" w:line="220" w:lineRule="exact"/>
        <w:rPr>
          <w:rFonts w:ascii="Arial" w:cs="Arial" w:eastAsia="Arial" w:hAnsi="Arial"/>
          <w:sz w:val="22"/>
          <w:szCs w:val="22"/>
          <w:color w:val="auto"/>
        </w:rPr>
      </w:pPr>
    </w:p>
    <w:p>
      <w:pPr>
        <w:ind w:left="1620" w:hanging="432"/>
        <w:spacing w:after="0"/>
        <w:tabs>
          <w:tab w:leader="none" w:pos="1620" w:val="left"/>
        </w:tabs>
        <w:numPr>
          <w:ilvl w:val="2"/>
          <w:numId w:val="11"/>
        </w:numPr>
        <w:rPr>
          <w:rFonts w:ascii="Arial" w:cs="Arial" w:eastAsia="Arial" w:hAnsi="Arial"/>
          <w:sz w:val="22"/>
          <w:szCs w:val="22"/>
          <w:color w:val="auto"/>
        </w:rPr>
      </w:pPr>
      <w:r>
        <w:rPr>
          <w:rFonts w:ascii="Arial" w:cs="Arial" w:eastAsia="Arial" w:hAnsi="Arial"/>
          <w:sz w:val="20"/>
          <w:szCs w:val="20"/>
          <w:color w:val="auto"/>
        </w:rPr>
        <w:t>the purpose for the increase,</w:t>
      </w:r>
    </w:p>
    <w:p>
      <w:pPr>
        <w:spacing w:after="0" w:line="222" w:lineRule="exact"/>
        <w:rPr>
          <w:rFonts w:ascii="Arial" w:cs="Arial" w:eastAsia="Arial" w:hAnsi="Arial"/>
          <w:sz w:val="22"/>
          <w:szCs w:val="22"/>
          <w:color w:val="auto"/>
        </w:rPr>
      </w:pPr>
    </w:p>
    <w:p>
      <w:pPr>
        <w:jc w:val="both"/>
        <w:ind w:left="1620" w:hanging="483"/>
        <w:spacing w:after="0" w:line="237" w:lineRule="auto"/>
        <w:tabs>
          <w:tab w:leader="none" w:pos="1620" w:val="left"/>
        </w:tabs>
        <w:numPr>
          <w:ilvl w:val="2"/>
          <w:numId w:val="11"/>
        </w:numPr>
        <w:rPr>
          <w:rFonts w:ascii="Arial" w:cs="Arial" w:eastAsia="Arial" w:hAnsi="Arial"/>
          <w:sz w:val="20"/>
          <w:szCs w:val="20"/>
          <w:color w:val="auto"/>
        </w:rPr>
      </w:pPr>
      <w:r>
        <w:rPr>
          <w:rFonts w:ascii="Arial" w:cs="Arial" w:eastAsia="Arial" w:hAnsi="Arial"/>
          <w:sz w:val="20"/>
          <w:szCs w:val="20"/>
          <w:color w:val="auto"/>
        </w:rPr>
        <w:t>Borrower’s calculations, including pro-forma calculations, establishing to Lender’s satisfaction that none of the financial covenants set forth in the Loan Documents have been violated, nor will such be violated immediately after any approved funding, and</w:t>
      </w:r>
    </w:p>
    <w:p>
      <w:pPr>
        <w:spacing w:after="0" w:line="223" w:lineRule="exact"/>
        <w:rPr>
          <w:rFonts w:ascii="Arial" w:cs="Arial" w:eastAsia="Arial" w:hAnsi="Arial"/>
          <w:sz w:val="20"/>
          <w:szCs w:val="20"/>
          <w:color w:val="auto"/>
        </w:rPr>
      </w:pPr>
    </w:p>
    <w:p>
      <w:pPr>
        <w:jc w:val="both"/>
        <w:ind w:left="1620" w:hanging="528"/>
        <w:spacing w:after="0" w:line="234" w:lineRule="auto"/>
        <w:tabs>
          <w:tab w:leader="none" w:pos="1620" w:val="left"/>
        </w:tabs>
        <w:numPr>
          <w:ilvl w:val="2"/>
          <w:numId w:val="11"/>
        </w:numPr>
        <w:rPr>
          <w:rFonts w:ascii="Arial" w:cs="Arial" w:eastAsia="Arial" w:hAnsi="Arial"/>
          <w:sz w:val="22"/>
          <w:szCs w:val="22"/>
          <w:color w:val="auto"/>
        </w:rPr>
      </w:pPr>
      <w:r>
        <w:rPr>
          <w:rFonts w:ascii="Arial" w:cs="Arial" w:eastAsia="Arial" w:hAnsi="Arial"/>
          <w:sz w:val="20"/>
          <w:szCs w:val="20"/>
          <w:color w:val="auto"/>
        </w:rPr>
        <w:t>Borrower’s certification that all representations and warranties contained in the Loan Documents are true and correct as of the date of the request, and that no Default or Events of Default under the Loan Documents exist or are threatened.</w:t>
      </w:r>
    </w:p>
    <w:p>
      <w:pPr>
        <w:spacing w:after="0" w:line="209" w:lineRule="exact"/>
        <w:rPr>
          <w:sz w:val="20"/>
          <w:szCs w:val="20"/>
          <w:color w:val="auto"/>
        </w:rPr>
      </w:pPr>
    </w:p>
    <w:p>
      <w:pPr>
        <w:jc w:val="both"/>
        <w:ind w:left="320" w:firstLine="1296"/>
        <w:spacing w:after="0" w:line="237" w:lineRule="auto"/>
        <w:rPr>
          <w:sz w:val="20"/>
          <w:szCs w:val="20"/>
          <w:color w:val="auto"/>
        </w:rPr>
      </w:pPr>
      <w:r>
        <w:rPr>
          <w:rFonts w:ascii="Arial" w:cs="Arial" w:eastAsia="Arial" w:hAnsi="Arial"/>
          <w:sz w:val="20"/>
          <w:szCs w:val="20"/>
          <w:color w:val="auto"/>
        </w:rPr>
        <w:t>The Lender shall review the request by Borrower for an increase in funding, and the Lender, in the exercise of its sole discretion, shall determine whether to approve any request. In the event the Lender elects to fund any requested increase, Borrower shall:</w:t>
      </w:r>
    </w:p>
    <w:p>
      <w:pPr>
        <w:sectPr>
          <w:pgSz w:w="11900" w:h="16838" w:orient="portrait"/>
          <w:cols w:equalWidth="0" w:num="1">
            <w:col w:w="10260"/>
          </w:cols>
          <w:pgMar w:left="1300" w:top="1408" w:right="339" w:bottom="1440" w:gutter="0" w:footer="0" w:header="0"/>
        </w:sectPr>
      </w:pPr>
    </w:p>
    <w:bookmarkStart w:id="36" w:name="page37"/>
    <w:bookmarkEnd w:id="36"/>
    <w:p>
      <w:pPr>
        <w:ind w:left="320" w:right="20" w:firstLine="4"/>
        <w:spacing w:after="0" w:line="368" w:lineRule="auto"/>
        <w:tabs>
          <w:tab w:leader="none" w:pos="816" w:val="left"/>
        </w:tabs>
        <w:numPr>
          <w:ilvl w:val="1"/>
          <w:numId w:val="12"/>
        </w:numPr>
        <w:rPr>
          <w:rFonts w:ascii="Arial" w:cs="Arial" w:eastAsia="Arial" w:hAnsi="Arial"/>
          <w:sz w:val="16"/>
          <w:szCs w:val="16"/>
          <w:color w:val="auto"/>
        </w:rPr>
      </w:pPr>
      <w:r>
        <w:rPr>
          <w:rFonts w:ascii="Arial" w:cs="Arial" w:eastAsia="Arial" w:hAnsi="Arial"/>
          <w:sz w:val="16"/>
          <w:szCs w:val="16"/>
          <w:color w:val="auto"/>
        </w:rPr>
        <w:t>cause the Lender to receive, at Borrower’s expense, satisfactory evidence that the lien and security interest against the Collateral remains a first perfected security interest in favor of Lender, subject to no encumbrance objectionable to Lender;</w:t>
      </w:r>
    </w:p>
    <w:p>
      <w:pPr>
        <w:spacing w:after="0" w:line="110" w:lineRule="exact"/>
        <w:rPr>
          <w:rFonts w:ascii="Arial" w:cs="Arial" w:eastAsia="Arial" w:hAnsi="Arial"/>
          <w:sz w:val="16"/>
          <w:szCs w:val="16"/>
          <w:color w:val="auto"/>
        </w:rPr>
      </w:pPr>
    </w:p>
    <w:p>
      <w:pPr>
        <w:ind w:left="320" w:right="20" w:firstLine="4"/>
        <w:spacing w:after="0" w:line="300" w:lineRule="auto"/>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cause the Lender to receive all loan documentation required by Lender to evidence the increase, including without limitation, such loan documentation as required to insure that all guaranties and security agreements include the increase;</w:t>
      </w:r>
    </w:p>
    <w:p>
      <w:pPr>
        <w:spacing w:after="0" w:line="157" w:lineRule="exact"/>
        <w:rPr>
          <w:rFonts w:ascii="Arial" w:cs="Arial" w:eastAsia="Arial" w:hAnsi="Arial"/>
          <w:sz w:val="18"/>
          <w:szCs w:val="18"/>
          <w:color w:val="auto"/>
        </w:rPr>
      </w:pPr>
    </w:p>
    <w:p>
      <w:pPr>
        <w:ind w:left="320" w:firstLine="4"/>
        <w:spacing w:after="0" w:line="246" w:lineRule="auto"/>
        <w:tabs>
          <w:tab w:leader="none" w:pos="772" w:val="left"/>
        </w:tabs>
        <w:numPr>
          <w:ilvl w:val="1"/>
          <w:numId w:val="12"/>
        </w:numPr>
        <w:rPr>
          <w:rFonts w:ascii="Arial" w:cs="Arial" w:eastAsia="Arial" w:hAnsi="Arial"/>
          <w:sz w:val="20"/>
          <w:szCs w:val="20"/>
          <w:color w:val="auto"/>
        </w:rPr>
      </w:pPr>
      <w:r>
        <w:rPr>
          <w:rFonts w:ascii="Arial" w:cs="Arial" w:eastAsia="Arial" w:hAnsi="Arial"/>
          <w:sz w:val="20"/>
          <w:szCs w:val="20"/>
          <w:color w:val="auto"/>
        </w:rPr>
        <w:t>pay to Lender all costs and expenses incurred by Lender in connection with the increase, including, without limitation, indebtedness tax, UCC filing costs, and attorney fees; and</w:t>
      </w:r>
    </w:p>
    <w:p>
      <w:pPr>
        <w:spacing w:after="0" w:line="203" w:lineRule="exact"/>
        <w:rPr>
          <w:rFonts w:ascii="Arial" w:cs="Arial" w:eastAsia="Arial" w:hAnsi="Arial"/>
          <w:sz w:val="20"/>
          <w:szCs w:val="20"/>
          <w:color w:val="auto"/>
        </w:rPr>
      </w:pPr>
    </w:p>
    <w:p>
      <w:pPr>
        <w:ind w:left="740" w:hanging="416"/>
        <w:spacing w:after="0"/>
        <w:tabs>
          <w:tab w:leader="none" w:pos="7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pay to Lender a loan fee equal to ten (10) basis points of the amount by which the Note is increased.</w:t>
      </w:r>
    </w:p>
    <w:p>
      <w:pPr>
        <w:spacing w:after="0" w:line="224" w:lineRule="exact"/>
        <w:rPr>
          <w:rFonts w:ascii="Arial" w:cs="Arial" w:eastAsia="Arial" w:hAnsi="Arial"/>
          <w:sz w:val="20"/>
          <w:szCs w:val="20"/>
          <w:color w:val="auto"/>
        </w:rPr>
      </w:pPr>
    </w:p>
    <w:p>
      <w:pPr>
        <w:ind w:left="320" w:hanging="320"/>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of the Loan Agreement is hereby amended and restated as follows:</w:t>
      </w:r>
    </w:p>
    <w:p>
      <w:pPr>
        <w:spacing w:after="0" w:line="233" w:lineRule="exact"/>
        <w:rPr>
          <w:rFonts w:ascii="Arial" w:cs="Arial" w:eastAsia="Arial" w:hAnsi="Arial"/>
          <w:sz w:val="20"/>
          <w:szCs w:val="20"/>
          <w:color w:val="auto"/>
        </w:rPr>
      </w:pPr>
    </w:p>
    <w:p>
      <w:pPr>
        <w:jc w:val="both"/>
        <w:ind w:left="320"/>
        <w:spacing w:after="0" w:line="249" w:lineRule="auto"/>
        <w:rPr>
          <w:rFonts w:ascii="Arial" w:cs="Arial" w:eastAsia="Arial" w:hAnsi="Arial"/>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Dividends and Repurchase or Redemption of Stock</w:t>
      </w:r>
      <w:r>
        <w:rPr>
          <w:rFonts w:ascii="Arial" w:cs="Arial" w:eastAsia="Arial" w:hAnsi="Arial"/>
          <w:sz w:val="21"/>
          <w:szCs w:val="21"/>
          <w:color w:val="auto"/>
        </w:rPr>
        <w:t>. Borrower shall not be permitted to pay dividends or to repurchase or redeem shares of its stock or that of any Subsidiary except as follows: (i) Borrower may pay dividends and/or repurchase or redeem such stock in an aggregate amount not to exceed $4,000,000 from October 1, 2020 to the Maturity Date; and (ii) shares net settled for restricted share vesting up to $300,000 annually shall not count towards the limitation set forth in item (i).</w:t>
      </w:r>
    </w:p>
    <w:p>
      <w:pPr>
        <w:spacing w:after="0" w:line="205" w:lineRule="exact"/>
        <w:rPr>
          <w:rFonts w:ascii="Arial" w:cs="Arial" w:eastAsia="Arial" w:hAnsi="Arial"/>
          <w:sz w:val="20"/>
          <w:szCs w:val="20"/>
          <w:color w:val="auto"/>
        </w:rPr>
      </w:pPr>
    </w:p>
    <w:p>
      <w:pPr>
        <w:ind w:left="320" w:hanging="320"/>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of the Loan Agreement is hereby amended and restated as follows:</w:t>
      </w:r>
    </w:p>
    <w:p>
      <w:pPr>
        <w:spacing w:after="0" w:line="8" w:lineRule="exact"/>
        <w:rPr>
          <w:rFonts w:ascii="Arial" w:cs="Arial" w:eastAsia="Arial" w:hAnsi="Arial"/>
          <w:sz w:val="20"/>
          <w:szCs w:val="20"/>
          <w:color w:val="auto"/>
        </w:rPr>
      </w:pPr>
    </w:p>
    <w:p>
      <w:pPr>
        <w:jc w:val="both"/>
        <w:ind w:left="320"/>
        <w:spacing w:after="0" w:line="232" w:lineRule="auto"/>
        <w:rPr>
          <w:rFonts w:ascii="Arial" w:cs="Arial" w:eastAsia="Arial" w:hAnsi="Arial"/>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Liquidity Cure</w:t>
      </w:r>
      <w:r>
        <w:rPr>
          <w:rFonts w:ascii="Arial" w:cs="Arial" w:eastAsia="Arial" w:hAnsi="Arial"/>
          <w:sz w:val="22"/>
          <w:szCs w:val="22"/>
          <w:color w:val="auto"/>
        </w:rPr>
        <w:t xml:space="preserve">. For a fifteen (15) day period after the occurrence of an Event of Default under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hereof (such Event of Default being deemed to have occurred on the date on which the Compliance Certificate for such period is required to be delivered pursuant to </w:t>
      </w:r>
      <w:r>
        <w:rPr>
          <w:rFonts w:ascii="Arial" w:cs="Arial" w:eastAsia="Arial" w:hAnsi="Arial"/>
          <w:sz w:val="22"/>
          <w:szCs w:val="22"/>
          <w:u w:val="single" w:color="auto"/>
          <w:color w:val="auto"/>
        </w:rPr>
        <w:t>Section 5.1(c)</w:t>
      </w:r>
      <w:r>
        <w:rPr>
          <w:rFonts w:ascii="Arial" w:cs="Arial" w:eastAsia="Arial" w:hAnsi="Arial"/>
          <w:sz w:val="22"/>
          <w:szCs w:val="22"/>
          <w:color w:val="auto"/>
        </w:rPr>
        <w:t xml:space="preserve"> hereof), Borrower may cure such Event of Default by depositing and maintaining on account with Lender a cash amount equal to all outstanding Indebtedness hereunder. Borrower may only exercise the liquidity cure described herein twice during the period from October 1, 2020 to the Maturity Date.</w:t>
      </w:r>
    </w:p>
    <w:p>
      <w:pPr>
        <w:spacing w:after="0" w:line="209" w:lineRule="exact"/>
        <w:rPr>
          <w:rFonts w:ascii="Arial" w:cs="Arial" w:eastAsia="Arial" w:hAnsi="Arial"/>
          <w:sz w:val="20"/>
          <w:szCs w:val="20"/>
          <w:color w:val="auto"/>
        </w:rPr>
      </w:pPr>
    </w:p>
    <w:p>
      <w:pPr>
        <w:jc w:val="both"/>
        <w:ind w:left="320" w:hanging="320"/>
        <w:spacing w:after="0" w:line="239" w:lineRule="auto"/>
        <w:tabs>
          <w:tab w:leader="none" w:pos="309" w:val="left"/>
        </w:tabs>
        <w:numPr>
          <w:ilvl w:val="0"/>
          <w:numId w:val="13"/>
        </w:numPr>
        <w:rPr>
          <w:rFonts w:ascii="Arial" w:cs="Arial" w:eastAsia="Arial" w:hAnsi="Arial"/>
          <w:sz w:val="20"/>
          <w:szCs w:val="20"/>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EBITDA</w:t>
      </w:r>
      <w:r>
        <w:rPr>
          <w:rFonts w:ascii="Arial" w:cs="Arial" w:eastAsia="Arial" w:hAnsi="Arial"/>
          <w:sz w:val="22"/>
          <w:szCs w:val="22"/>
          <w:color w:val="auto"/>
        </w:rPr>
        <w:t xml:space="preserve">” set forth within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Loan Agreement is hereby amended to add the following sentence to the end of such definition: For purposes of calculating EBITDA, EBITDA shall only include EBITDA arising from a permitted Acquisition if Lender is provided with a quality of earnings report related to any such Acquisition reasonably acceptable to Lender.</w:t>
      </w:r>
    </w:p>
    <w:p>
      <w:pPr>
        <w:spacing w:after="0" w:line="207" w:lineRule="exact"/>
        <w:rPr>
          <w:rFonts w:ascii="Arial" w:cs="Arial" w:eastAsia="Arial" w:hAnsi="Arial"/>
          <w:sz w:val="20"/>
          <w:szCs w:val="20"/>
          <w:color w:val="auto"/>
        </w:rPr>
      </w:pPr>
    </w:p>
    <w:p>
      <w:pPr>
        <w:jc w:val="both"/>
        <w:ind w:left="320" w:hanging="320"/>
        <w:spacing w:after="0" w:line="243" w:lineRule="auto"/>
        <w:tabs>
          <w:tab w:leader="none" w:pos="309" w:val="left"/>
        </w:tabs>
        <w:numPr>
          <w:ilvl w:val="0"/>
          <w:numId w:val="13"/>
        </w:numPr>
        <w:rPr>
          <w:rFonts w:ascii="Arial" w:cs="Arial" w:eastAsia="Arial" w:hAnsi="Arial"/>
          <w:sz w:val="20"/>
          <w:szCs w:val="20"/>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LIBOR</w:t>
      </w:r>
      <w:r>
        <w:rPr>
          <w:rFonts w:ascii="Arial" w:cs="Arial" w:eastAsia="Arial" w:hAnsi="Arial"/>
          <w:sz w:val="22"/>
          <w:szCs w:val="22"/>
          <w:color w:val="auto"/>
        </w:rPr>
        <w:t xml:space="preserve">” set forth within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Loan Agreement is hereby amended to add the following sentence to the end of such definition: Notwithstanding anything herein to the contrary, in no event shall LIBOR be less than 0.90% per annum.</w:t>
      </w:r>
    </w:p>
    <w:p>
      <w:pPr>
        <w:sectPr>
          <w:pgSz w:w="11900" w:h="16838" w:orient="portrait"/>
          <w:cols w:equalWidth="0" w:num="1">
            <w:col w:w="10260"/>
          </w:cols>
          <w:pgMar w:left="1300" w:top="1419" w:right="339" w:bottom="1440" w:gutter="0" w:footer="0" w:header="0"/>
        </w:sectPr>
      </w:pPr>
    </w:p>
    <w:bookmarkStart w:id="37" w:name="page38"/>
    <w:bookmarkEnd w:id="37"/>
    <w:p>
      <w:pPr>
        <w:ind w:left="320" w:hanging="320"/>
        <w:spacing w:after="0" w:line="256" w:lineRule="auto"/>
        <w:tabs>
          <w:tab w:leader="none" w:pos="311" w:val="left"/>
        </w:tabs>
        <w:numPr>
          <w:ilvl w:val="0"/>
          <w:numId w:val="14"/>
        </w:numPr>
        <w:rPr>
          <w:rFonts w:ascii="Arial" w:cs="Arial" w:eastAsia="Arial" w:hAnsi="Arial"/>
          <w:sz w:val="20"/>
          <w:szCs w:val="20"/>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Maturity Date</w:t>
      </w:r>
      <w:r>
        <w:rPr>
          <w:rFonts w:ascii="Arial" w:cs="Arial" w:eastAsia="Arial" w:hAnsi="Arial"/>
          <w:sz w:val="22"/>
          <w:szCs w:val="22"/>
          <w:color w:val="auto"/>
        </w:rPr>
        <w:t xml:space="preserve">” set forth within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Loan Agreement is hereby amended and restated to mean October 1, 2022.</w:t>
      </w:r>
    </w:p>
    <w:p>
      <w:pPr>
        <w:spacing w:after="0" w:line="195" w:lineRule="exact"/>
        <w:rPr>
          <w:rFonts w:ascii="Arial" w:cs="Arial" w:eastAsia="Arial" w:hAnsi="Arial"/>
          <w:sz w:val="20"/>
          <w:szCs w:val="20"/>
          <w:color w:val="auto"/>
        </w:rPr>
      </w:pPr>
    </w:p>
    <w:p>
      <w:pPr>
        <w:ind w:left="320" w:right="20" w:hanging="320"/>
        <w:spacing w:after="0" w:line="250" w:lineRule="auto"/>
        <w:tabs>
          <w:tab w:leader="none" w:pos="311" w:val="left"/>
        </w:tabs>
        <w:numPr>
          <w:ilvl w:val="0"/>
          <w:numId w:val="14"/>
        </w:numPr>
        <w:rPr>
          <w:rFonts w:ascii="Arial" w:cs="Arial" w:eastAsia="Arial" w:hAnsi="Arial"/>
          <w:sz w:val="20"/>
          <w:szCs w:val="20"/>
          <w:color w:val="auto"/>
        </w:rPr>
      </w:pPr>
      <w:r>
        <w:rPr>
          <w:rFonts w:ascii="Arial" w:cs="Arial" w:eastAsia="Arial" w:hAnsi="Arial"/>
          <w:sz w:val="22"/>
          <w:szCs w:val="22"/>
          <w:color w:val="auto"/>
        </w:rPr>
        <w:t>As a condition to the effectiveness of this Amendment, Borrower agrees to pay all fees and expenses set forth in the Closing Statement executed in connection with this Amendment.</w:t>
      </w:r>
    </w:p>
    <w:p>
      <w:pPr>
        <w:spacing w:after="0" w:line="201" w:lineRule="exact"/>
        <w:rPr>
          <w:rFonts w:ascii="Arial" w:cs="Arial" w:eastAsia="Arial" w:hAnsi="Arial"/>
          <w:sz w:val="20"/>
          <w:szCs w:val="20"/>
          <w:color w:val="auto"/>
        </w:rPr>
      </w:pPr>
    </w:p>
    <w:p>
      <w:pPr>
        <w:ind w:left="320" w:hanging="320"/>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22"/>
          <w:szCs w:val="22"/>
          <w:color w:val="auto"/>
        </w:rPr>
        <w:t>The Note and Loan Agreement are not amended in any other respect.</w:t>
      </w:r>
    </w:p>
    <w:p>
      <w:pPr>
        <w:spacing w:after="0" w:line="233" w:lineRule="exact"/>
        <w:rPr>
          <w:rFonts w:ascii="Arial" w:cs="Arial" w:eastAsia="Arial" w:hAnsi="Arial"/>
          <w:sz w:val="20"/>
          <w:szCs w:val="20"/>
          <w:color w:val="auto"/>
        </w:rPr>
      </w:pPr>
    </w:p>
    <w:p>
      <w:pPr>
        <w:jc w:val="both"/>
        <w:ind w:left="320" w:hanging="320"/>
        <w:spacing w:after="0"/>
        <w:tabs>
          <w:tab w:leader="none" w:pos="311" w:val="left"/>
        </w:tabs>
        <w:numPr>
          <w:ilvl w:val="0"/>
          <w:numId w:val="14"/>
        </w:numPr>
        <w:rPr>
          <w:rFonts w:ascii="Arial" w:cs="Arial" w:eastAsia="Arial" w:hAnsi="Arial"/>
          <w:sz w:val="20"/>
          <w:szCs w:val="20"/>
          <w:color w:val="auto"/>
        </w:rPr>
      </w:pPr>
      <w:r>
        <w:rPr>
          <w:rFonts w:ascii="Arial" w:cs="Arial" w:eastAsia="Arial" w:hAnsi="Arial"/>
          <w:sz w:val="22"/>
          <w:szCs w:val="22"/>
          <w:color w:val="auto"/>
        </w:rPr>
        <w:t>Borrower reaffirms the terms and provisions of the Loan Documents and agrees that such terms and provisions are valid and binding, enforceable in accordance with its terms and provisions, subject to no defense, counterclaim, or objection.</w:t>
      </w:r>
    </w:p>
    <w:p>
      <w:pPr>
        <w:spacing w:after="0" w:line="21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[signatures commence on following page]</w:t>
      </w:r>
    </w:p>
    <w:p>
      <w:pPr>
        <w:sectPr>
          <w:pgSz w:w="11900" w:h="16838" w:orient="portrait"/>
          <w:cols w:equalWidth="0" w:num="1">
            <w:col w:w="10260"/>
          </w:cols>
          <w:pgMar w:left="1300" w:top="1408" w:right="339" w:bottom="1440" w:gutter="0" w:footer="0" w:header="0"/>
        </w:sectPr>
      </w:pPr>
    </w:p>
    <w:bookmarkStart w:id="38" w:name="page39"/>
    <w:bookmarkEnd w:id="38"/>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ENTERED INTO as of the date first written above.</w:t>
      </w:r>
    </w:p>
    <w:p>
      <w:pPr>
        <w:spacing w:after="0" w:line="250" w:lineRule="exact"/>
        <w:rPr>
          <w:sz w:val="20"/>
          <w:szCs w:val="20"/>
          <w:color w:val="auto"/>
        </w:rPr>
      </w:pPr>
    </w:p>
    <w:p>
      <w:pPr>
        <w:ind w:left="326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14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CUMBERLAND PHARMACEUTICALS INC.</w:t>
      </w:r>
    </w:p>
    <w:p>
      <w:pPr>
        <w:spacing w:after="0" w:line="200" w:lineRule="exact"/>
        <w:rPr>
          <w:sz w:val="20"/>
          <w:szCs w:val="20"/>
          <w:color w:val="auto"/>
        </w:rPr>
      </w:pPr>
    </w:p>
    <w:p>
      <w:pPr>
        <w:spacing w:after="0" w:line="232" w:lineRule="exact"/>
        <w:rPr>
          <w:sz w:val="20"/>
          <w:szCs w:val="20"/>
          <w:color w:val="auto"/>
        </w:rPr>
      </w:pPr>
    </w:p>
    <w:p>
      <w:pPr>
        <w:ind w:left="3260"/>
        <w:spacing w:after="0"/>
        <w:tabs>
          <w:tab w:leader="none" w:pos="3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10160</wp:posOffset>
            </wp:positionV>
            <wp:extent cx="21513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A.J. Kazimi,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60"/>
        <w:spacing w:after="0"/>
        <w:rPr>
          <w:sz w:val="20"/>
          <w:szCs w:val="20"/>
          <w:color w:val="auto"/>
        </w:rPr>
      </w:pPr>
      <w:r>
        <w:rPr>
          <w:rFonts w:ascii="Arial" w:cs="Arial" w:eastAsia="Arial" w:hAnsi="Arial"/>
          <w:sz w:val="20"/>
          <w:szCs w:val="20"/>
          <w:b w:val="1"/>
          <w:bCs w:val="1"/>
          <w:u w:val="single" w:color="auto"/>
          <w:color w:val="auto"/>
        </w:rPr>
        <w:t>LENDER</w:t>
      </w:r>
      <w:r>
        <w:rPr>
          <w:rFonts w:ascii="Arial" w:cs="Arial" w:eastAsia="Arial" w:hAnsi="Arial"/>
          <w:sz w:val="20"/>
          <w:szCs w:val="20"/>
          <w:b w:val="1"/>
          <w:bCs w:val="1"/>
          <w:color w:val="auto"/>
        </w:rPr>
        <w:t>:</w:t>
      </w:r>
    </w:p>
    <w:p>
      <w:pPr>
        <w:spacing w:after="0" w:line="14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PINNACLE BANK</w:t>
      </w:r>
    </w:p>
    <w:p>
      <w:pPr>
        <w:spacing w:after="0" w:line="200" w:lineRule="exact"/>
        <w:rPr>
          <w:sz w:val="20"/>
          <w:szCs w:val="20"/>
          <w:color w:val="auto"/>
        </w:rPr>
      </w:pPr>
    </w:p>
    <w:p>
      <w:pPr>
        <w:spacing w:after="0" w:line="232" w:lineRule="exact"/>
        <w:rPr>
          <w:sz w:val="20"/>
          <w:szCs w:val="20"/>
          <w:color w:val="auto"/>
        </w:rPr>
      </w:pPr>
    </w:p>
    <w:p>
      <w:pPr>
        <w:ind w:left="3260"/>
        <w:spacing w:after="0"/>
        <w:tabs>
          <w:tab w:leader="none" w:pos="3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i w:val="1"/>
          <w:iCs w:val="1"/>
          <w:color w:val="auto"/>
        </w:rPr>
        <w:t>/s/ Tim Bewley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10160</wp:posOffset>
            </wp:positionV>
            <wp:extent cx="2151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Tim Bewley, Senior Vice Presiden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[Signature Page to Second Amendment to Revolving Credit Loan Note and</w:t>
      </w:r>
    </w:p>
    <w:p>
      <w:pPr>
        <w:spacing w:after="0" w:line="6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Third Amendment to Revolving Credit Loan Agreement]</w:t>
      </w:r>
    </w:p>
    <w:p>
      <w:pPr>
        <w:sectPr>
          <w:pgSz w:w="11900" w:h="16838" w:orient="portrait"/>
          <w:cols w:equalWidth="0" w:num="1">
            <w:col w:w="9479"/>
          </w:cols>
          <w:pgMar w:left="980" w:top="144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200" w:lineRule="exact"/>
        <w:rPr>
          <w:sz w:val="20"/>
          <w:szCs w:val="20"/>
          <w:color w:val="auto"/>
        </w:rPr>
      </w:pPr>
    </w:p>
    <w:p>
      <w:pPr>
        <w:spacing w:after="0" w:line="201" w:lineRule="exact"/>
        <w:rPr>
          <w:sz w:val="20"/>
          <w:szCs w:val="20"/>
          <w:color w:val="auto"/>
        </w:rPr>
      </w:pPr>
    </w:p>
    <w:p>
      <w:pPr>
        <w:jc w:val="both"/>
        <w:ind w:left="680" w:right="100" w:hanging="654"/>
        <w:spacing w:after="0" w:line="22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9" w:lineRule="exact"/>
        <w:rPr>
          <w:sz w:val="20"/>
          <w:szCs w:val="20"/>
          <w:color w:val="auto"/>
        </w:rPr>
      </w:pPr>
    </w:p>
    <w:p>
      <w:pPr>
        <w:ind w:left="680" w:right="60" w:hanging="654"/>
        <w:spacing w:after="0" w:line="25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3" w:lineRule="exact"/>
        <w:rPr>
          <w:sz w:val="20"/>
          <w:szCs w:val="20"/>
          <w:color w:val="auto"/>
        </w:rPr>
      </w:pPr>
    </w:p>
    <w:p>
      <w:pPr>
        <w:ind w:left="680" w:right="100" w:hanging="654"/>
        <w:spacing w:after="0" w:line="22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540"/>
        <w:spacing w:after="0"/>
        <w:tabs>
          <w:tab w:leader="none" w:pos="6800" w:val="left"/>
        </w:tabs>
        <w:rPr>
          <w:sz w:val="20"/>
          <w:szCs w:val="20"/>
          <w:color w:val="auto"/>
        </w:rPr>
      </w:pPr>
      <w:r>
        <w:rPr>
          <w:rFonts w:ascii="Arial" w:cs="Arial" w:eastAsia="Arial" w:hAnsi="Arial"/>
          <w:sz w:val="18"/>
          <w:szCs w:val="18"/>
          <w:color w:val="auto"/>
        </w:rPr>
        <w:t>November 13, 2020 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Bonner, certify that:</w:t>
      </w:r>
    </w:p>
    <w:p>
      <w:pPr>
        <w:spacing w:after="0" w:line="50" w:lineRule="exact"/>
        <w:rPr>
          <w:sz w:val="20"/>
          <w:szCs w:val="20"/>
          <w:color w:val="auto"/>
        </w:rPr>
      </w:pPr>
    </w:p>
    <w:p>
      <w:pPr>
        <w:ind w:left="680" w:hanging="654"/>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200" w:lineRule="exact"/>
        <w:rPr>
          <w:sz w:val="20"/>
          <w:szCs w:val="20"/>
          <w:color w:val="auto"/>
        </w:rPr>
      </w:pPr>
    </w:p>
    <w:p>
      <w:pPr>
        <w:spacing w:after="0" w:line="201" w:lineRule="exact"/>
        <w:rPr>
          <w:sz w:val="20"/>
          <w:szCs w:val="20"/>
          <w:color w:val="auto"/>
        </w:rPr>
      </w:pPr>
    </w:p>
    <w:p>
      <w:pPr>
        <w:jc w:val="both"/>
        <w:ind w:left="680" w:right="100" w:hanging="654"/>
        <w:spacing w:after="0" w:line="224"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9" w:lineRule="exact"/>
        <w:rPr>
          <w:sz w:val="20"/>
          <w:szCs w:val="20"/>
          <w:color w:val="auto"/>
        </w:rPr>
      </w:pPr>
    </w:p>
    <w:p>
      <w:pPr>
        <w:ind w:left="680" w:right="60" w:hanging="654"/>
        <w:spacing w:after="0" w:line="258"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3" w:lineRule="exact"/>
        <w:rPr>
          <w:sz w:val="20"/>
          <w:szCs w:val="20"/>
          <w:color w:val="auto"/>
        </w:rPr>
      </w:pPr>
    </w:p>
    <w:p>
      <w:pPr>
        <w:ind w:left="680" w:right="100" w:hanging="654"/>
        <w:spacing w:after="0" w:line="224"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600"/>
        <w:spacing w:after="0"/>
        <w:tabs>
          <w:tab w:leader="none" w:pos="6800" w:val="left"/>
        </w:tabs>
        <w:rPr>
          <w:sz w:val="20"/>
          <w:szCs w:val="20"/>
          <w:color w:val="auto"/>
        </w:rPr>
      </w:pPr>
      <w:r>
        <w:rPr>
          <w:rFonts w:ascii="Arial" w:cs="Arial" w:eastAsia="Arial" w:hAnsi="Arial"/>
          <w:sz w:val="18"/>
          <w:szCs w:val="18"/>
          <w:color w:val="auto"/>
        </w:rPr>
        <w:t>November 13, 2020 By:</w:t>
      </w:r>
      <w:r>
        <w:rPr>
          <w:sz w:val="20"/>
          <w:szCs w:val="20"/>
          <w:color w:val="auto"/>
        </w:rPr>
        <w:tab/>
      </w:r>
      <w:r>
        <w:rPr>
          <w:rFonts w:ascii="Arial" w:cs="Arial" w:eastAsia="Arial" w:hAnsi="Arial"/>
          <w:sz w:val="16"/>
          <w:szCs w:val="16"/>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Michael Bonner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September 30, 2020 of Cumberland Pharmaceuticals Inc. (the “Company”), as filed with the Securities and Exchange Commission on the date hereof (the “Report”), I, A.J. Kazimi, Chief Executive Officer and Michael Bonner, Chief Financial Officer of the Company, certify, pursuant to Section 906 of the Sarbanes-Oxley Act of 2002 (18 U.S.C. section 1350), that:</w:t>
      </w:r>
    </w:p>
    <w:p>
      <w:pPr>
        <w:spacing w:after="0" w:line="1" w:lineRule="exact"/>
        <w:rPr>
          <w:sz w:val="20"/>
          <w:szCs w:val="20"/>
          <w:color w:val="auto"/>
        </w:rPr>
      </w:pPr>
    </w:p>
    <w:p>
      <w:pPr>
        <w:ind w:left="680" w:hanging="654"/>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sz w:val="20"/>
          <w:szCs w:val="20"/>
          <w:color w:val="auto"/>
        </w:rPr>
      </w:pPr>
    </w:p>
    <w:p>
      <w:pPr>
        <w:spacing w:after="0" w:line="201" w:lineRule="exact"/>
        <w:rPr>
          <w:sz w:val="20"/>
          <w:szCs w:val="20"/>
          <w:color w:val="auto"/>
        </w:rPr>
      </w:pPr>
    </w:p>
    <w:p>
      <w:pPr>
        <w:ind w:left="680" w:hanging="65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14605</wp:posOffset>
            </wp:positionV>
            <wp:extent cx="2768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November 13,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14605</wp:posOffset>
            </wp:positionV>
            <wp:extent cx="27686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Michael Bonner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November 13, 2020</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upperLetter"/>
      <w:start w:val="1"/>
    </w:lvl>
    <w:lvl w:ilvl="1">
      <w:lvlJc w:val="left"/>
      <w:lvlText w:val="%2."/>
      <w:numFmt w:val="decimal"/>
      <w:start w:val="1"/>
    </w:lvl>
  </w:abstractNum>
  <w:abstractNum w:abstractNumId="10">
    <w:nsid w:val="3F2DBA3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7C83E458"/>
    <w:multiLevelType w:val="hybridMultilevel"/>
    <w:lvl w:ilvl="0">
      <w:lvlJc w:val="left"/>
      <w:lvlText w:val="%1"/>
      <w:numFmt w:val="decimal"/>
      <w:start w:val="1"/>
    </w:lvl>
    <w:lvl w:ilvl="1">
      <w:lvlJc w:val="left"/>
      <w:lvlText w:val="(%2)"/>
      <w:numFmt w:val="lowerLetter"/>
      <w:start w:val="23"/>
    </w:lvl>
  </w:abstractNum>
  <w:abstractNum w:abstractNumId="12">
    <w:nsid w:val="257130A3"/>
    <w:multiLevelType w:val="hybridMultilevel"/>
    <w:lvl w:ilvl="0">
      <w:lvlJc w:val="left"/>
      <w:lvlText w:val="%1."/>
      <w:numFmt w:val="decimal"/>
      <w:start w:val="6"/>
    </w:lvl>
    <w:lvl w:ilvl="1">
      <w:lvlJc w:val="left"/>
      <w:lvlText w:val="%2"/>
      <w:numFmt w:val="lowerLetter"/>
      <w:start w:val="1"/>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4"/>
      <w:numFmt w:val="bullet"/>
      <w:start w:val="1"/>
    </w:lvl>
    <w:lvl w:ilvl="1">
      <w:lvlJc w:val="left"/>
      <w:lvlText w:val="%2."/>
      <w:numFmt w:val="lowerLetter"/>
      <w:start w:val="1"/>
    </w:lvl>
  </w:abstractNum>
  <w:abstractNum w:abstractNumId="18">
    <w:nsid w:val="2443A858"/>
    <w:multiLevelType w:val="hybridMultilevel"/>
    <w:lvl w:ilvl="0">
      <w:lvlJc w:val="left"/>
      <w:lvlText w:val="5"/>
      <w:numFmt w:val="bullet"/>
      <w:start w:val="1"/>
    </w:lvl>
    <w:lvl w:ilvl="1">
      <w:lvlJc w:val="left"/>
      <w:lvlText w:val="%2."/>
      <w:numFmt w:val="lowerLetter"/>
      <w:start w:val="1"/>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3"/>
      <w:numFmt w:val="bullet"/>
      <w:start w:val="1"/>
    </w:lvl>
  </w:abstractNum>
  <w:abstractNum w:abstractNumId="22">
    <w:nsid w:val="8EDBDAB"/>
    <w:multiLevelType w:val="hybridMultilevel"/>
    <w:lvl w:ilvl="0">
      <w:lvlJc w:val="left"/>
      <w:lvlText w:val="4"/>
      <w:numFmt w:val="bullet"/>
      <w:start w:val="1"/>
    </w:lvl>
    <w:lvl w:ilvl="1">
      <w:lvlJc w:val="left"/>
      <w:lvlText w:val="%2."/>
      <w:numFmt w:val="lowerLetter"/>
      <w:start w:val="1"/>
    </w:lvl>
  </w:abstractNum>
  <w:abstractNum w:abstractNumId="23">
    <w:nsid w:val="79838CB2"/>
    <w:multiLevelType w:val="hybridMultilevel"/>
    <w:lvl w:ilvl="0">
      <w:lvlJc w:val="left"/>
      <w:lvlText w:val="5"/>
      <w:numFmt w:val="bullet"/>
      <w:start w:val="1"/>
    </w:lvl>
    <w:lvl w:ilvl="1">
      <w:lvlJc w:val="left"/>
      <w:lvlText w:val="%2."/>
      <w:numFmt w:val="lowerLetter"/>
      <w:start w:val="1"/>
    </w:lvl>
  </w:abstractNum>
  <w:abstractNum w:abstractNumId="24">
    <w:nsid w:val="4353D0CD"/>
    <w:multiLevelType w:val="hybridMultilevel"/>
    <w:lvl w:ilvl="0">
      <w:lvlJc w:val="left"/>
      <w:lvlText w:val="1"/>
      <w:numFmt w:val="bullet"/>
      <w:start w:val="1"/>
    </w:lvl>
  </w:abstractNum>
  <w:abstractNum w:abstractNumId="25">
    <w:nsid w:val="B03E0C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2020-11-13T16:30:50Z</dcterms:created>
  <dcterms:modified xsi:type="dcterms:W3CDTF">2020-11-13T16:30:50Z</dcterms:modified>
</cp:coreProperties>
</file>