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SECURITIES AND EXCHANGE COMMISSION</w:t>
      </w: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33"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auto"/>
        </w:rPr>
        <w:t>FORM 8-K</w:t>
      </w:r>
    </w:p>
    <w:p>
      <w:pPr>
        <w:spacing w:after="0" w:line="2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36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April 30, 2021 (April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CUMBERLAND PHARMACEUTICALS INC.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178"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Tennessee</w:t>
            </w:r>
          </w:p>
        </w:tc>
        <w:tc>
          <w:tcPr>
            <w:tcW w:w="1700" w:type="dxa"/>
            <w:vAlign w:val="bottom"/>
          </w:tcPr>
          <w:p>
            <w:pPr>
              <w:spacing w:after="0"/>
              <w:rPr>
                <w:sz w:val="17"/>
                <w:szCs w:val="17"/>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001-33637</w:t>
            </w:r>
          </w:p>
        </w:tc>
        <w:tc>
          <w:tcPr>
            <w:tcW w:w="1160" w:type="dxa"/>
            <w:vAlign w:val="bottom"/>
          </w:tcPr>
          <w:p>
            <w:pPr>
              <w:spacing w:after="0"/>
              <w:rPr>
                <w:sz w:val="17"/>
                <w:szCs w:val="17"/>
                <w:color w:val="auto"/>
              </w:rPr>
            </w:pPr>
          </w:p>
        </w:tc>
        <w:tc>
          <w:tcPr>
            <w:tcW w:w="2840" w:type="dxa"/>
            <w:vAlign w:val="bottom"/>
            <w:gridSpan w:val="3"/>
          </w:tcPr>
          <w:p>
            <w:pPr>
              <w:jc w:val="right"/>
              <w:ind w:right="600"/>
              <w:spacing w:after="0"/>
              <w:rPr>
                <w:sz w:val="20"/>
                <w:szCs w:val="20"/>
                <w:color w:val="auto"/>
              </w:rPr>
            </w:pPr>
            <w:r>
              <w:rPr>
                <w:rFonts w:ascii="Arial" w:cs="Arial" w:eastAsia="Arial" w:hAnsi="Arial"/>
                <w:sz w:val="18"/>
                <w:szCs w:val="18"/>
                <w:color w:val="auto"/>
              </w:rPr>
              <w:t>62-1765329</w:t>
            </w: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9"/>
        </w:trPr>
        <w:tc>
          <w:tcPr>
            <w:tcW w:w="3340" w:type="dxa"/>
            <w:vAlign w:val="bottom"/>
            <w:gridSpan w:val="3"/>
          </w:tcPr>
          <w:p>
            <w:pPr>
              <w:jc w:val="center"/>
              <w:ind w:right="800"/>
              <w:spacing w:after="0"/>
              <w:rPr>
                <w:sz w:val="20"/>
                <w:szCs w:val="20"/>
                <w:color w:val="auto"/>
              </w:rPr>
            </w:pPr>
            <w:r>
              <w:rPr>
                <w:rFonts w:ascii="Arial" w:cs="Arial" w:eastAsia="Arial" w:hAnsi="Arial"/>
                <w:sz w:val="14"/>
                <w:szCs w:val="14"/>
                <w:color w:val="auto"/>
                <w:w w:val="95"/>
              </w:rPr>
              <w:t>(State or other jurisdiction of incorporation)</w:t>
            </w:r>
          </w:p>
        </w:tc>
        <w:tc>
          <w:tcPr>
            <w:tcW w:w="3160" w:type="dxa"/>
            <w:vAlign w:val="bottom"/>
            <w:gridSpan w:val="3"/>
          </w:tcPr>
          <w:p>
            <w:pPr>
              <w:jc w:val="center"/>
              <w:spacing w:after="0"/>
              <w:rPr>
                <w:sz w:val="20"/>
                <w:szCs w:val="20"/>
                <w:color w:val="auto"/>
              </w:rPr>
            </w:pPr>
            <w:r>
              <w:rPr>
                <w:rFonts w:ascii="Arial" w:cs="Arial" w:eastAsia="Arial" w:hAnsi="Arial"/>
                <w:sz w:val="14"/>
                <w:szCs w:val="14"/>
                <w:color w:val="auto"/>
                <w:w w:val="96"/>
              </w:rPr>
              <w:t>(Commission File Number)</w:t>
            </w:r>
          </w:p>
        </w:tc>
        <w:tc>
          <w:tcPr>
            <w:tcW w:w="2840" w:type="dxa"/>
            <w:vAlign w:val="bottom"/>
            <w:gridSpan w:val="3"/>
          </w:tcPr>
          <w:p>
            <w:pPr>
              <w:jc w:val="center"/>
              <w:ind w:left="679"/>
              <w:spacing w:after="0"/>
              <w:rPr>
                <w:sz w:val="20"/>
                <w:szCs w:val="20"/>
                <w:color w:val="auto"/>
              </w:rPr>
            </w:pPr>
            <w:r>
              <w:rPr>
                <w:rFonts w:ascii="Arial" w:cs="Arial" w:eastAsia="Arial" w:hAnsi="Arial"/>
                <w:sz w:val="14"/>
                <w:szCs w:val="14"/>
                <w:color w:val="auto"/>
                <w:w w:val="96"/>
              </w:rPr>
              <w:t>(I.R.S. Employer Identification No.)</w:t>
            </w:r>
          </w:p>
        </w:tc>
      </w:tr>
    </w:tbl>
    <w:p>
      <w:pPr>
        <w:spacing w:after="0" w:line="200" w:lineRule="exact"/>
        <w:rPr>
          <w:sz w:val="24"/>
          <w:szCs w:val="24"/>
          <w:color w:val="auto"/>
        </w:rPr>
      </w:pPr>
    </w:p>
    <w:p>
      <w:pPr>
        <w:spacing w:after="0" w:line="25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of principal executive offices) (Zip Code)</w:t>
      </w:r>
    </w:p>
    <w:p>
      <w:pPr>
        <w:spacing w:after="0" w:line="25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08"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w:t>
      </w:r>
    </w:p>
    <w:p>
      <w:pPr>
        <w:spacing w:after="0" w:line="23" w:lineRule="exact"/>
        <w:rPr>
          <w:sz w:val="24"/>
          <w:szCs w:val="24"/>
          <w:color w:val="auto"/>
        </w:rPr>
      </w:pPr>
    </w:p>
    <w:p>
      <w:pPr>
        <w:jc w:val="center"/>
        <w:ind w:left="500" w:right="18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2" w:lineRule="exact"/>
        <w:rPr>
          <w:sz w:val="24"/>
          <w:szCs w:val="24"/>
          <w:color w:val="auto"/>
        </w:rPr>
      </w:pPr>
    </w:p>
    <w:p>
      <w:pPr>
        <w:ind w:left="1000" w:hanging="4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60" w:lineRule="exact"/>
        <w:rPr>
          <w:rFonts w:ascii="Arial" w:cs="Arial" w:eastAsia="Arial" w:hAnsi="Arial"/>
          <w:sz w:val="18"/>
          <w:szCs w:val="18"/>
          <w:color w:val="auto"/>
        </w:rPr>
      </w:pPr>
    </w:p>
    <w:p>
      <w:pPr>
        <w:ind w:left="1000" w:hanging="4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46" w:lineRule="exact"/>
        <w:rPr>
          <w:rFonts w:ascii="Arial" w:cs="Arial" w:eastAsia="Arial" w:hAnsi="Arial"/>
          <w:sz w:val="18"/>
          <w:szCs w:val="18"/>
          <w:color w:val="auto"/>
        </w:rPr>
      </w:pPr>
    </w:p>
    <w:p>
      <w:pPr>
        <w:ind w:left="1000" w:hanging="4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46" w:lineRule="exact"/>
        <w:rPr>
          <w:rFonts w:ascii="Arial" w:cs="Arial" w:eastAsia="Arial" w:hAnsi="Arial"/>
          <w:sz w:val="18"/>
          <w:szCs w:val="18"/>
          <w:color w:val="auto"/>
        </w:rPr>
      </w:pPr>
    </w:p>
    <w:p>
      <w:pPr>
        <w:ind w:right="2040" w:firstLine="552"/>
        <w:spacing w:after="0" w:line="508" w:lineRule="auto"/>
        <w:tabs>
          <w:tab w:leader="none" w:pos="99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Class</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Trading Symbol</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Name of exchanged on which registered</w:t>
            </w:r>
          </w:p>
        </w:tc>
      </w:tr>
      <w:tr>
        <w:trPr>
          <w:trHeight w:val="224"/>
        </w:trPr>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100" w:type="dxa"/>
            <w:vAlign w:val="bottom"/>
          </w:tcPr>
          <w:p>
            <w:pPr>
              <w:spacing w:after="0"/>
              <w:rPr>
                <w:sz w:val="19"/>
                <w:szCs w:val="19"/>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CPIX</w:t>
            </w:r>
          </w:p>
        </w:tc>
        <w:tc>
          <w:tcPr>
            <w:tcW w:w="100" w:type="dxa"/>
            <w:vAlign w:val="bottom"/>
          </w:tcPr>
          <w:p>
            <w:pPr>
              <w:spacing w:after="0"/>
              <w:rPr>
                <w:sz w:val="19"/>
                <w:szCs w:val="19"/>
                <w:color w:val="auto"/>
              </w:rPr>
            </w:pPr>
          </w:p>
        </w:tc>
        <w:tc>
          <w:tcPr>
            <w:tcW w:w="4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7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080"/>
          </w:cols>
          <w:pgMar w:left="320" w:top="1000"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35" w:lineRule="exact"/>
        <w:rPr>
          <w:sz w:val="20"/>
          <w:szCs w:val="20"/>
          <w:color w:val="auto"/>
        </w:rPr>
      </w:pPr>
    </w:p>
    <w:p>
      <w:pPr>
        <w:ind w:right="520"/>
        <w:spacing w:after="0" w:line="308" w:lineRule="auto"/>
        <w:rPr>
          <w:sz w:val="20"/>
          <w:szCs w:val="20"/>
          <w:color w:val="auto"/>
        </w:rPr>
      </w:pPr>
      <w:r>
        <w:rPr>
          <w:rFonts w:ascii="Arial" w:cs="Arial" w:eastAsia="Arial" w:hAnsi="Arial"/>
          <w:sz w:val="18"/>
          <w:szCs w:val="18"/>
          <w:color w:val="auto"/>
        </w:rPr>
        <w:t>On April 27, 2021, the annual meeting of shareholders of Cumberland Pharmaceuticals Inc. (the "Company") was held in Nashville, Tennessee. The following matters were voted upon and approved by the Company's shareholders:</w:t>
      </w:r>
    </w:p>
    <w:p>
      <w:pPr>
        <w:spacing w:after="0" w:line="36"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two (2) Class II Directors; and</w:t>
      </w:r>
    </w:p>
    <w:p>
      <w:pPr>
        <w:spacing w:after="0" w:line="130" w:lineRule="exact"/>
        <w:rPr>
          <w:rFonts w:ascii="Arial" w:cs="Arial" w:eastAsia="Arial" w:hAnsi="Arial"/>
          <w:sz w:val="18"/>
          <w:szCs w:val="18"/>
          <w:color w:val="auto"/>
        </w:rPr>
      </w:pPr>
    </w:p>
    <w:p>
      <w:pPr>
        <w:ind w:right="700" w:firstLine="8"/>
        <w:spacing w:after="0" w:line="402"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ratification of the appointment of BKD, LLP as our independent registered public accounting firm for the year ending December 31, 2021. The voting results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1460" w:type="dxa"/>
            <w:vAlign w:val="bottom"/>
            <w:gridSpan w:val="2"/>
            <w:vMerge w:val="restart"/>
          </w:tcPr>
          <w:p>
            <w:pPr>
              <w:ind w:left="520"/>
              <w:spacing w:after="0"/>
              <w:rPr>
                <w:sz w:val="20"/>
                <w:szCs w:val="20"/>
                <w:color w:val="auto"/>
              </w:rPr>
            </w:pPr>
            <w:r>
              <w:rPr>
                <w:rFonts w:ascii="Arial" w:cs="Arial" w:eastAsia="Arial" w:hAnsi="Arial"/>
                <w:sz w:val="18"/>
                <w:szCs w:val="18"/>
                <w:color w:val="auto"/>
              </w:rPr>
              <w:t>For</w:t>
            </w:r>
          </w:p>
        </w:tc>
        <w:tc>
          <w:tcPr>
            <w:tcW w:w="1380" w:type="dxa"/>
            <w:vAlign w:val="bottom"/>
            <w:gridSpan w:val="2"/>
            <w:vMerge w:val="restart"/>
          </w:tcPr>
          <w:p>
            <w:pPr>
              <w:ind w:left="320"/>
              <w:spacing w:after="0"/>
              <w:rPr>
                <w:sz w:val="20"/>
                <w:szCs w:val="20"/>
                <w:color w:val="auto"/>
              </w:rPr>
            </w:pPr>
            <w:r>
              <w:rPr>
                <w:rFonts w:ascii="Arial" w:cs="Arial" w:eastAsia="Arial" w:hAnsi="Arial"/>
                <w:sz w:val="18"/>
                <w:szCs w:val="18"/>
                <w:color w:val="auto"/>
              </w:rPr>
              <w:t>Against</w:t>
            </w:r>
          </w:p>
        </w:tc>
        <w:tc>
          <w:tcPr>
            <w:tcW w:w="1360" w:type="dxa"/>
            <w:vAlign w:val="bottom"/>
            <w:gridSpan w:val="2"/>
            <w:vMerge w:val="restart"/>
          </w:tcPr>
          <w:p>
            <w:pPr>
              <w:ind w:left="260"/>
              <w:spacing w:after="0"/>
              <w:rPr>
                <w:sz w:val="20"/>
                <w:szCs w:val="20"/>
                <w:color w:val="auto"/>
              </w:rPr>
            </w:pPr>
            <w:r>
              <w:rPr>
                <w:rFonts w:ascii="Arial" w:cs="Arial" w:eastAsia="Arial" w:hAnsi="Arial"/>
                <w:sz w:val="18"/>
                <w:szCs w:val="18"/>
                <w:color w:val="auto"/>
              </w:rPr>
              <w:t>Withheld</w:t>
            </w:r>
          </w:p>
        </w:tc>
        <w:tc>
          <w:tcPr>
            <w:tcW w:w="1520" w:type="dxa"/>
            <w:vAlign w:val="bottom"/>
            <w:gridSpan w:val="2"/>
            <w:vMerge w:val="restart"/>
          </w:tcPr>
          <w:p>
            <w:pPr>
              <w:ind w:left="220"/>
              <w:spacing w:after="0"/>
              <w:rPr>
                <w:sz w:val="20"/>
                <w:szCs w:val="20"/>
                <w:color w:val="auto"/>
              </w:rPr>
            </w:pPr>
            <w:r>
              <w:rPr>
                <w:rFonts w:ascii="Arial" w:cs="Arial" w:eastAsia="Arial" w:hAnsi="Arial"/>
                <w:sz w:val="18"/>
                <w:szCs w:val="18"/>
                <w:color w:val="auto"/>
              </w:rPr>
              <w:t>Abstentions</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 of Votes in</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Favor</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Martin E. Cearnal</w:t>
            </w: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9,687,694</w:t>
            </w:r>
          </w:p>
        </w:tc>
        <w:tc>
          <w:tcPr>
            <w:tcW w:w="1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177,528</w:t>
            </w:r>
          </w:p>
        </w:tc>
        <w:tc>
          <w:tcPr>
            <w:tcW w:w="2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98.2%</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James R. Jones</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9,678,890</w:t>
            </w:r>
          </w:p>
        </w:tc>
        <w:tc>
          <w:tcPr>
            <w:tcW w:w="180" w:type="dxa"/>
            <w:vAlign w:val="bottom"/>
          </w:tcPr>
          <w:p>
            <w:pPr>
              <w:spacing w:after="0"/>
              <w:rPr>
                <w:sz w:val="19"/>
                <w:szCs w:val="19"/>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186,332</w:t>
            </w:r>
          </w:p>
        </w:tc>
        <w:tc>
          <w:tcPr>
            <w:tcW w:w="200" w:type="dxa"/>
            <w:vAlign w:val="bottom"/>
          </w:tcPr>
          <w:p>
            <w:pPr>
              <w:spacing w:after="0"/>
              <w:rPr>
                <w:sz w:val="19"/>
                <w:szCs w:val="19"/>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98.1%</w:t>
            </w:r>
          </w:p>
        </w:tc>
        <w:tc>
          <w:tcPr>
            <w:tcW w:w="0" w:type="dxa"/>
            <w:vAlign w:val="bottom"/>
          </w:tcPr>
          <w:p>
            <w:pPr>
              <w:spacing w:after="0"/>
              <w:rPr>
                <w:sz w:val="1"/>
                <w:szCs w:val="1"/>
                <w:color w:val="auto"/>
              </w:rPr>
            </w:pPr>
          </w:p>
        </w:tc>
      </w:tr>
      <w:tr>
        <w:trPr>
          <w:trHeight w:val="176"/>
        </w:trPr>
        <w:tc>
          <w:tcPr>
            <w:tcW w:w="4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Appointment of BKD, LLP as our independent</w:t>
            </w: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registered public accounting firm for the year ending</w:t>
            </w: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12,301,738</w:t>
            </w:r>
          </w:p>
        </w:tc>
        <w:tc>
          <w:tcPr>
            <w:tcW w:w="1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9,259</w:t>
            </w:r>
          </w:p>
        </w:tc>
        <w:tc>
          <w:tcPr>
            <w:tcW w:w="18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720</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99.9%</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2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431"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6880" w:type="dxa"/>
            <w:vAlign w:val="bottom"/>
            <w:gridSpan w:val="2"/>
          </w:tcPr>
          <w:p>
            <w:pPr>
              <w:ind w:left="270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280" w:type="dxa"/>
            <w:vAlign w:val="bottom"/>
          </w:tcPr>
          <w:p>
            <w:pPr>
              <w:spacing w:after="0"/>
              <w:rPr>
                <w:sz w:val="20"/>
                <w:szCs w:val="20"/>
                <w:color w:val="auto"/>
              </w:rPr>
            </w:pPr>
            <w:r>
              <w:rPr>
                <w:rFonts w:ascii="Arial" w:cs="Arial" w:eastAsia="Arial" w:hAnsi="Arial"/>
                <w:sz w:val="18"/>
                <w:szCs w:val="18"/>
                <w:color w:val="auto"/>
              </w:rPr>
              <w:t>Dated: April 30, 2021</w:t>
            </w:r>
          </w:p>
        </w:tc>
        <w:tc>
          <w:tcPr>
            <w:tcW w:w="4060" w:type="dxa"/>
            <w:vAlign w:val="bottom"/>
          </w:tcPr>
          <w:p>
            <w:pPr>
              <w:ind w:left="270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Michael Bonner</w:t>
            </w:r>
          </w:p>
        </w:tc>
      </w:tr>
      <w:tr>
        <w:trPr>
          <w:trHeight w:val="222"/>
        </w:trPr>
        <w:tc>
          <w:tcPr>
            <w:tcW w:w="42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Michael Bonner</w:t>
            </w:r>
          </w:p>
        </w:tc>
      </w:tr>
      <w:tr>
        <w:trPr>
          <w:trHeight w:val="230"/>
        </w:trPr>
        <w:tc>
          <w:tcPr>
            <w:tcW w:w="42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109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2021-04-30T18:08:08Z</dcterms:created>
  <dcterms:modified xsi:type="dcterms:W3CDTF">2021-04-30T18:08:08Z</dcterms:modified>
</cp:coreProperties>
</file>