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10-K</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ANNUAL REPORT PURSUANT TO SECTION 13 OR 15(d) OF THE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EXCHANGE ACT OF 1934</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of</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37"/>
          <w:szCs w:val="37"/>
          <w:b w:val="1"/>
          <w:bCs w:val="1"/>
          <w:color w:val="auto"/>
        </w:rPr>
        <w:t>CUMBERLAND PHARMACEUTICALS INC.</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 Tennessee Corporation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IRS Employer Identification No. 62-1765329</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001-33637</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2525 West End Avenue, Suite 950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Nashville, Tennessee 37203</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(615) 255-0068</w:t>
      </w:r>
    </w:p>
    <w:p>
      <w:pPr>
        <w:spacing w:after="0" w:line="236" w:lineRule="exact"/>
        <w:rPr>
          <w:sz w:val="24"/>
          <w:szCs w:val="24"/>
          <w:color w:val="auto"/>
        </w:rPr>
      </w:pPr>
    </w:p>
    <w:tbl>
      <w:tblPr>
        <w:tblLayout w:type="fixed"/>
        <w:tblInd w:w="380" w:type="dxa"/>
        <w:tblCellMar>
          <w:top w:w="0" w:type="dxa"/>
          <w:left w:w="0" w:type="dxa"/>
          <w:bottom w:w="0" w:type="dxa"/>
          <w:right w:w="0" w:type="dxa"/>
        </w:tblCellMar>
      </w:tblPr>
      <w:tr>
        <w:trPr>
          <w:trHeight w:val="179"/>
        </w:trPr>
        <w:tc>
          <w:tcPr>
            <w:tcW w:w="3320" w:type="dxa"/>
            <w:vAlign w:val="bottom"/>
          </w:tcPr>
          <w:p>
            <w:pPr>
              <w:spacing w:after="0"/>
              <w:rPr>
                <w:sz w:val="15"/>
                <w:szCs w:val="15"/>
                <w:color w:val="auto"/>
              </w:rPr>
            </w:pPr>
          </w:p>
        </w:tc>
        <w:tc>
          <w:tcPr>
            <w:tcW w:w="3740" w:type="dxa"/>
            <w:vAlign w:val="bottom"/>
            <w:gridSpan w:val="6"/>
          </w:tcPr>
          <w:p>
            <w:pPr>
              <w:jc w:val="center"/>
              <w:ind w:left="70"/>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480" w:type="dxa"/>
            <w:vAlign w:val="bottom"/>
          </w:tcPr>
          <w:p>
            <w:pPr>
              <w:spacing w:after="0"/>
              <w:rPr>
                <w:sz w:val="15"/>
                <w:szCs w:val="15"/>
                <w:color w:val="auto"/>
              </w:rPr>
            </w:pPr>
          </w:p>
        </w:tc>
      </w:tr>
      <w:tr>
        <w:trPr>
          <w:trHeight w:val="206"/>
        </w:trPr>
        <w:tc>
          <w:tcPr>
            <w:tcW w:w="3320" w:type="dxa"/>
            <w:vAlign w:val="bottom"/>
            <w:tcBorders>
              <w:bottom w:val="single" w:sz="8" w:color="auto"/>
            </w:tcBorders>
          </w:tcPr>
          <w:p>
            <w:pPr>
              <w:jc w:val="center"/>
              <w:ind w:left="610"/>
              <w:spacing w:after="0"/>
              <w:rPr>
                <w:sz w:val="20"/>
                <w:szCs w:val="20"/>
                <w:color w:val="auto"/>
              </w:rPr>
            </w:pPr>
            <w:r>
              <w:rPr>
                <w:rFonts w:ascii="Arial" w:cs="Arial" w:eastAsia="Arial" w:hAnsi="Arial"/>
                <w:sz w:val="14"/>
                <w:szCs w:val="14"/>
                <w:color w:val="auto"/>
                <w:w w:val="89"/>
              </w:rPr>
              <w:t>Title of each class</w:t>
            </w:r>
          </w:p>
        </w:tc>
        <w:tc>
          <w:tcPr>
            <w:tcW w:w="6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320" w:type="dxa"/>
            <w:vAlign w:val="bottom"/>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3480" w:type="dxa"/>
            <w:vAlign w:val="bottom"/>
            <w:tcBorders>
              <w:bottom w:val="single" w:sz="8" w:color="auto"/>
            </w:tcBorders>
          </w:tcPr>
          <w:p>
            <w:pPr>
              <w:jc w:val="center"/>
              <w:ind w:right="310"/>
              <w:spacing w:after="0"/>
              <w:rPr>
                <w:sz w:val="20"/>
                <w:szCs w:val="20"/>
                <w:color w:val="auto"/>
              </w:rPr>
            </w:pPr>
            <w:r>
              <w:rPr>
                <w:rFonts w:ascii="Arial" w:cs="Arial" w:eastAsia="Arial" w:hAnsi="Arial"/>
                <w:sz w:val="14"/>
                <w:szCs w:val="14"/>
                <w:color w:val="auto"/>
                <w:w w:val="90"/>
              </w:rPr>
              <w:t>Name of each exchange on which registered</w:t>
            </w:r>
          </w:p>
        </w:tc>
      </w:tr>
      <w:tr>
        <w:trPr>
          <w:trHeight w:val="185"/>
        </w:trPr>
        <w:tc>
          <w:tcPr>
            <w:tcW w:w="3320" w:type="dxa"/>
            <w:vAlign w:val="bottom"/>
          </w:tcPr>
          <w:p>
            <w:pPr>
              <w:jc w:val="center"/>
              <w:ind w:left="610"/>
              <w:spacing w:after="0"/>
              <w:rPr>
                <w:sz w:val="20"/>
                <w:szCs w:val="20"/>
                <w:color w:val="auto"/>
              </w:rPr>
            </w:pPr>
            <w:r>
              <w:rPr>
                <w:rFonts w:ascii="Arial" w:cs="Arial" w:eastAsia="Arial" w:hAnsi="Arial"/>
                <w:sz w:val="14"/>
                <w:szCs w:val="14"/>
                <w:color w:val="auto"/>
                <w:w w:val="89"/>
              </w:rPr>
              <w:t>Common Stock, $0.00 par value per share</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gridSpan w:val="4"/>
          </w:tcPr>
          <w:p>
            <w:pPr>
              <w:jc w:val="center"/>
              <w:ind w:right="700"/>
              <w:spacing w:after="0"/>
              <w:rPr>
                <w:sz w:val="20"/>
                <w:szCs w:val="20"/>
                <w:color w:val="auto"/>
              </w:rPr>
            </w:pPr>
            <w:r>
              <w:rPr>
                <w:rFonts w:ascii="Arial" w:cs="Arial" w:eastAsia="Arial" w:hAnsi="Arial"/>
                <w:sz w:val="14"/>
                <w:szCs w:val="14"/>
                <w:color w:val="auto"/>
                <w:w w:val="97"/>
              </w:rPr>
              <w:t>CPIX</w:t>
            </w:r>
          </w:p>
        </w:tc>
        <w:tc>
          <w:tcPr>
            <w:tcW w:w="3480" w:type="dxa"/>
            <w:vAlign w:val="bottom"/>
          </w:tcPr>
          <w:p>
            <w:pPr>
              <w:jc w:val="center"/>
              <w:ind w:right="310"/>
              <w:spacing w:after="0"/>
              <w:rPr>
                <w:sz w:val="20"/>
                <w:szCs w:val="20"/>
                <w:color w:val="auto"/>
              </w:rPr>
            </w:pPr>
            <w:r>
              <w:rPr>
                <w:rFonts w:ascii="Arial" w:cs="Arial" w:eastAsia="Arial" w:hAnsi="Arial"/>
                <w:sz w:val="14"/>
                <w:szCs w:val="14"/>
                <w:color w:val="auto"/>
                <w:w w:val="91"/>
              </w:rPr>
              <w:t>Nasdaq Global Select Market</w:t>
            </w:r>
          </w:p>
        </w:tc>
      </w:tr>
      <w:tr>
        <w:trPr>
          <w:trHeight w:val="232"/>
        </w:trPr>
        <w:tc>
          <w:tcPr>
            <w:tcW w:w="3320" w:type="dxa"/>
            <w:vAlign w:val="bottom"/>
          </w:tcPr>
          <w:p>
            <w:pPr>
              <w:spacing w:after="0"/>
              <w:rPr>
                <w:sz w:val="20"/>
                <w:szCs w:val="20"/>
                <w:color w:val="auto"/>
              </w:rPr>
            </w:pPr>
          </w:p>
        </w:tc>
        <w:tc>
          <w:tcPr>
            <w:tcW w:w="3740" w:type="dxa"/>
            <w:vAlign w:val="bottom"/>
            <w:gridSpan w:val="6"/>
          </w:tcPr>
          <w:p>
            <w:pPr>
              <w:jc w:val="center"/>
              <w:ind w:left="90"/>
              <w:spacing w:after="0"/>
              <w:rPr>
                <w:sz w:val="20"/>
                <w:szCs w:val="20"/>
                <w:color w:val="auto"/>
              </w:rPr>
            </w:pPr>
            <w:r>
              <w:rPr>
                <w:rFonts w:ascii="Arial" w:cs="Arial" w:eastAsia="Arial" w:hAnsi="Arial"/>
                <w:sz w:val="14"/>
                <w:szCs w:val="14"/>
                <w:color w:val="auto"/>
                <w:w w:val="91"/>
              </w:rPr>
              <w:t>Securities registered pursuant to Section 12(g) of the Act: None</w:t>
            </w:r>
          </w:p>
        </w:tc>
        <w:tc>
          <w:tcPr>
            <w:tcW w:w="348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284" w:lineRule="exact"/>
        <w:rPr>
          <w:sz w:val="24"/>
          <w:szCs w:val="24"/>
          <w:color w:val="auto"/>
        </w:rPr>
      </w:pPr>
    </w:p>
    <w:p>
      <w:pPr>
        <w:ind w:left="520"/>
        <w:spacing w:after="0"/>
        <w:rPr>
          <w:sz w:val="20"/>
          <w:szCs w:val="20"/>
          <w:color w:val="auto"/>
        </w:rPr>
      </w:pPr>
      <w:r>
        <w:rPr>
          <w:rFonts w:ascii="Arial" w:cs="Arial" w:eastAsia="Arial" w:hAnsi="Arial"/>
          <w:sz w:val="14"/>
          <w:szCs w:val="14"/>
          <w:color w:val="auto"/>
        </w:rPr>
        <w:t>Cumberland Pharmaceuticals Inc. is not a well-known seasoned issuer, as defined in Rule 405 of the Securities Act.</w:t>
      </w:r>
    </w:p>
    <w:p>
      <w:pPr>
        <w:spacing w:after="0" w:line="261" w:lineRule="exact"/>
        <w:rPr>
          <w:sz w:val="24"/>
          <w:szCs w:val="24"/>
          <w:color w:val="auto"/>
        </w:rPr>
      </w:pPr>
    </w:p>
    <w:p>
      <w:pPr>
        <w:ind w:firstLine="506"/>
        <w:spacing w:after="0" w:line="318" w:lineRule="auto"/>
        <w:rPr>
          <w:sz w:val="20"/>
          <w:szCs w:val="20"/>
          <w:color w:val="auto"/>
        </w:rPr>
      </w:pPr>
      <w:r>
        <w:rPr>
          <w:rFonts w:ascii="Arial" w:cs="Arial" w:eastAsia="Arial" w:hAnsi="Arial"/>
          <w:sz w:val="13"/>
          <w:szCs w:val="13"/>
          <w:color w:val="auto"/>
        </w:rPr>
        <w:t>Cumberland Pharmaceuticals Inc. is required to file reports pursuant to Section 13 or Section 15(d) of the Act. Cumberland Pharmaceuticals Inc. (1) has filed all reports required to be filed by Section 13 or 15(d) of the Securities Exchange Act of 1934 during the preceding 12 months, and (2) has been subject to such filing requirements for the past 90 days.</w:t>
      </w:r>
    </w:p>
    <w:p>
      <w:pPr>
        <w:spacing w:after="0" w:line="215" w:lineRule="exact"/>
        <w:rPr>
          <w:sz w:val="24"/>
          <w:szCs w:val="24"/>
          <w:color w:val="auto"/>
        </w:rPr>
      </w:pPr>
    </w:p>
    <w:p>
      <w:pPr>
        <w:ind w:right="380" w:firstLine="506"/>
        <w:spacing w:after="0" w:line="278" w:lineRule="auto"/>
        <w:rPr>
          <w:sz w:val="20"/>
          <w:szCs w:val="20"/>
          <w:color w:val="auto"/>
        </w:rPr>
      </w:pPr>
      <w:r>
        <w:rPr>
          <w:rFonts w:ascii="Arial" w:cs="Arial" w:eastAsia="Arial" w:hAnsi="Arial"/>
          <w:sz w:val="14"/>
          <w:szCs w:val="14"/>
          <w:color w:val="auto"/>
        </w:rPr>
        <w:t>Cumberland Pharmaceuticals Inc. has submitted electronically every Interactive Data File required to be submitted and posted pursuant to Rule 405 of Regulation S-T (§232.405 of this chapter) during the preceding 12 months.</w:t>
      </w:r>
    </w:p>
    <w:p>
      <w:pPr>
        <w:spacing w:after="0" w:line="238" w:lineRule="exact"/>
        <w:rPr>
          <w:sz w:val="24"/>
          <w:szCs w:val="24"/>
          <w:color w:val="auto"/>
        </w:rPr>
      </w:pPr>
    </w:p>
    <w:p>
      <w:pPr>
        <w:ind w:left="520"/>
        <w:spacing w:after="0"/>
        <w:rPr>
          <w:sz w:val="20"/>
          <w:szCs w:val="20"/>
          <w:color w:val="auto"/>
        </w:rPr>
      </w:pPr>
      <w:r>
        <w:rPr>
          <w:rFonts w:ascii="Arial" w:cs="Arial" w:eastAsia="Arial" w:hAnsi="Arial"/>
          <w:sz w:val="14"/>
          <w:szCs w:val="14"/>
          <w:color w:val="auto"/>
        </w:rPr>
        <w:t>Cumberland Pharmaceuticals Inc. is a non-accelerated filer and a smaller reporting company as defined in Rule 12b-2 of the Exchange Act and is not a shell company.</w:t>
      </w:r>
    </w:p>
    <w:p>
      <w:pPr>
        <w:spacing w:after="0" w:line="282" w:lineRule="exact"/>
        <w:rPr>
          <w:sz w:val="24"/>
          <w:szCs w:val="24"/>
          <w:color w:val="auto"/>
        </w:rPr>
      </w:pPr>
    </w:p>
    <w:p>
      <w:pPr>
        <w:ind w:right="280" w:firstLine="506"/>
        <w:spacing w:after="0" w:line="278" w:lineRule="auto"/>
        <w:rPr>
          <w:sz w:val="20"/>
          <w:szCs w:val="20"/>
          <w:color w:val="auto"/>
        </w:rPr>
      </w:pPr>
      <w:r>
        <w:rPr>
          <w:rFonts w:ascii="Arial" w:cs="Arial" w:eastAsia="Arial" w:hAnsi="Arial"/>
          <w:sz w:val="14"/>
          <w:szCs w:val="14"/>
          <w:color w:val="auto"/>
        </w:rPr>
        <w:t>Cumberland Pharmaceuticals Inc. has not filed a report on and attestation to its management's assessment of the effectiveness of its internal control over financial reporting under Section 404(b) of the Sarbanes-Oxley Act (15 U.S.C. 7262(b)) by the registered public accounting firm that prepared and issued its audit report.</w:t>
      </w:r>
    </w:p>
    <w:p>
      <w:pPr>
        <w:spacing w:after="0" w:line="238" w:lineRule="exact"/>
        <w:rPr>
          <w:sz w:val="24"/>
          <w:szCs w:val="24"/>
          <w:color w:val="auto"/>
        </w:rPr>
      </w:pPr>
    </w:p>
    <w:p>
      <w:pPr>
        <w:ind w:right="100" w:firstLine="506"/>
        <w:spacing w:after="0" w:line="278" w:lineRule="auto"/>
        <w:rPr>
          <w:sz w:val="20"/>
          <w:szCs w:val="20"/>
          <w:color w:val="auto"/>
        </w:rPr>
      </w:pPr>
      <w:r>
        <w:rPr>
          <w:rFonts w:ascii="Arial" w:cs="Arial" w:eastAsia="Arial" w:hAnsi="Arial"/>
          <w:sz w:val="14"/>
          <w:szCs w:val="14"/>
          <w:color w:val="auto"/>
        </w:rPr>
        <w:t>The aggregate market value of common stock held by non-affiliates as of June 30, 2021 was $23,775,019. The number of shares of the registrant’s Common Stock, no par value, outstanding as of March 7, 2022 was 14,840,330.</w:t>
      </w:r>
    </w:p>
    <w:p>
      <w:pPr>
        <w:spacing w:after="0" w:line="224"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Certain information required in Part III of Form 10-K is incorporated by reference from the registrant’s Proxy Statement for its 2022 annual meeting of shareholders.</w:t>
      </w:r>
    </w:p>
    <w:p>
      <w:pPr>
        <w:spacing w:after="0" w:line="8" w:lineRule="exact"/>
        <w:rPr>
          <w:sz w:val="24"/>
          <w:szCs w:val="24"/>
          <w:color w:val="auto"/>
        </w:rPr>
      </w:pPr>
    </w:p>
    <w:p>
      <w:pPr>
        <w:ind w:left="196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246380</wp:posOffset>
            </wp:positionV>
            <wp:extent cx="71875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52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80" w:type="dxa"/>
            <w:vAlign w:val="bottom"/>
            <w:gridSpan w:val="5"/>
          </w:tcPr>
          <w:p>
            <w:pPr>
              <w:jc w:val="center"/>
              <w:ind w:right="1660"/>
              <w:spacing w:after="0"/>
              <w:rPr>
                <w:sz w:val="20"/>
                <w:szCs w:val="20"/>
                <w:color w:val="auto"/>
              </w:rPr>
            </w:pPr>
            <w:r>
              <w:rPr>
                <w:rFonts w:ascii="Arial" w:cs="Arial" w:eastAsia="Arial" w:hAnsi="Arial"/>
                <w:sz w:val="14"/>
                <w:szCs w:val="14"/>
                <w:b w:val="1"/>
                <w:bCs w:val="1"/>
                <w:color w:val="auto"/>
              </w:rPr>
              <w:t>CUMBERLAND PHARMACEUTICALS INC. AND SUBSIDIARIES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2"/>
        </w:trPr>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80" w:type="dxa"/>
            <w:vAlign w:val="bottom"/>
            <w:gridSpan w:val="3"/>
          </w:tcPr>
          <w:p>
            <w:pPr>
              <w:jc w:val="center"/>
              <w:ind w:right="2960"/>
              <w:spacing w:after="0"/>
              <w:rPr>
                <w:sz w:val="20"/>
                <w:szCs w:val="20"/>
                <w:color w:val="auto"/>
              </w:rPr>
            </w:pPr>
            <w:r>
              <w:rPr>
                <w:rFonts w:ascii="Arial" w:cs="Arial" w:eastAsia="Arial" w:hAnsi="Arial"/>
                <w:sz w:val="14"/>
                <w:szCs w:val="14"/>
                <w:color w:val="auto"/>
                <w:w w:val="93"/>
              </w:rPr>
              <w:t>Index</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58"/>
        </w:trPr>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20" w:type="dxa"/>
            <w:vAlign w:val="bottom"/>
            <w:gridSpan w:val="4"/>
          </w:tcPr>
          <w:p>
            <w:pPr>
              <w:spacing w:after="0"/>
              <w:rPr>
                <w:sz w:val="20"/>
                <w:szCs w:val="20"/>
                <w:color w:val="auto"/>
              </w:rPr>
            </w:pPr>
            <w:r>
              <w:rPr>
                <w:rFonts w:ascii="Arial" w:cs="Arial" w:eastAsia="Arial" w:hAnsi="Arial"/>
                <w:sz w:val="13"/>
                <w:szCs w:val="13"/>
                <w:b w:val="1"/>
                <w:bCs w:val="1"/>
                <w:color w:val="auto"/>
              </w:rPr>
              <w:t>Page Number</w:t>
            </w:r>
          </w:p>
        </w:tc>
      </w:tr>
      <w:tr>
        <w:trPr>
          <w:trHeight w:val="286"/>
        </w:trPr>
        <w:tc>
          <w:tcPr>
            <w:tcW w:w="60" w:type="dxa"/>
            <w:vAlign w:val="bottom"/>
          </w:tcPr>
          <w:p>
            <w:pPr>
              <w:spacing w:after="0"/>
              <w:rPr>
                <w:sz w:val="24"/>
                <w:szCs w:val="24"/>
                <w:color w:val="auto"/>
              </w:rPr>
            </w:pPr>
          </w:p>
        </w:tc>
        <w:tc>
          <w:tcPr>
            <w:tcW w:w="9600" w:type="dxa"/>
            <w:vAlign w:val="bottom"/>
            <w:gridSpan w:val="21"/>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PART I</w:t>
              </w:r>
            </w:hyperlink>
          </w:p>
        </w:tc>
        <w:tc>
          <w:tcPr>
            <w:tcW w:w="440" w:type="dxa"/>
            <w:vAlign w:val="bottom"/>
            <w:tcBorders>
              <w:top w:val="single" w:sz="8" w:color="auto"/>
            </w:tcBorders>
            <w:gridSpan w:val="2"/>
          </w:tcPr>
          <w:p>
            <w:pPr>
              <w:jc w:val="center"/>
              <w:ind w:left="230"/>
              <w:spacing w:after="0"/>
              <w:rPr>
                <w:rFonts w:ascii="Arial" w:cs="Arial" w:eastAsia="Arial" w:hAnsi="Arial"/>
                <w:sz w:val="14"/>
                <w:szCs w:val="14"/>
                <w:color w:val="0000FF"/>
                <w:w w:val="76"/>
              </w:rPr>
            </w:pPr>
            <w:hyperlink w:anchor="page2">
              <w:r>
                <w:rPr>
                  <w:rFonts w:ascii="Arial" w:cs="Arial" w:eastAsia="Arial" w:hAnsi="Arial"/>
                  <w:sz w:val="14"/>
                  <w:szCs w:val="14"/>
                  <w:color w:val="0000FF"/>
                  <w:w w:val="76"/>
                </w:rPr>
                <w:t>1</w:t>
              </w:r>
            </w:hyperlink>
          </w:p>
        </w:tc>
        <w:tc>
          <w:tcPr>
            <w:tcW w:w="3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5"/>
          </w:tcPr>
          <w:p>
            <w:pPr>
              <w:spacing w:after="0"/>
              <w:rPr>
                <w:rFonts w:ascii="Arial" w:cs="Arial" w:eastAsia="Arial" w:hAnsi="Arial"/>
                <w:sz w:val="14"/>
                <w:szCs w:val="14"/>
                <w:color w:val="0000FF"/>
                <w:w w:val="84"/>
              </w:rPr>
            </w:pPr>
            <w:hyperlink w:anchor="page3">
              <w:r>
                <w:rPr>
                  <w:rFonts w:ascii="Arial" w:cs="Arial" w:eastAsia="Arial" w:hAnsi="Arial"/>
                  <w:sz w:val="14"/>
                  <w:szCs w:val="14"/>
                  <w:color w:val="0000FF"/>
                  <w:w w:val="84"/>
                </w:rPr>
                <w:t>Item 1: Business</w:t>
              </w:r>
            </w:hyperlink>
          </w:p>
        </w:tc>
        <w:tc>
          <w:tcPr>
            <w:tcW w:w="8480" w:type="dxa"/>
            <w:vAlign w:val="bottom"/>
            <w:gridSpan w:val="15"/>
          </w:tcPr>
          <w:p>
            <w:pPr>
              <w:spacing w:after="0"/>
              <w:rPr>
                <w:sz w:val="18"/>
                <w:szCs w:val="18"/>
                <w:color w:val="auto"/>
              </w:rPr>
            </w:pPr>
          </w:p>
        </w:tc>
        <w:tc>
          <w:tcPr>
            <w:tcW w:w="440" w:type="dxa"/>
            <w:vAlign w:val="bottom"/>
            <w:gridSpan w:val="2"/>
          </w:tcPr>
          <w:p>
            <w:pPr>
              <w:jc w:val="center"/>
              <w:ind w:left="230"/>
              <w:spacing w:after="0"/>
              <w:rPr>
                <w:rFonts w:ascii="Arial" w:cs="Arial" w:eastAsia="Arial" w:hAnsi="Arial"/>
                <w:sz w:val="14"/>
                <w:szCs w:val="14"/>
                <w:color w:val="0000FF"/>
                <w:w w:val="76"/>
              </w:rPr>
            </w:pPr>
            <w:hyperlink w:anchor="page3">
              <w:r>
                <w:rPr>
                  <w:rFonts w:ascii="Arial" w:cs="Arial" w:eastAsia="Arial" w:hAnsi="Arial"/>
                  <w:sz w:val="14"/>
                  <w:szCs w:val="14"/>
                  <w:color w:val="0000FF"/>
                  <w:w w:val="76"/>
                </w:rPr>
                <w:t>1</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0000FF"/>
            </w:tcBorders>
            <w:gridSpan w:val="7"/>
          </w:tcPr>
          <w:p>
            <w:pPr>
              <w:spacing w:after="0"/>
              <w:rPr>
                <w:rFonts w:ascii="Arial" w:cs="Arial" w:eastAsia="Arial" w:hAnsi="Arial"/>
                <w:sz w:val="14"/>
                <w:szCs w:val="14"/>
                <w:color w:val="0000FF"/>
                <w:w w:val="88"/>
              </w:rPr>
            </w:pPr>
            <w:hyperlink w:anchor="page37">
              <w:r>
                <w:rPr>
                  <w:rFonts w:ascii="Arial" w:cs="Arial" w:eastAsia="Arial" w:hAnsi="Arial"/>
                  <w:sz w:val="14"/>
                  <w:szCs w:val="14"/>
                  <w:color w:val="0000FF"/>
                  <w:w w:val="88"/>
                </w:rPr>
                <w:t>Item 1A: Risk Factors</w:t>
              </w:r>
            </w:hyperlink>
          </w:p>
        </w:tc>
        <w:tc>
          <w:tcPr>
            <w:tcW w:w="8180" w:type="dxa"/>
            <w:vAlign w:val="bottom"/>
            <w:gridSpan w:val="13"/>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37">
              <w:r>
                <w:rPr>
                  <w:rFonts w:ascii="Arial" w:cs="Arial" w:eastAsia="Arial" w:hAnsi="Arial"/>
                  <w:sz w:val="12"/>
                  <w:szCs w:val="12"/>
                  <w:color w:val="0000FF"/>
                  <w:w w:val="74"/>
                </w:rPr>
                <w:t>35</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4"/>
                <w:szCs w:val="14"/>
                <w:color w:val="0000FF"/>
              </w:rPr>
            </w:pPr>
            <w:hyperlink w:anchor="page60">
              <w:r>
                <w:rPr>
                  <w:rFonts w:ascii="Arial" w:cs="Arial" w:eastAsia="Arial" w:hAnsi="Arial"/>
                  <w:sz w:val="14"/>
                  <w:szCs w:val="14"/>
                  <w:color w:val="0000FF"/>
                </w:rPr>
                <w:t>Item 1B: Unresolved Staff Comments</w:t>
              </w:r>
            </w:hyperlink>
          </w:p>
        </w:tc>
        <w:tc>
          <w:tcPr>
            <w:tcW w:w="440" w:type="dxa"/>
            <w:vAlign w:val="bottom"/>
            <w:gridSpan w:val="2"/>
          </w:tcPr>
          <w:p>
            <w:pPr>
              <w:jc w:val="center"/>
              <w:ind w:left="230"/>
              <w:spacing w:after="0"/>
              <w:rPr>
                <w:rFonts w:ascii="Arial" w:cs="Arial" w:eastAsia="Arial" w:hAnsi="Arial"/>
                <w:sz w:val="14"/>
                <w:szCs w:val="14"/>
                <w:color w:val="0000FF"/>
                <w:w w:val="89"/>
              </w:rPr>
            </w:pPr>
            <w:hyperlink w:anchor="page60">
              <w:r>
                <w:rPr>
                  <w:rFonts w:ascii="Arial" w:cs="Arial" w:eastAsia="Arial" w:hAnsi="Arial"/>
                  <w:sz w:val="14"/>
                  <w:szCs w:val="14"/>
                  <w:color w:val="0000FF"/>
                  <w:w w:val="89"/>
                </w:rPr>
                <w:t>59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Borders>
              <w:top w:val="single" w:sz="8" w:color="0000FF"/>
            </w:tcBorders>
            <w:gridSpan w:val="13"/>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Item 2: Properties</w:t>
              </w:r>
            </w:hyperlink>
          </w:p>
        </w:tc>
        <w:tc>
          <w:tcPr>
            <w:tcW w:w="7300" w:type="dxa"/>
            <w:vAlign w:val="bottom"/>
            <w:gridSpan w:val="7"/>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2"/>
                <w:szCs w:val="12"/>
                <w:color w:val="0000FF"/>
                <w:w w:val="74"/>
              </w:rPr>
            </w:pPr>
            <w:hyperlink w:anchor="page61">
              <w:r>
                <w:rPr>
                  <w:rFonts w:ascii="Arial" w:cs="Arial" w:eastAsia="Arial" w:hAnsi="Arial"/>
                  <w:sz w:val="12"/>
                  <w:szCs w:val="12"/>
                  <w:color w:val="0000FF"/>
                  <w:w w:val="74"/>
                </w:rPr>
                <w:t>59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bottom w:val="single" w:sz="8" w:color="0000FF"/>
            </w:tcBorders>
            <w:gridSpan w:val="8"/>
          </w:tcPr>
          <w:p>
            <w:pPr>
              <w:spacing w:after="0"/>
              <w:rPr>
                <w:rFonts w:ascii="Arial" w:cs="Arial" w:eastAsia="Arial" w:hAnsi="Arial"/>
                <w:sz w:val="14"/>
                <w:szCs w:val="14"/>
                <w:color w:val="0000FF"/>
                <w:w w:val="87"/>
              </w:rPr>
            </w:pPr>
            <w:hyperlink w:anchor="page61">
              <w:r>
                <w:rPr>
                  <w:rFonts w:ascii="Arial" w:cs="Arial" w:eastAsia="Arial" w:hAnsi="Arial"/>
                  <w:sz w:val="14"/>
                  <w:szCs w:val="14"/>
                  <w:color w:val="0000FF"/>
                  <w:w w:val="87"/>
                </w:rPr>
                <w:t>Item 3: Legal Proceedings</w:t>
              </w:r>
            </w:hyperlink>
          </w:p>
        </w:tc>
        <w:tc>
          <w:tcPr>
            <w:tcW w:w="7940" w:type="dxa"/>
            <w:vAlign w:val="bottom"/>
            <w:gridSpan w:val="1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61">
              <w:r>
                <w:rPr>
                  <w:rFonts w:ascii="Arial" w:cs="Arial" w:eastAsia="Arial" w:hAnsi="Arial"/>
                  <w:sz w:val="12"/>
                  <w:szCs w:val="12"/>
                  <w:color w:val="0000FF"/>
                  <w:w w:val="74"/>
                </w:rPr>
                <w:t>59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Item 4. Mine Safety Disclosures</w:t>
              </w:r>
            </w:hyperlink>
          </w:p>
        </w:tc>
        <w:tc>
          <w:tcPr>
            <w:tcW w:w="440" w:type="dxa"/>
            <w:vAlign w:val="bottom"/>
            <w:gridSpan w:val="2"/>
          </w:tcPr>
          <w:p>
            <w:pPr>
              <w:jc w:val="center"/>
              <w:ind w:left="230"/>
              <w:spacing w:after="0"/>
              <w:rPr>
                <w:rFonts w:ascii="Arial" w:cs="Arial" w:eastAsia="Arial" w:hAnsi="Arial"/>
                <w:sz w:val="14"/>
                <w:szCs w:val="14"/>
                <w:color w:val="0000FF"/>
                <w:w w:val="89"/>
              </w:rPr>
            </w:pPr>
            <w:hyperlink w:anchor="page61">
              <w:r>
                <w:rPr>
                  <w:rFonts w:ascii="Arial" w:cs="Arial" w:eastAsia="Arial" w:hAnsi="Arial"/>
                  <w:sz w:val="14"/>
                  <w:szCs w:val="14"/>
                  <w:color w:val="0000FF"/>
                  <w:w w:val="89"/>
                </w:rPr>
                <w:t>59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480" w:type="dxa"/>
            <w:vAlign w:val="bottom"/>
            <w:tcBorders>
              <w:bottom w:val="single" w:sz="8" w:color="0000FF"/>
            </w:tcBorders>
            <w:gridSpan w:val="3"/>
          </w:tcPr>
          <w:p>
            <w:pPr>
              <w:spacing w:after="0"/>
              <w:rPr>
                <w:rFonts w:ascii="Arial" w:cs="Arial" w:eastAsia="Arial" w:hAnsi="Arial"/>
                <w:sz w:val="14"/>
                <w:szCs w:val="14"/>
                <w:color w:val="0000FF"/>
                <w:w w:val="93"/>
              </w:rPr>
            </w:pPr>
            <w:hyperlink w:anchor="page61">
              <w:r>
                <w:rPr>
                  <w:rFonts w:ascii="Arial" w:cs="Arial" w:eastAsia="Arial" w:hAnsi="Arial"/>
                  <w:sz w:val="14"/>
                  <w:szCs w:val="14"/>
                  <w:color w:val="0000FF"/>
                  <w:w w:val="93"/>
                </w:rPr>
                <w:t>PART II</w:t>
              </w:r>
            </w:hyperlink>
          </w:p>
        </w:tc>
        <w:tc>
          <w:tcPr>
            <w:tcW w:w="9120" w:type="dxa"/>
            <w:vAlign w:val="bottom"/>
            <w:gridSpan w:val="18"/>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61">
              <w:r>
                <w:rPr>
                  <w:rFonts w:ascii="Arial" w:cs="Arial" w:eastAsia="Arial" w:hAnsi="Arial"/>
                  <w:sz w:val="12"/>
                  <w:szCs w:val="12"/>
                  <w:color w:val="0000FF"/>
                  <w:w w:val="74"/>
                </w:rPr>
                <w:t>59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Borders>
              <w:bottom w:val="single" w:sz="8" w:color="0000FF"/>
            </w:tcBorders>
            <w:gridSpan w:val="19"/>
          </w:tcPr>
          <w:p>
            <w:pPr>
              <w:spacing w:after="0"/>
              <w:rPr>
                <w:rFonts w:ascii="Arial" w:cs="Arial" w:eastAsia="Arial" w:hAnsi="Arial"/>
                <w:sz w:val="14"/>
                <w:szCs w:val="14"/>
                <w:color w:val="0000FF"/>
                <w:w w:val="90"/>
              </w:rPr>
            </w:pPr>
            <w:hyperlink w:anchor="page61">
              <w:r>
                <w:rPr>
                  <w:rFonts w:ascii="Arial" w:cs="Arial" w:eastAsia="Arial" w:hAnsi="Arial"/>
                  <w:sz w:val="14"/>
                  <w:szCs w:val="14"/>
                  <w:color w:val="0000FF"/>
                  <w:w w:val="90"/>
                </w:rPr>
                <w:t>Item 5: Market for Registrant’s Common Equity, Related Stockholder Matters and Issuer Purchases of Equity Securities</w:t>
              </w:r>
            </w:hyperlink>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61">
              <w:r>
                <w:rPr>
                  <w:rFonts w:ascii="Arial" w:cs="Arial" w:eastAsia="Arial" w:hAnsi="Arial"/>
                  <w:sz w:val="12"/>
                  <w:szCs w:val="12"/>
                  <w:color w:val="0000FF"/>
                  <w:w w:val="74"/>
                </w:rPr>
                <w:t>59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0000FF"/>
            </w:tcBorders>
            <w:gridSpan w:val="6"/>
          </w:tcPr>
          <w:p>
            <w:pPr>
              <w:spacing w:after="0"/>
              <w:rPr>
                <w:rFonts w:ascii="Arial" w:cs="Arial" w:eastAsia="Arial" w:hAnsi="Arial"/>
                <w:sz w:val="14"/>
                <w:szCs w:val="14"/>
                <w:color w:val="0000FF"/>
                <w:w w:val="86"/>
              </w:rPr>
            </w:pPr>
            <w:hyperlink w:anchor="page62">
              <w:r>
                <w:rPr>
                  <w:rFonts w:ascii="Arial" w:cs="Arial" w:eastAsia="Arial" w:hAnsi="Arial"/>
                  <w:sz w:val="14"/>
                  <w:szCs w:val="14"/>
                  <w:color w:val="0000FF"/>
                  <w:w w:val="86"/>
                </w:rPr>
                <w:t>Item 6: Reserved</w:t>
              </w:r>
            </w:hyperlink>
          </w:p>
        </w:tc>
        <w:tc>
          <w:tcPr>
            <w:tcW w:w="8420" w:type="dxa"/>
            <w:vAlign w:val="bottom"/>
            <w:gridSpan w:val="14"/>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62">
              <w:r>
                <w:rPr>
                  <w:rFonts w:ascii="Arial" w:cs="Arial" w:eastAsia="Arial" w:hAnsi="Arial"/>
                  <w:sz w:val="12"/>
                  <w:szCs w:val="12"/>
                  <w:color w:val="0000FF"/>
                  <w:w w:val="74"/>
                </w:rPr>
                <w:t>61</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40" w:type="dxa"/>
            <w:vAlign w:val="bottom"/>
            <w:tcBorders>
              <w:bottom w:val="single" w:sz="8" w:color="0000FF"/>
            </w:tcBorders>
            <w:gridSpan w:val="18"/>
          </w:tcPr>
          <w:p>
            <w:pPr>
              <w:spacing w:after="0"/>
              <w:rPr>
                <w:rFonts w:ascii="Arial" w:cs="Arial" w:eastAsia="Arial" w:hAnsi="Arial"/>
                <w:sz w:val="14"/>
                <w:szCs w:val="14"/>
                <w:color w:val="0000FF"/>
                <w:w w:val="90"/>
              </w:rPr>
            </w:pPr>
            <w:hyperlink w:anchor="page63">
              <w:r>
                <w:rPr>
                  <w:rFonts w:ascii="Arial" w:cs="Arial" w:eastAsia="Arial" w:hAnsi="Arial"/>
                  <w:sz w:val="14"/>
                  <w:szCs w:val="14"/>
                  <w:color w:val="0000FF"/>
                  <w:w w:val="90"/>
                </w:rPr>
                <w:t>Item 7: Management’s Discussion and Analysis of Financial Condition and Results of Operations</w:t>
              </w:r>
            </w:hyperlink>
          </w:p>
        </w:tc>
        <w:tc>
          <w:tcPr>
            <w:tcW w:w="39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63">
              <w:r>
                <w:rPr>
                  <w:rFonts w:ascii="Arial" w:cs="Arial" w:eastAsia="Arial" w:hAnsi="Arial"/>
                  <w:sz w:val="12"/>
                  <w:szCs w:val="12"/>
                  <w:color w:val="0000FF"/>
                  <w:w w:val="74"/>
                </w:rPr>
                <w:t>61</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bottom w:val="single" w:sz="8" w:color="0000FF"/>
            </w:tcBorders>
            <w:gridSpan w:val="16"/>
          </w:tcPr>
          <w:p>
            <w:pPr>
              <w:spacing w:after="0"/>
              <w:rPr>
                <w:rFonts w:ascii="Arial" w:cs="Arial" w:eastAsia="Arial" w:hAnsi="Arial"/>
                <w:sz w:val="14"/>
                <w:szCs w:val="14"/>
                <w:color w:val="0000FF"/>
                <w:w w:val="91"/>
              </w:rPr>
            </w:pPr>
            <w:hyperlink w:anchor="page78">
              <w:r>
                <w:rPr>
                  <w:rFonts w:ascii="Arial" w:cs="Arial" w:eastAsia="Arial" w:hAnsi="Arial"/>
                  <w:sz w:val="14"/>
                  <w:szCs w:val="14"/>
                  <w:color w:val="0000FF"/>
                  <w:w w:val="91"/>
                </w:rPr>
                <w:t>Item 7A: Quantitative and Qualitative Disclosures About Market Risk</w:t>
              </w:r>
            </w:hyperlink>
          </w:p>
        </w:tc>
        <w:tc>
          <w:tcPr>
            <w:tcW w:w="548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78">
              <w:r>
                <w:rPr>
                  <w:rFonts w:ascii="Arial" w:cs="Arial" w:eastAsia="Arial" w:hAnsi="Arial"/>
                  <w:sz w:val="12"/>
                  <w:szCs w:val="12"/>
                  <w:color w:val="0000FF"/>
                  <w:w w:val="74"/>
                </w:rPr>
                <w:t>77</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Borders>
              <w:bottom w:val="single" w:sz="8" w:color="0000FF"/>
            </w:tcBorders>
            <w:gridSpan w:val="15"/>
          </w:tcPr>
          <w:p>
            <w:pPr>
              <w:spacing w:after="0"/>
              <w:rPr>
                <w:rFonts w:ascii="Arial" w:cs="Arial" w:eastAsia="Arial" w:hAnsi="Arial"/>
                <w:sz w:val="14"/>
                <w:szCs w:val="14"/>
                <w:color w:val="0000FF"/>
                <w:w w:val="88"/>
              </w:rPr>
            </w:pPr>
            <w:hyperlink w:anchor="page79">
              <w:r>
                <w:rPr>
                  <w:rFonts w:ascii="Arial" w:cs="Arial" w:eastAsia="Arial" w:hAnsi="Arial"/>
                  <w:sz w:val="14"/>
                  <w:szCs w:val="14"/>
                  <w:color w:val="0000FF"/>
                  <w:w w:val="88"/>
                </w:rPr>
                <w:t>Item 8: Financial Statements and Supplementary Data</w:t>
              </w:r>
            </w:hyperlink>
          </w:p>
        </w:tc>
        <w:tc>
          <w:tcPr>
            <w:tcW w:w="638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79">
              <w:r>
                <w:rPr>
                  <w:rFonts w:ascii="Arial" w:cs="Arial" w:eastAsia="Arial" w:hAnsi="Arial"/>
                  <w:sz w:val="12"/>
                  <w:szCs w:val="12"/>
                  <w:color w:val="0000FF"/>
                  <w:w w:val="74"/>
                </w:rPr>
                <w:t>77</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Item 9: Changes in and Disagreements with Accountants on Accounting and Financial Disclosure</w:t>
              </w:r>
            </w:hyperlink>
          </w:p>
        </w:tc>
        <w:tc>
          <w:tcPr>
            <w:tcW w:w="440" w:type="dxa"/>
            <w:vAlign w:val="bottom"/>
            <w:gridSpan w:val="2"/>
          </w:tcPr>
          <w:p>
            <w:pPr>
              <w:jc w:val="center"/>
              <w:ind w:left="230"/>
              <w:spacing w:after="0"/>
              <w:rPr>
                <w:rFonts w:ascii="Arial" w:cs="Arial" w:eastAsia="Arial" w:hAnsi="Arial"/>
                <w:sz w:val="14"/>
                <w:szCs w:val="14"/>
                <w:color w:val="0000FF"/>
                <w:w w:val="89"/>
              </w:rPr>
            </w:pPr>
            <w:hyperlink w:anchor="page79">
              <w:r>
                <w:rPr>
                  <w:rFonts w:ascii="Arial" w:cs="Arial" w:eastAsia="Arial" w:hAnsi="Arial"/>
                  <w:sz w:val="14"/>
                  <w:szCs w:val="14"/>
                  <w:color w:val="0000FF"/>
                  <w:w w:val="89"/>
                </w:rPr>
                <w:t>77</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Borders>
              <w:top w:val="single" w:sz="8" w:color="0000FF"/>
              <w:bottom w:val="single" w:sz="8" w:color="0000FF"/>
            </w:tcBorders>
            <w:gridSpan w:val="12"/>
          </w:tcPr>
          <w:p>
            <w:pPr>
              <w:spacing w:after="0"/>
              <w:rPr>
                <w:rFonts w:ascii="Arial" w:cs="Arial" w:eastAsia="Arial" w:hAnsi="Arial"/>
                <w:sz w:val="14"/>
                <w:szCs w:val="14"/>
                <w:color w:val="0000FF"/>
                <w:w w:val="88"/>
              </w:rPr>
            </w:pPr>
            <w:hyperlink w:anchor="page79">
              <w:r>
                <w:rPr>
                  <w:rFonts w:ascii="Arial" w:cs="Arial" w:eastAsia="Arial" w:hAnsi="Arial"/>
                  <w:sz w:val="14"/>
                  <w:szCs w:val="14"/>
                  <w:color w:val="0000FF"/>
                  <w:w w:val="88"/>
                </w:rPr>
                <w:t>Item 9A: Controls and Procedures</w:t>
              </w:r>
            </w:hyperlink>
          </w:p>
        </w:tc>
        <w:tc>
          <w:tcPr>
            <w:tcW w:w="3560" w:type="dxa"/>
            <w:vAlign w:val="bottom"/>
            <w:tcBorders>
              <w:top w:val="single" w:sz="8" w:color="0000FF"/>
            </w:tcBorders>
            <w:gridSpan w:val="6"/>
          </w:tcPr>
          <w:p>
            <w:pPr>
              <w:spacing w:after="0"/>
              <w:rPr>
                <w:sz w:val="18"/>
                <w:szCs w:val="18"/>
                <w:color w:val="auto"/>
              </w:rPr>
            </w:pPr>
          </w:p>
        </w:tc>
        <w:tc>
          <w:tcPr>
            <w:tcW w:w="39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2"/>
                <w:szCs w:val="12"/>
                <w:color w:val="0000FF"/>
                <w:w w:val="74"/>
              </w:rPr>
            </w:pPr>
            <w:hyperlink w:anchor="page79">
              <w:r>
                <w:rPr>
                  <w:rFonts w:ascii="Arial" w:cs="Arial" w:eastAsia="Arial" w:hAnsi="Arial"/>
                  <w:sz w:val="12"/>
                  <w:szCs w:val="12"/>
                  <w:color w:val="0000FF"/>
                  <w:w w:val="74"/>
                </w:rPr>
                <w:t>77</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0000FF"/>
            </w:tcBorders>
            <w:gridSpan w:val="9"/>
          </w:tcPr>
          <w:p>
            <w:pPr>
              <w:spacing w:after="0"/>
              <w:rPr>
                <w:rFonts w:ascii="Arial" w:cs="Arial" w:eastAsia="Arial" w:hAnsi="Arial"/>
                <w:sz w:val="14"/>
                <w:szCs w:val="14"/>
                <w:color w:val="0000FF"/>
                <w:w w:val="90"/>
              </w:rPr>
            </w:pPr>
            <w:hyperlink w:anchor="page80">
              <w:r>
                <w:rPr>
                  <w:rFonts w:ascii="Arial" w:cs="Arial" w:eastAsia="Arial" w:hAnsi="Arial"/>
                  <w:sz w:val="14"/>
                  <w:szCs w:val="14"/>
                  <w:color w:val="0000FF"/>
                  <w:w w:val="90"/>
                </w:rPr>
                <w:t>Item 9B: Other Information</w:t>
              </w:r>
            </w:hyperlink>
          </w:p>
        </w:tc>
        <w:tc>
          <w:tcPr>
            <w:tcW w:w="7860" w:type="dxa"/>
            <w:vAlign w:val="bottom"/>
            <w:gridSpan w:val="11"/>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80">
              <w:r>
                <w:rPr>
                  <w:rFonts w:ascii="Arial" w:cs="Arial" w:eastAsia="Arial" w:hAnsi="Arial"/>
                  <w:sz w:val="12"/>
                  <w:szCs w:val="12"/>
                  <w:color w:val="0000FF"/>
                  <w:w w:val="74"/>
                </w:rPr>
                <w:t>78</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4"/>
                <w:szCs w:val="14"/>
                <w:color w:val="0000FF"/>
              </w:rPr>
            </w:pPr>
            <w:hyperlink w:anchor="page80">
              <w:r>
                <w:rPr>
                  <w:rFonts w:ascii="Arial" w:cs="Arial" w:eastAsia="Arial" w:hAnsi="Arial"/>
                  <w:sz w:val="14"/>
                  <w:szCs w:val="14"/>
                  <w:u w:val="single" w:color="auto"/>
                  <w:color w:val="0000FF"/>
                </w:rPr>
                <w:t>Item</w:t>
              </w:r>
              <w:r>
                <w:rPr>
                  <w:rFonts w:ascii="Arial" w:cs="Arial" w:eastAsia="Arial" w:hAnsi="Arial"/>
                  <w:sz w:val="14"/>
                  <w:szCs w:val="14"/>
                  <w:color w:val="0000FF"/>
                </w:rPr>
                <w:t xml:space="preserve"> 9C: Disclosure Regarding Foreign </w:t>
              </w:r>
            </w:hyperlink>
            <w:r>
              <w:rPr>
                <w:rFonts w:ascii="Arial" w:cs="Arial" w:eastAsia="Arial" w:hAnsi="Arial"/>
                <w:sz w:val="14"/>
                <w:szCs w:val="14"/>
                <w:color w:val="0000FF"/>
              </w:rPr>
              <w:t xml:space="preserve">Jurisdictions </w:t>
            </w:r>
            <w:hyperlink w:anchor="page80">
              <w:r>
                <w:rPr>
                  <w:rFonts w:ascii="Arial" w:cs="Arial" w:eastAsia="Arial" w:hAnsi="Arial"/>
                  <w:sz w:val="14"/>
                  <w:szCs w:val="14"/>
                  <w:color w:val="0000FF"/>
                </w:rPr>
                <w:t>that Prevent Inspections</w:t>
              </w:r>
            </w:hyperlink>
          </w:p>
        </w:tc>
        <w:tc>
          <w:tcPr>
            <w:tcW w:w="440" w:type="dxa"/>
            <w:vAlign w:val="bottom"/>
            <w:gridSpan w:val="2"/>
          </w:tcPr>
          <w:p>
            <w:pPr>
              <w:jc w:val="center"/>
              <w:ind w:left="230"/>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78</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1"/>
        </w:trPr>
        <w:tc>
          <w:tcPr>
            <w:tcW w:w="60" w:type="dxa"/>
            <w:vAlign w:val="bottom"/>
          </w:tcPr>
          <w:p>
            <w:pPr>
              <w:spacing w:after="0"/>
              <w:rPr>
                <w:sz w:val="17"/>
                <w:szCs w:val="17"/>
                <w:color w:val="auto"/>
              </w:rPr>
            </w:pPr>
          </w:p>
        </w:tc>
        <w:tc>
          <w:tcPr>
            <w:tcW w:w="520" w:type="dxa"/>
            <w:vAlign w:val="bottom"/>
            <w:tcBorders>
              <w:bottom w:val="single" w:sz="8" w:color="0000FF"/>
            </w:tcBorders>
            <w:gridSpan w:val="4"/>
          </w:tcPr>
          <w:p>
            <w:pPr>
              <w:spacing w:after="0"/>
              <w:rPr>
                <w:rFonts w:ascii="Arial" w:cs="Arial" w:eastAsia="Arial" w:hAnsi="Arial"/>
                <w:sz w:val="14"/>
                <w:szCs w:val="14"/>
                <w:color w:val="0000FF"/>
                <w:w w:val="94"/>
              </w:rPr>
            </w:pPr>
            <w:hyperlink w:anchor="page80">
              <w:r>
                <w:rPr>
                  <w:rFonts w:ascii="Arial" w:cs="Arial" w:eastAsia="Arial" w:hAnsi="Arial"/>
                  <w:sz w:val="14"/>
                  <w:szCs w:val="14"/>
                  <w:color w:val="0000FF"/>
                  <w:w w:val="94"/>
                </w:rPr>
                <w:t>PART III</w:t>
              </w:r>
            </w:hyperlink>
          </w:p>
        </w:tc>
        <w:tc>
          <w:tcPr>
            <w:tcW w:w="908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2"/>
                <w:szCs w:val="12"/>
                <w:color w:val="0000FF"/>
                <w:w w:val="74"/>
              </w:rPr>
            </w:pPr>
            <w:hyperlink w:anchor="page80">
              <w:r>
                <w:rPr>
                  <w:rFonts w:ascii="Arial" w:cs="Arial" w:eastAsia="Arial" w:hAnsi="Arial"/>
                  <w:sz w:val="12"/>
                  <w:szCs w:val="12"/>
                  <w:color w:val="0000FF"/>
                  <w:w w:val="74"/>
                </w:rPr>
                <w:t>78</w:t>
              </w:r>
            </w:hyperlink>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9600" w:type="dxa"/>
            <w:vAlign w:val="bottom"/>
            <w:gridSpan w:val="21"/>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PART IV</w:t>
              </w:r>
            </w:hyperlink>
          </w:p>
        </w:tc>
        <w:tc>
          <w:tcPr>
            <w:tcW w:w="440" w:type="dxa"/>
            <w:vAlign w:val="bottom"/>
            <w:gridSpan w:val="2"/>
          </w:tcPr>
          <w:p>
            <w:pPr>
              <w:jc w:val="center"/>
              <w:ind w:left="230"/>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79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46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80" w:type="dxa"/>
            <w:vAlign w:val="bottom"/>
            <w:gridSpan w:val="20"/>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Item 15: Exhibits and Financial Statement Schedules</w:t>
              </w:r>
            </w:hyperlink>
          </w:p>
        </w:tc>
        <w:tc>
          <w:tcPr>
            <w:tcW w:w="440" w:type="dxa"/>
            <w:vAlign w:val="bottom"/>
            <w:gridSpan w:val="2"/>
          </w:tcPr>
          <w:p>
            <w:pPr>
              <w:jc w:val="center"/>
              <w:ind w:left="230"/>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79</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59"/>
        </w:trPr>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10"/>
          </w:tcPr>
          <w:p>
            <w:pPr>
              <w:spacing w:after="0" w:line="159" w:lineRule="exact"/>
              <w:rPr>
                <w:rFonts w:ascii="Arial" w:cs="Arial" w:eastAsia="Arial" w:hAnsi="Arial"/>
                <w:sz w:val="14"/>
                <w:szCs w:val="14"/>
                <w:color w:val="0000FF"/>
                <w:w w:val="90"/>
              </w:rPr>
            </w:pPr>
            <w:hyperlink w:anchor="page86">
              <w:r>
                <w:rPr>
                  <w:rFonts w:ascii="Arial" w:cs="Arial" w:eastAsia="Arial" w:hAnsi="Arial"/>
                  <w:sz w:val="14"/>
                  <w:szCs w:val="14"/>
                  <w:color w:val="0000FF"/>
                  <w:w w:val="90"/>
                </w:rPr>
                <w:t>Item 16: Form 10-K Summary</w:t>
              </w:r>
            </w:hyperlink>
          </w:p>
        </w:tc>
        <w:tc>
          <w:tcPr>
            <w:tcW w:w="1240" w:type="dxa"/>
            <w:vAlign w:val="bottom"/>
            <w:tcBorders>
              <w:top w:val="single" w:sz="8" w:color="0000FF"/>
            </w:tcBorders>
            <w:gridSpan w:val="4"/>
          </w:tcPr>
          <w:p>
            <w:pPr>
              <w:spacing w:after="0"/>
              <w:rPr>
                <w:sz w:val="13"/>
                <w:szCs w:val="13"/>
                <w:color w:val="auto"/>
              </w:rPr>
            </w:pPr>
          </w:p>
        </w:tc>
        <w:tc>
          <w:tcPr>
            <w:tcW w:w="6460" w:type="dxa"/>
            <w:vAlign w:val="bottom"/>
            <w:gridSpan w:val="6"/>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2"/>
                <w:szCs w:val="12"/>
                <w:color w:val="0000FF"/>
                <w:w w:val="74"/>
              </w:rPr>
            </w:pPr>
            <w:hyperlink w:anchor="page86">
              <w:r>
                <w:rPr>
                  <w:rFonts w:ascii="Arial" w:cs="Arial" w:eastAsia="Arial" w:hAnsi="Arial"/>
                  <w:sz w:val="12"/>
                  <w:szCs w:val="12"/>
                  <w:color w:val="0000FF"/>
                  <w:w w:val="74"/>
                </w:rPr>
                <w:t>85</w:t>
              </w:r>
            </w:hyperlink>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2"/>
        </w:trPr>
        <w:tc>
          <w:tcPr>
            <w:tcW w:w="60" w:type="dxa"/>
            <w:vAlign w:val="bottom"/>
          </w:tcPr>
          <w:p>
            <w:pPr>
              <w:spacing w:after="0"/>
              <w:rPr>
                <w:sz w:val="18"/>
                <w:szCs w:val="18"/>
                <w:color w:val="auto"/>
              </w:rPr>
            </w:pPr>
          </w:p>
        </w:tc>
        <w:tc>
          <w:tcPr>
            <w:tcW w:w="9600" w:type="dxa"/>
            <w:vAlign w:val="bottom"/>
            <w:gridSpan w:val="21"/>
          </w:tcPr>
          <w:p>
            <w:pPr>
              <w:spacing w:after="0"/>
              <w:rPr>
                <w:rFonts w:ascii="Arial" w:cs="Arial" w:eastAsia="Arial" w:hAnsi="Arial"/>
                <w:sz w:val="14"/>
                <w:szCs w:val="14"/>
                <w:color w:val="0000FF"/>
              </w:rPr>
            </w:pPr>
            <w:hyperlink w:anchor="page87">
              <w:r>
                <w:rPr>
                  <w:rFonts w:ascii="Arial" w:cs="Arial" w:eastAsia="Arial" w:hAnsi="Arial"/>
                  <w:sz w:val="14"/>
                  <w:szCs w:val="14"/>
                  <w:color w:val="0000FF"/>
                </w:rPr>
                <w:t>SIGNATURES</w:t>
              </w:r>
            </w:hyperlink>
          </w:p>
        </w:tc>
        <w:tc>
          <w:tcPr>
            <w:tcW w:w="440" w:type="dxa"/>
            <w:vAlign w:val="bottom"/>
            <w:gridSpan w:val="2"/>
          </w:tcPr>
          <w:p>
            <w:pPr>
              <w:jc w:val="center"/>
              <w:ind w:left="230"/>
              <w:spacing w:after="0"/>
              <w:rPr>
                <w:rFonts w:ascii="Arial" w:cs="Arial" w:eastAsia="Arial" w:hAnsi="Arial"/>
                <w:sz w:val="14"/>
                <w:szCs w:val="14"/>
                <w:color w:val="0000FF"/>
                <w:w w:val="89"/>
              </w:rPr>
            </w:pPr>
            <w:hyperlink w:anchor="page87">
              <w:r>
                <w:rPr>
                  <w:rFonts w:ascii="Arial" w:cs="Arial" w:eastAsia="Arial" w:hAnsi="Arial"/>
                  <w:sz w:val="14"/>
                  <w:szCs w:val="14"/>
                  <w:color w:val="0000FF"/>
                  <w:w w:val="89"/>
                </w:rPr>
                <w:t>85</w:t>
              </w:r>
            </w:hyperlink>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47"/>
        </w:trPr>
        <w:tc>
          <w:tcPr>
            <w:tcW w:w="6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9"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Business.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COMPANY</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primary target markets are hospital acute care, gastroenterology, rheumatology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and are establishing a network of international partners to register and provide our medicines to patients in their countries.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Our portfolio of brands approved for marketing by the U.S. Food and Drug Administration (“FDA”) includes:</w:t>
      </w:r>
    </w:p>
    <w:p>
      <w:pPr>
        <w:spacing w:after="0" w:line="56" w:lineRule="exact"/>
        <w:rPr>
          <w:sz w:val="20"/>
          <w:szCs w:val="20"/>
          <w:color w:val="auto"/>
        </w:rPr>
      </w:pPr>
    </w:p>
    <w:p>
      <w:pPr>
        <w:ind w:left="500" w:hanging="243"/>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Acetadote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acetylcysteine</w:t>
      </w:r>
      <w:r>
        <w:rPr>
          <w:rFonts w:ascii="Arial" w:cs="Arial" w:eastAsia="Arial" w:hAnsi="Arial"/>
          <w:sz w:val="14"/>
          <w:szCs w:val="14"/>
          <w:color w:val="auto"/>
        </w:rPr>
        <w:t>) injection, for the treatment of acetaminophen poisoning;</w:t>
      </w:r>
    </w:p>
    <w:p>
      <w:pPr>
        <w:spacing w:after="0" w:line="74" w:lineRule="exact"/>
        <w:rPr>
          <w:rFonts w:ascii="Arial" w:cs="Arial" w:eastAsia="Arial" w:hAnsi="Arial"/>
          <w:sz w:val="14"/>
          <w:szCs w:val="14"/>
          <w:color w:val="auto"/>
        </w:rPr>
      </w:pPr>
    </w:p>
    <w:p>
      <w:pPr>
        <w:ind w:left="500" w:hanging="243"/>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Caldolor</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ibuprofen</w:t>
      </w:r>
      <w:r>
        <w:rPr>
          <w:rFonts w:ascii="Arial" w:cs="Arial" w:eastAsia="Arial" w:hAnsi="Arial"/>
          <w:sz w:val="14"/>
          <w:szCs w:val="14"/>
          <w:color w:val="auto"/>
        </w:rPr>
        <w:t>) injection, for the treatment of pain and fever;</w:t>
      </w:r>
    </w:p>
    <w:p>
      <w:pPr>
        <w:spacing w:after="0" w:line="77" w:lineRule="exact"/>
        <w:rPr>
          <w:rFonts w:ascii="Arial" w:cs="Arial" w:eastAsia="Arial" w:hAnsi="Arial"/>
          <w:sz w:val="14"/>
          <w:szCs w:val="14"/>
          <w:color w:val="auto"/>
        </w:rPr>
      </w:pPr>
    </w:p>
    <w:p>
      <w:pPr>
        <w:ind w:left="500" w:hanging="243"/>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Kristalose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lactulose</w:t>
      </w:r>
      <w:r>
        <w:rPr>
          <w:rFonts w:ascii="Arial" w:cs="Arial" w:eastAsia="Arial" w:hAnsi="Arial"/>
          <w:sz w:val="14"/>
          <w:szCs w:val="14"/>
          <w:color w:val="auto"/>
        </w:rPr>
        <w:t>) for oral solution, a prescription laxative, for the treatment of constipation;</w:t>
      </w:r>
    </w:p>
    <w:p>
      <w:pPr>
        <w:spacing w:after="0" w:line="69" w:lineRule="exact"/>
        <w:rPr>
          <w:rFonts w:ascii="Arial" w:cs="Arial" w:eastAsia="Arial" w:hAnsi="Arial"/>
          <w:sz w:val="14"/>
          <w:szCs w:val="14"/>
          <w:color w:val="auto"/>
        </w:rPr>
      </w:pPr>
    </w:p>
    <w:p>
      <w:pPr>
        <w:ind w:left="500" w:hanging="243"/>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Omeclamox</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-Pak</w:t>
      </w:r>
      <w:r>
        <w:rPr>
          <w:rFonts w:ascii="Arial" w:cs="Arial" w:eastAsia="Arial" w:hAnsi="Arial"/>
          <w:sz w:val="14"/>
          <w:szCs w:val="14"/>
          <w:color w:val="auto"/>
        </w:rPr>
        <w:t>, (</w:t>
      </w:r>
      <w:r>
        <w:rPr>
          <w:rFonts w:ascii="Arial" w:cs="Arial" w:eastAsia="Arial" w:hAnsi="Arial"/>
          <w:sz w:val="14"/>
          <w:szCs w:val="14"/>
          <w:i w:val="1"/>
          <w:iCs w:val="1"/>
          <w:color w:val="auto"/>
        </w:rPr>
        <w:t>omeprazole, clarithromycin, amoxicillin</w:t>
      </w:r>
      <w:r>
        <w:rPr>
          <w:rFonts w:ascii="Arial" w:cs="Arial" w:eastAsia="Arial" w:hAnsi="Arial"/>
          <w:sz w:val="14"/>
          <w:szCs w:val="14"/>
          <w:color w:val="auto"/>
        </w:rPr>
        <w:t>) for the treatment of Helicobacter pylori (</w:t>
      </w:r>
      <w:r>
        <w:rPr>
          <w:rFonts w:ascii="Arial" w:cs="Arial" w:eastAsia="Arial" w:hAnsi="Arial"/>
          <w:sz w:val="14"/>
          <w:szCs w:val="14"/>
          <w:i w:val="1"/>
          <w:iCs w:val="1"/>
          <w:color w:val="auto"/>
        </w:rPr>
        <w:t>H. pylori</w:t>
      </w:r>
      <w:r>
        <w:rPr>
          <w:rFonts w:ascii="Arial" w:cs="Arial" w:eastAsia="Arial" w:hAnsi="Arial"/>
          <w:sz w:val="14"/>
          <w:szCs w:val="14"/>
          <w:color w:val="auto"/>
        </w:rPr>
        <w:t>) infection and related duodenal ulcer disease;</w:t>
      </w:r>
    </w:p>
    <w:p>
      <w:pPr>
        <w:spacing w:after="0" w:line="106" w:lineRule="exact"/>
        <w:rPr>
          <w:rFonts w:ascii="Arial" w:cs="Arial" w:eastAsia="Arial" w:hAnsi="Arial"/>
          <w:sz w:val="14"/>
          <w:szCs w:val="14"/>
          <w:color w:val="auto"/>
        </w:rPr>
      </w:pPr>
    </w:p>
    <w:p>
      <w:pPr>
        <w:ind w:left="500" w:hanging="243"/>
        <w:spacing w:after="0"/>
        <w:tabs>
          <w:tab w:leader="none" w:pos="500" w:val="left"/>
        </w:tabs>
        <w:numPr>
          <w:ilvl w:val="0"/>
          <w:numId w:val="1"/>
        </w:numPr>
        <w:rPr>
          <w:rFonts w:ascii="Arial" w:cs="Arial" w:eastAsia="Arial" w:hAnsi="Arial"/>
          <w:sz w:val="15"/>
          <w:szCs w:val="15"/>
          <w:b w:val="1"/>
          <w:bCs w:val="1"/>
          <w:color w:val="auto"/>
        </w:rPr>
      </w:pPr>
      <w:r>
        <w:rPr>
          <w:rFonts w:ascii="Arial" w:cs="Arial" w:eastAsia="Arial" w:hAnsi="Arial"/>
          <w:sz w:val="14"/>
          <w:szCs w:val="14"/>
          <w:b w:val="1"/>
          <w:bCs w:val="1"/>
          <w:color w:val="auto"/>
        </w:rPr>
        <w:t>RediTrex</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methotrexate</w:t>
      </w:r>
      <w:r>
        <w:rPr>
          <w:rFonts w:ascii="Arial" w:cs="Arial" w:eastAsia="Arial" w:hAnsi="Arial"/>
          <w:sz w:val="14"/>
          <w:szCs w:val="14"/>
          <w:color w:val="auto"/>
        </w:rPr>
        <w:t>) injection, for the treatment of active rheumatoid, juvenile idiopathic and severe psoriatic arthritis, as well as disabling psoriasis;</w:t>
      </w:r>
    </w:p>
    <w:p>
      <w:pPr>
        <w:spacing w:after="0" w:line="109" w:lineRule="exact"/>
        <w:rPr>
          <w:rFonts w:ascii="Arial" w:cs="Arial" w:eastAsia="Arial" w:hAnsi="Arial"/>
          <w:sz w:val="15"/>
          <w:szCs w:val="15"/>
          <w:b w:val="1"/>
          <w:bCs w:val="1"/>
          <w:color w:val="auto"/>
        </w:rPr>
      </w:pPr>
    </w:p>
    <w:p>
      <w:pPr>
        <w:ind w:left="500" w:hanging="243"/>
        <w:spacing w:after="0"/>
        <w:tabs>
          <w:tab w:leader="none" w:pos="500" w:val="left"/>
        </w:tabs>
        <w:numPr>
          <w:ilvl w:val="0"/>
          <w:numId w:val="1"/>
        </w:numPr>
        <w:rPr>
          <w:rFonts w:ascii="Arial" w:cs="Arial" w:eastAsia="Arial" w:hAnsi="Arial"/>
          <w:sz w:val="15"/>
          <w:szCs w:val="15"/>
          <w:color w:val="auto"/>
        </w:rPr>
      </w:pPr>
      <w:r>
        <w:rPr>
          <w:rFonts w:ascii="Arial" w:cs="Arial" w:eastAsia="Arial" w:hAnsi="Arial"/>
          <w:sz w:val="14"/>
          <w:szCs w:val="14"/>
          <w:b w:val="1"/>
          <w:bCs w:val="1"/>
          <w:color w:val="auto"/>
        </w:rPr>
        <w:t>Sancuso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granisetron)</w:t>
      </w:r>
      <w:r>
        <w:rPr>
          <w:rFonts w:ascii="Arial" w:cs="Arial" w:eastAsia="Arial" w:hAnsi="Arial"/>
          <w:sz w:val="14"/>
          <w:szCs w:val="14"/>
          <w:b w:val="1"/>
          <w:bCs w:val="1"/>
          <w:color w:val="auto"/>
        </w:rPr>
        <w:t xml:space="preserve"> </w:t>
      </w:r>
      <w:r>
        <w:rPr>
          <w:rFonts w:ascii="Arial" w:cs="Arial" w:eastAsia="Arial" w:hAnsi="Arial"/>
          <w:sz w:val="14"/>
          <w:szCs w:val="14"/>
          <w:color w:val="auto"/>
        </w:rPr>
        <w:t>transdermal system, for the prevention of nausea and vomiting in patients receiving certain types of chemotherapy treatment;</w:t>
      </w:r>
    </w:p>
    <w:p>
      <w:pPr>
        <w:spacing w:after="0" w:line="69" w:lineRule="exact"/>
        <w:rPr>
          <w:rFonts w:ascii="Arial" w:cs="Arial" w:eastAsia="Arial" w:hAnsi="Arial"/>
          <w:sz w:val="15"/>
          <w:szCs w:val="15"/>
          <w:color w:val="auto"/>
        </w:rPr>
      </w:pPr>
    </w:p>
    <w:p>
      <w:pPr>
        <w:ind w:left="500" w:hanging="243"/>
        <w:spacing w:after="0"/>
        <w:tabs>
          <w:tab w:leader="none" w:pos="50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Vaprisol</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conivaptan</w:t>
      </w:r>
      <w:r>
        <w:rPr>
          <w:rFonts w:ascii="Arial" w:cs="Arial" w:eastAsia="Arial" w:hAnsi="Arial"/>
          <w:sz w:val="14"/>
          <w:szCs w:val="14"/>
          <w:color w:val="auto"/>
        </w:rPr>
        <w:t>) injection, to raise serum sodium levels in hospitalized patients with euvolemic and hypervolemic hyponatremia; and</w:t>
      </w:r>
    </w:p>
    <w:p>
      <w:pPr>
        <w:spacing w:after="0" w:line="74" w:lineRule="exact"/>
        <w:rPr>
          <w:rFonts w:ascii="Arial" w:cs="Arial" w:eastAsia="Arial" w:hAnsi="Arial"/>
          <w:sz w:val="14"/>
          <w:szCs w:val="14"/>
          <w:b w:val="1"/>
          <w:bCs w:val="1"/>
          <w:color w:val="auto"/>
        </w:rPr>
      </w:pPr>
    </w:p>
    <w:p>
      <w:pPr>
        <w:ind w:left="520" w:hanging="263"/>
        <w:spacing w:after="0" w:line="23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Vibativ</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telavancin</w:t>
      </w:r>
      <w:r>
        <w:rPr>
          <w:rFonts w:ascii="Arial" w:cs="Arial" w:eastAsia="Arial" w:hAnsi="Arial"/>
          <w:sz w:val="14"/>
          <w:szCs w:val="14"/>
          <w:color w:val="auto"/>
        </w:rPr>
        <w:t>) injection, for the treatment of certain serious bacterial infections including hospital-acquired and ventilator-associated bacterial pneumonia, as well as complicated skin</w:t>
      </w:r>
      <w:r>
        <w:rPr>
          <w:rFonts w:ascii="Arial" w:cs="Arial" w:eastAsia="Arial" w:hAnsi="Arial"/>
          <w:sz w:val="14"/>
          <w:szCs w:val="14"/>
          <w:b w:val="1"/>
          <w:bCs w:val="1"/>
          <w:color w:val="auto"/>
        </w:rPr>
        <w:t xml:space="preserve"> </w:t>
      </w:r>
      <w:r>
        <w:rPr>
          <w:rFonts w:ascii="Arial" w:cs="Arial" w:eastAsia="Arial" w:hAnsi="Arial"/>
          <w:sz w:val="14"/>
          <w:szCs w:val="14"/>
          <w:color w:val="auto"/>
        </w:rPr>
        <w:t>and skin structure infections.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addition to these commercial brands, we have Phase II clinical programs underway evaluating our ifetroban product candidates for patients with cardiomyopathy associated with 1) </w:t>
      </w:r>
      <w:r>
        <w:rPr>
          <w:rFonts w:ascii="Arial" w:cs="Arial" w:eastAsia="Arial" w:hAnsi="Arial"/>
          <w:sz w:val="14"/>
          <w:szCs w:val="14"/>
          <w:i w:val="1"/>
          <w:iCs w:val="1"/>
          <w:color w:val="auto"/>
        </w:rPr>
        <w:t>Duchenne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Muscular Dystrophy </w:t>
      </w:r>
      <w:r>
        <w:rPr>
          <w:rFonts w:ascii="Arial" w:cs="Arial" w:eastAsia="Arial" w:hAnsi="Arial"/>
          <w:sz w:val="14"/>
          <w:szCs w:val="14"/>
          <w:color w:val="auto"/>
        </w:rPr>
        <w:t>(“DMD”), a fatal, genetic neuromuscular disease, 2)</w:t>
      </w:r>
      <w:r>
        <w:rPr>
          <w:rFonts w:ascii="Arial" w:cs="Arial" w:eastAsia="Arial" w:hAnsi="Arial"/>
          <w:sz w:val="14"/>
          <w:szCs w:val="14"/>
          <w:i w:val="1"/>
          <w:iCs w:val="1"/>
          <w:color w:val="auto"/>
        </w:rPr>
        <w:t xml:space="preserve"> Systemic Sclerosis </w:t>
      </w:r>
      <w:r>
        <w:rPr>
          <w:rFonts w:ascii="Arial" w:cs="Arial" w:eastAsia="Arial" w:hAnsi="Arial"/>
          <w:sz w:val="14"/>
          <w:szCs w:val="14"/>
          <w:color w:val="auto"/>
        </w:rPr>
        <w:t>(“SSc”) or scleroderma, a debilitating autoimmune disorder characterized by fibrosis of the skin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internal organs and 3) </w:t>
      </w:r>
      <w:r>
        <w:rPr>
          <w:rFonts w:ascii="Arial" w:cs="Arial" w:eastAsia="Arial" w:hAnsi="Arial"/>
          <w:sz w:val="14"/>
          <w:szCs w:val="14"/>
          <w:i w:val="1"/>
          <w:iCs w:val="1"/>
          <w:color w:val="auto"/>
        </w:rPr>
        <w:t>Aspirin-Exacerbated Respiratory Disease</w:t>
      </w:r>
      <w:r>
        <w:rPr>
          <w:rFonts w:ascii="Arial" w:cs="Arial" w:eastAsia="Arial" w:hAnsi="Arial"/>
          <w:sz w:val="14"/>
          <w:szCs w:val="14"/>
          <w:color w:val="auto"/>
        </w:rPr>
        <w:t xml:space="preserve"> (“AERD”), a severe form of asthma.</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Cumberland has built core competencies in both the development and commercialization of pharmaceutical products. We have established the capabilities needed to acquire, develop and commercialize branded pharmaceuticals in the U.S. and believe we can leverage this existing infrastructure to support our expected growth. Our management team consists of pharmaceutical industry veterans with experience in business development, product development, regulatory, manufacturing, sales, marketing and finance.</w:t>
      </w:r>
    </w:p>
    <w:p>
      <w:pPr>
        <w:spacing w:after="0" w:line="89"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Our business development team identifies, evaluates, and negotiates product acquisition, licensing and co- 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COVID-19 Pandemic</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early 2020, the U.S. declared a health care emergency following the outbreak of SARS-CoV-2, a novel strain of coronavirus that causes COVID-19, a respiratory illness. The Company has managed through the resulting pandemic, continuing to operate our business – keeping facilities open and our organization intact. We moved quickly to ensure the health and safety of our team. We also maintained our ongoing compliance with the many laws and regulations that apply to us as a publicly traded pharmaceutical company.</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Throughout the pandemic, Cumberland has faced the same challenges affecting other companies that rely on hospital admissions and patient visits to drive revenue. Our clinical studies were also impacted, as fewer patients sought elective surgeries and our access to medical facilities was substantially limited. We carefully monitored our supply chain, including the flow of raw materials and the batches of finished products emerging from the facilities that manufacture our products.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Several of our brands were negatively impacted by the lockdowns and postponement of physician office visits and elective procedures. However, we are fortunate to have a diversified product portfolio that includes other brands that have delivered a strong performance during the pandemic.</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Despite the challenges of operating during a pandemic, Cumberland has remained committed to our mission of providing innovative products that improve the quality of care for patients and address poorly met medical needs. We continued to build our portfolio of innovative and differentiated products through a multifaceted strategy that includes the development of new candidates and acquisition of established brands. Our resulting, diversified product line has enabled us to weather external challenges, while our team has remained responsive to the evolving medical market. We are prepared for and look forward to future opportunities to carry out our mission. Overall, we have been able to continue the delivery of our products while addressing the interests of our shareholders, employees, partners and community.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ESG Report</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July 2021, we released our second annual Sustainability Report (the “2020 Sustainability Report”), which details Cumberland’s activities pertaining to our environmental, social and governance (“ESG”) matters. After issuing our inaugural ESG Report the prior year (the “2019 Sustainability Report”), we remain committed to sustainability and to maintaining transparency of our corporate operations. As the largest biopharmaceutical company founded and headquartered in the Mid-South, we hold ourselves to the highest standards of ethical practices and understand the importance of recognizing and addressing our impact on our constituents, the community and the environment.</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2020 Sustainability Report notes that during that year we provided nearly 2.5 million patient doses of our products, safely disposed of over 4,000 pounds of expired and damaged products and had no product recalls. We also had no Company brands listed on the FDA’s MedWatch Safety Alerts for Human Medical Products, no Company product issues identified by the FDA’s Adverse Event Reporting System and no clinical trials terminated due to failure to practice good clinical standards.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2020 Sustainability Report also highlights our investment in our employees through our continuing education programs, employee development initiatives and employee recognition awards. We reported that women represented 46% of Cumberland’s workforce – and 18% of our employees were minorities.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We were incorporated in 1999 and have been headquartered in Nashville, Tennessee since inception. During 2009, we completed an initial public offering of our common shares and listing on the Nasdaq stock exchange. Our website address is </w:t>
      </w:r>
      <w:r>
        <w:rPr>
          <w:rFonts w:ascii="Arial" w:cs="Arial" w:eastAsia="Arial" w:hAnsi="Arial"/>
          <w:sz w:val="14"/>
          <w:szCs w:val="14"/>
          <w:i w:val="1"/>
          <w:iCs w:val="1"/>
          <w:color w:val="0000FF"/>
        </w:rPr>
        <w:t>www.cumberlandpharma.com</w:t>
      </w:r>
      <w:r>
        <w:rPr>
          <w:rFonts w:ascii="Arial" w:cs="Arial" w:eastAsia="Arial" w:hAnsi="Arial"/>
          <w:sz w:val="14"/>
          <w:szCs w:val="14"/>
          <w:color w:val="0000FF"/>
        </w:rPr>
        <w:t>.</w:t>
      </w:r>
      <w:r>
        <w:rPr>
          <w:rFonts w:ascii="Arial" w:cs="Arial" w:eastAsia="Arial" w:hAnsi="Arial"/>
          <w:sz w:val="14"/>
          <w:szCs w:val="14"/>
          <w:color w:val="auto"/>
        </w:rPr>
        <w:t xml:space="preserve"> Our Annual Reports (on Form 10-K), Quarterly Reports (on Form 10-Q), Current Reports (on Form 8-K) and all material press releases are available on our website as soon as reasonably practicable after their filing with the U.S. Securities and Exchange Commission, (“SEC”). These filings are also available to the public at </w:t>
      </w:r>
      <w:r>
        <w:rPr>
          <w:rFonts w:ascii="Arial" w:cs="Arial" w:eastAsia="Arial" w:hAnsi="Arial"/>
          <w:sz w:val="14"/>
          <w:szCs w:val="14"/>
          <w:i w:val="1"/>
          <w:iCs w:val="1"/>
          <w:color w:val="0000FF"/>
        </w:rPr>
        <w:t>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3"/>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PRODUCTS</w:t>
            </w: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06"/>
        </w:trPr>
        <w:tc>
          <w:tcPr>
            <w:tcW w:w="34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24"/>
                <w:szCs w:val="24"/>
                <w:color w:val="auto"/>
              </w:rPr>
            </w:pPr>
          </w:p>
        </w:tc>
        <w:tc>
          <w:tcPr>
            <w:tcW w:w="578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Indication</w:t>
            </w:r>
          </w:p>
        </w:tc>
        <w:tc>
          <w:tcPr>
            <w:tcW w:w="10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286"/>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Acetadote</w:t>
            </w:r>
            <w:r>
              <w:rPr>
                <w:rFonts w:ascii="Arial" w:cs="Arial" w:eastAsia="Arial" w:hAnsi="Arial"/>
                <w:sz w:val="18"/>
                <w:szCs w:val="18"/>
                <w:color w:val="auto"/>
                <w:vertAlign w:val="superscript"/>
              </w:rPr>
              <w:t>®</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Acetaminophen Poisoning</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r>
        <w:trPr>
          <w:trHeight w:val="179"/>
        </w:trPr>
        <w:tc>
          <w:tcPr>
            <w:tcW w:w="350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Caldolor</w:t>
            </w:r>
            <w:r>
              <w:rPr>
                <w:rFonts w:ascii="Arial" w:cs="Arial" w:eastAsia="Arial" w:hAnsi="Arial"/>
                <w:sz w:val="18"/>
                <w:szCs w:val="18"/>
                <w:color w:val="auto"/>
                <w:vertAlign w:val="superscript"/>
              </w:rPr>
              <w:t>®</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Pain and Fever</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r>
        <w:trPr>
          <w:trHeight w:val="179"/>
        </w:trPr>
        <w:tc>
          <w:tcPr>
            <w:tcW w:w="350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Kristalose</w:t>
            </w:r>
            <w:r>
              <w:rPr>
                <w:rFonts w:ascii="Arial" w:cs="Arial" w:eastAsia="Arial" w:hAnsi="Arial"/>
                <w:sz w:val="18"/>
                <w:szCs w:val="18"/>
                <w:color w:val="auto"/>
                <w:vertAlign w:val="superscript"/>
              </w:rPr>
              <w:t>®</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Chronic and Acute Constipation</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r>
        <w:trPr>
          <w:trHeight w:val="179"/>
        </w:trPr>
        <w:tc>
          <w:tcPr>
            <w:tcW w:w="350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Omeclamox</w:t>
            </w:r>
            <w:r>
              <w:rPr>
                <w:rFonts w:ascii="Arial" w:cs="Arial" w:eastAsia="Arial" w:hAnsi="Arial"/>
                <w:sz w:val="18"/>
                <w:szCs w:val="18"/>
                <w:color w:val="auto"/>
                <w:vertAlign w:val="superscript"/>
              </w:rPr>
              <w:t>®</w:t>
            </w:r>
            <w:r>
              <w:rPr>
                <w:rFonts w:ascii="Arial" w:cs="Arial" w:eastAsia="Arial" w:hAnsi="Arial"/>
                <w:sz w:val="14"/>
                <w:szCs w:val="14"/>
                <w:color w:val="auto"/>
              </w:rPr>
              <w:t>-Pak</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H. pylori Infection and Related Duodenal Ulcer Disease</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r>
        <w:trPr>
          <w:trHeight w:val="179"/>
        </w:trPr>
        <w:tc>
          <w:tcPr>
            <w:tcW w:w="350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RediTrex</w:t>
            </w:r>
            <w:r>
              <w:rPr>
                <w:rFonts w:ascii="Arial" w:cs="Arial" w:eastAsia="Arial" w:hAnsi="Arial"/>
                <w:sz w:val="18"/>
                <w:szCs w:val="18"/>
                <w:color w:val="auto"/>
                <w:vertAlign w:val="superscript"/>
              </w:rPr>
              <w:t>®</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Arthritis and Psoriasis</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r>
        <w:trPr>
          <w:trHeight w:val="179"/>
        </w:trPr>
        <w:tc>
          <w:tcPr>
            <w:tcW w:w="350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Sancuso</w:t>
            </w:r>
            <w:r>
              <w:rPr>
                <w:rFonts w:ascii="Arial" w:cs="Arial" w:eastAsia="Arial" w:hAnsi="Arial"/>
                <w:sz w:val="18"/>
                <w:szCs w:val="18"/>
                <w:color w:val="auto"/>
                <w:vertAlign w:val="superscript"/>
              </w:rPr>
              <w:t>®</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Nausea and Vomiting Associated with Chemotherapy</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r>
        <w:trPr>
          <w:trHeight w:val="179"/>
        </w:trPr>
        <w:tc>
          <w:tcPr>
            <w:tcW w:w="350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Vaprisol</w:t>
            </w:r>
            <w:r>
              <w:rPr>
                <w:rFonts w:ascii="Arial" w:cs="Arial" w:eastAsia="Arial" w:hAnsi="Arial"/>
                <w:sz w:val="18"/>
                <w:szCs w:val="18"/>
                <w:color w:val="auto"/>
                <w:vertAlign w:val="superscript"/>
              </w:rPr>
              <w:t>®</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Euvolemic and Hypervolemic Hyponatremia</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Vibativ</w:t>
            </w:r>
            <w:r>
              <w:rPr>
                <w:rFonts w:ascii="Arial" w:cs="Arial" w:eastAsia="Arial" w:hAnsi="Arial"/>
                <w:sz w:val="18"/>
                <w:szCs w:val="18"/>
                <w:color w:val="auto"/>
                <w:vertAlign w:val="superscript"/>
              </w:rPr>
              <w:t>®</w:t>
            </w:r>
          </w:p>
        </w:tc>
        <w:tc>
          <w:tcPr>
            <w:tcW w:w="5880" w:type="dxa"/>
            <w:vAlign w:val="bottom"/>
            <w:gridSpan w:val="2"/>
          </w:tcPr>
          <w:p>
            <w:pPr>
              <w:ind w:left="20"/>
              <w:spacing w:after="0"/>
              <w:rPr>
                <w:sz w:val="20"/>
                <w:szCs w:val="20"/>
                <w:color w:val="auto"/>
              </w:rPr>
            </w:pPr>
            <w:r>
              <w:rPr>
                <w:rFonts w:ascii="Arial" w:cs="Arial" w:eastAsia="Arial" w:hAnsi="Arial"/>
                <w:sz w:val="14"/>
                <w:szCs w:val="14"/>
                <w:color w:val="auto"/>
              </w:rPr>
              <w:t>Serious Bacterial Infections</w:t>
            </w: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Marketed</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Acetadote</w:t>
      </w:r>
      <w:r>
        <w:rPr>
          <w:rFonts w:ascii="Arial" w:cs="Arial" w:eastAsia="Arial" w:hAnsi="Arial"/>
          <w:sz w:val="18"/>
          <w:szCs w:val="18"/>
          <w:color w:val="auto"/>
          <w:vertAlign w:val="superscript"/>
        </w:rPr>
        <w:t>®</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Acetadote is an intravenous formulation of N-acetylcysteine, indicated for the treatment of liver toxicity associated with acetaminophen poisoning. Cumberland developed and obtained U.S. FDA approval for Acetadote, and then introduced the product through our hospital sales force.</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Acetadote is typically used in hospital emergency departments to prevent or lessen potential liver damage resulting from an overdose of acetaminophen, a common ingredient in many over-the-counter and prescription pain relieving and fever-reducing products. Acetaminophen overdose continues to be a leading cause of poisonings reported by hospital emergency departments in the U.S., and Acetadote has become a standard of care for treating this potentially life-threatening condition.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Acetadote received U.S. FDA approval as an orphan drug, which provided seven years of marketing exclusivity from the date of approval. That exclusivity has since expired.</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FDA's approval of Acetadote, we committed to certain post-marketing activities for the product. Completion of our first Phase IV commitment resulted in the FDA's approval of expanded labeling for the product for use in pediatric patients. Completion of our second Phase IV commitment resulted in further revised labeling for the product with FDA approval of additional safety data.</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Completion of our third and final Phase IV commitment culminated in the FDA’s approval of a new formulation for the product. The next generation formulation, contains no ethylene diamine tetracetic acid (“EDTA”) or other stabilization agent, chelating agent or preservative. Cumberland introduced this new Acetadote formulation replacing the original form of the product which we no longer manufacture.</w:t>
      </w:r>
    </w:p>
    <w:p>
      <w:pPr>
        <w:spacing w:after="0" w:line="78"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The FDA subsequently approved updated labeling for Acetadote revising the product's indication and providing new dosing guidance for specific patient populations. As a result, dosing guidance is now included for patients weighing over 100 kg, and new language was added to alert health care providers that, in certain clinical situations, therapy should be extended for some patients.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United States Patent and Trademark Office (the “USPTO”) issued us a series of patents associated with our Acetadote product. These patents are discussed in Part I, Item I – “</w:t>
      </w:r>
      <w:r>
        <w:rPr>
          <w:rFonts w:ascii="Arial" w:cs="Arial" w:eastAsia="Arial" w:hAnsi="Arial"/>
          <w:sz w:val="14"/>
          <w:szCs w:val="14"/>
          <w:i w:val="1"/>
          <w:iCs w:val="1"/>
          <w:color w:val="auto"/>
        </w:rPr>
        <w:t>Business -</w:t>
      </w:r>
      <w:r>
        <w:rPr>
          <w:rFonts w:ascii="Arial" w:cs="Arial" w:eastAsia="Arial" w:hAnsi="Arial"/>
          <w:sz w:val="14"/>
          <w:szCs w:val="14"/>
          <w:color w:val="auto"/>
        </w:rPr>
        <w:t xml:space="preserve"> </w:t>
      </w:r>
      <w:r>
        <w:rPr>
          <w:rFonts w:ascii="Arial" w:cs="Arial" w:eastAsia="Arial" w:hAnsi="Arial"/>
          <w:sz w:val="14"/>
          <w:szCs w:val="14"/>
          <w:i w:val="1"/>
          <w:iCs w:val="1"/>
          <w:color w:val="auto"/>
        </w:rPr>
        <w:t>Trademarks and Patents</w:t>
      </w:r>
      <w:r>
        <w:rPr>
          <w:rFonts w:ascii="Arial" w:cs="Arial" w:eastAsia="Arial" w:hAnsi="Arial"/>
          <w:sz w:val="14"/>
          <w:szCs w:val="14"/>
          <w:color w:val="auto"/>
        </w:rPr>
        <w:t>” - of this Form 10-K. The FDA has approved several abbreviated new drug applications (ANDA) filed by various generics companies referencing Acetadote. Those products</w:t>
      </w:r>
      <w:r>
        <w:rPr>
          <w:rFonts w:ascii="Arial" w:cs="Arial" w:eastAsia="Arial" w:hAnsi="Arial"/>
          <w:sz w:val="14"/>
          <w:szCs w:val="14"/>
          <w:i w:val="1"/>
          <w:iCs w:val="1"/>
          <w:color w:val="auto"/>
        </w:rPr>
        <w:t xml:space="preserve"> </w:t>
      </w:r>
      <w:r>
        <w:rPr>
          <w:rFonts w:ascii="Arial" w:cs="Arial" w:eastAsia="Arial" w:hAnsi="Arial"/>
          <w:sz w:val="14"/>
          <w:szCs w:val="14"/>
          <w:color w:val="auto"/>
        </w:rPr>
        <w:t>all possess the old formulation containing EDTA.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5" w:name="page6"/>
    <w:bookmarkEnd w:id="5"/>
    <w:p>
      <w:pPr>
        <w:jc w:val="both"/>
        <w:spacing w:after="0" w:line="278" w:lineRule="auto"/>
        <w:rPr>
          <w:sz w:val="20"/>
          <w:szCs w:val="20"/>
          <w:color w:val="auto"/>
        </w:rPr>
      </w:pPr>
      <w:r>
        <w:rPr>
          <w:rFonts w:ascii="Arial" w:cs="Arial" w:eastAsia="Arial" w:hAnsi="Arial"/>
          <w:sz w:val="14"/>
          <w:szCs w:val="14"/>
          <w:color w:val="auto"/>
        </w:rPr>
        <w:t>We entered into an agreement with Perrigo Company resulting in the distribution of our Authorized Generic acetylcysteine injection (our “Authorized Generic”) product. Both Acetadote and our Authorized Generic utilize the new, EDTA-free formulation.</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 Illinois judge issued a final ruling in favor of Cumberland Pharmaceuticals Inc. in a patent case associated with Acetadote. By ruling in Cumberland’s favor, the court upheld the validity of the patent that encompasses our EDTA-free formulation. The court also granted a permanent injunction preventing challengers from marketing a generic version of our proprietary Acetadote product formulation before the expiration of Cumberland’s patent in August 2025. An Appeals Court affirmed the District Court ruling in the Company's favor upholding Cumberland's Acetadote patent and expressly rejected the validity challenge.</w:t>
      </w:r>
    </w:p>
    <w:p>
      <w:pPr>
        <w:spacing w:after="0" w:line="93" w:lineRule="exact"/>
        <w:rPr>
          <w:sz w:val="20"/>
          <w:szCs w:val="20"/>
          <w:color w:val="auto"/>
        </w:rPr>
      </w:pPr>
    </w:p>
    <w:p>
      <w:pPr>
        <w:ind w:right="540"/>
        <w:spacing w:after="0" w:line="364" w:lineRule="auto"/>
        <w:rPr>
          <w:sz w:val="20"/>
          <w:szCs w:val="20"/>
          <w:color w:val="auto"/>
        </w:rPr>
      </w:pPr>
      <w:r>
        <w:rPr>
          <w:rFonts w:ascii="Arial" w:cs="Arial" w:eastAsia="Arial" w:hAnsi="Arial"/>
          <w:sz w:val="14"/>
          <w:szCs w:val="14"/>
          <w:color w:val="auto"/>
        </w:rPr>
        <w:t xml:space="preserve">During 2021, we continued to distribute our Acetadote brand, however our Authorized Generic product is now distributed through Padagis US LLC (formerly a division of Perrigo Company). </w:t>
      </w:r>
      <w:r>
        <w:rPr>
          <w:rFonts w:ascii="Arial" w:cs="Arial" w:eastAsia="Arial" w:hAnsi="Arial"/>
          <w:sz w:val="14"/>
          <w:szCs w:val="14"/>
          <w:b w:val="1"/>
          <w:bCs w:val="1"/>
          <w:i w:val="1"/>
          <w:iCs w:val="1"/>
          <w:color w:val="auto"/>
        </w:rPr>
        <w:t>Caldolor</w:t>
      </w:r>
      <w:r>
        <w:rPr>
          <w:rFonts w:ascii="Arial" w:cs="Arial" w:eastAsia="Arial" w:hAnsi="Arial"/>
          <w:sz w:val="18"/>
          <w:szCs w:val="18"/>
          <w:b w:val="1"/>
          <w:bCs w:val="1"/>
          <w:i w:val="1"/>
          <w:iCs w:val="1"/>
          <w:color w:val="auto"/>
          <w:vertAlign w:val="superscript"/>
        </w:rPr>
        <w:t>®</w:t>
      </w:r>
    </w:p>
    <w:p>
      <w:pPr>
        <w:spacing w:after="0" w:line="1"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Caldolor, our intravenous formulation of ibuprofen, was the first injectable product approved in the U.S. for the treatment of both pain and fever. We conducted a series of clinical studies in over 900 adult patients to develop the data to support our FDA submission for the product's registration. Following a priority review, the FDA approved Caldolor for marketing in the U.S..</w:t>
      </w:r>
    </w:p>
    <w:p>
      <w:pPr>
        <w:spacing w:after="0" w:line="5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 non-steroidal anti-inflammatory drug (“NSAID”), the product was indicated for use in adults as a sole treatment for the management of mild to moderate pain and for the management of moderate to severe pain as an adjunct to opioid analgesics. It was also the first FDA approved intravenous therapy for treating fever.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We then launched Caldolor and continue to promote the product in the U.S. through our hospital sales force.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completed a series of Phase IV studies to gather additional data to support our Caldolor product. Those clinical trials involved another 1,000 adult and pediatric patients. These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spacing w:after="0" w:line="89"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We then received FDA approval for the use of Caldolor in pediatric patients 6 months of age and older. Caldolor is the first and only injectable non-steroidal anti-inflammatory drug approved for use in children. We subsequently initiated a study to collect data on the use of Caldolor in children ranging in age from birth up to 6 months of age. Enrollment in that study was completed in 2019.</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early 2018, we completed and filed the application for FDA approval of a next generation Caldolor product featuring an improved presentation and formulation which was approved in January 2019. The new, premixed presentation provides healthcare professionals a formulation that is easy to administer, helping manage the treatment of patient pain and fever, while reducing opioid consumption. It is provided in a pre-mixed bag containing 800 mg of ibuprofen in a 200 mL patented low sodium formulation for injection that is ready to use. It is the first and only FDA-approved pre-mixed bag of ibuprofen. Caldolor is still available as an 800 mg/8mL single–dose vial for dilution in addition to the ready-to-use bag.</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In January 2020, we initiated a full-scale launch of this ready-to-use product. Unfortunately, the launch was impacted by the COVID-19 pandemic and the resulting postponement of elective surgeries.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Nonetheless, we expect an improved performance of the product after the pandemic abates and more accounts gain access to the new presentation.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2021, we distributed both the vial and the ready-to-use premixed bag presentations of Caldolor. In November 2021 the FDA approved our submission to expand the labeling for Caldolor to include administration of the product prior to surgery. During our clinical studies we found that the product delivered its best results when dosed prior to surgery, reducing both patient pain as well as their need for opiates.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Kristalose</w:t>
      </w:r>
      <w:r>
        <w:rPr>
          <w:rFonts w:ascii="Arial" w:cs="Arial" w:eastAsia="Arial" w:hAnsi="Arial"/>
          <w:sz w:val="18"/>
          <w:szCs w:val="18"/>
          <w:b w:val="1"/>
          <w:bCs w:val="1"/>
          <w:i w:val="1"/>
          <w:iCs w:val="1"/>
          <w:color w:val="auto"/>
          <w:vertAlign w:val="superscript"/>
        </w:rPr>
        <w:t>®</w:t>
      </w:r>
    </w:p>
    <w:p>
      <w:pPr>
        <w:spacing w:after="0" w:line="7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Kristalose is a prescription laxative administered orally for the treatment of acute and chronic constipation. An innovative, dry powder crystalline formulation of lactulose, Kristalose is designed to enhance patient acceptance and compliance. It is the only prescription laxative available in pre-measured powder packets.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Kristalose dissolves easily in 4 ounces of water, offering patients a virtually taste-free, grit-free and essentially calorie-free alternative to lactulose syrups. We conducted a preference study which indicated that 77% of patients surveyed prefer the taste, consistency and portability of Kristalose over similar products in syrup forms.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acquired the assets and exclusive rights to Kristalose through a series of transactions, then assembled a dedicated field sales force which re-launched the product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 Using preference data as a cornerstone of our marketing efforts, we repositioned the brand, enhancing patient affordability through a coupon program and expanded managed care coverage for the product.</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added a co-promotion partner, Poly Pharmaceuticals, who is promoting Kristalose to physician targets not covered by our field sales forces. We then added another partner, Foxland Pharmaceuticals, Inc., who is repackaging Kristalose and featuring it with additional new physician targets.</w:t>
      </w:r>
    </w:p>
    <w:p>
      <w:pPr>
        <w:spacing w:after="0" w:line="80" w:lineRule="exact"/>
        <w:rPr>
          <w:sz w:val="20"/>
          <w:szCs w:val="20"/>
          <w:color w:val="auto"/>
        </w:rPr>
      </w:pPr>
    </w:p>
    <w:p>
      <w:pPr>
        <w:ind w:right="1920"/>
        <w:spacing w:after="0" w:line="364" w:lineRule="auto"/>
        <w:rPr>
          <w:sz w:val="20"/>
          <w:szCs w:val="20"/>
          <w:color w:val="auto"/>
        </w:rPr>
      </w:pPr>
      <w:r>
        <w:rPr>
          <w:rFonts w:ascii="Arial" w:cs="Arial" w:eastAsia="Arial" w:hAnsi="Arial"/>
          <w:sz w:val="14"/>
          <w:szCs w:val="14"/>
          <w:color w:val="auto"/>
        </w:rPr>
        <w:t xml:space="preserve">During 2021 we continued to support Kristalose through our field sales force as well as our partnerships with Poly Pharmaceuticals and Foxland Pharmaceuticals, Inc. </w:t>
      </w:r>
      <w:r>
        <w:rPr>
          <w:rFonts w:ascii="Arial" w:cs="Arial" w:eastAsia="Arial" w:hAnsi="Arial"/>
          <w:sz w:val="14"/>
          <w:szCs w:val="14"/>
          <w:b w:val="1"/>
          <w:bCs w:val="1"/>
          <w:i w:val="1"/>
          <w:iCs w:val="1"/>
          <w:color w:val="auto"/>
        </w:rPr>
        <w:t>Omeclamox</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-Pak</w:t>
      </w:r>
    </w:p>
    <w:p>
      <w:pPr>
        <w:spacing w:after="0" w:line="1"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Many ulcers of the gastrointestinal tract are caused by an infection from the Helicobacter pylori (“H. pylori”) bacterium. Omeclamox-Pak is a branded prescription product used for the treatment of these infections and the related duodenal ulcer disease. This innovative product combines three well-known and widely prescribed medications: omeprazole, clarithromycin, and amoxicillin.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Omeclamox-Pak was the first FDA approved triple therapy combination medication to contain omeprazole as the proton pump inhibitor, which works to decrease the amount of acid the stomach produces. Clarithromycin and amoxicillin are both antibiotic agents that hinder the growth of the H. pylori bacteria. Interaction of these agents allows the stomach lining to heal effectively. The medications are packaged together on convenient daily dosing cards, making it simple to follow the twice a day dosing before meals.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We acquired the assets and exclusive rights to Omeclamox-Pak through a series of transactions and re-launched the product as a Cumberland brand supported by our field sales force.</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The packager for Omeclamox-Pak encountered financial difficulties in 2020 due to the impact of COVID-19, and their operations are currently suspended. As a result we depleted our inventory of the product and notified the FDA that the product is currently unavailable. We are awaiting resumption of those operations, while also exploring other alternatives to restart the product’s packaging.</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RediTrex</w:t>
      </w:r>
      <w:r>
        <w:rPr>
          <w:rFonts w:ascii="Arial" w:cs="Arial" w:eastAsia="Arial" w:hAnsi="Arial"/>
          <w:sz w:val="18"/>
          <w:szCs w:val="18"/>
          <w:b w:val="1"/>
          <w:bCs w:val="1"/>
          <w:i w:val="1"/>
          <w:iCs w:val="1"/>
          <w:color w:val="auto"/>
          <w:vertAlign w:val="superscript"/>
        </w:rPr>
        <w:t>®</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entered into an exclusive license and supply agreement to register and commercialize a methotrexate product line in the United States. RediTrex is a new line of pre-filled syringes specifically designed for ease of handling and dosing accuracy for the subcutaneous administration of methotrexate in patients with arthritis and psoriasis.</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RediTrex treats patients with severe, active rheumatoid arthritis, and polyarticular juvenile idiopathic arthritis who have difficulty tolerating or responding to orally delivered methotrexate. It is also approved for symptomatic control of severe, recalcitrant, disabling psoriasis in adults who are not adequately responsive to other forms of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2" w:right="319" w:bottom="1440" w:gutter="0" w:footer="0" w:header="0"/>
        </w:sectPr>
      </w:pPr>
    </w:p>
    <w:bookmarkStart w:id="7" w:name="page8"/>
    <w:bookmarkEnd w:id="7"/>
    <w:p>
      <w:pPr>
        <w:jc w:val="both"/>
        <w:spacing w:after="0" w:line="365" w:lineRule="auto"/>
        <w:rPr>
          <w:sz w:val="20"/>
          <w:szCs w:val="20"/>
          <w:color w:val="auto"/>
        </w:rPr>
      </w:pPr>
      <w:r>
        <w:rPr>
          <w:rFonts w:ascii="Arial" w:cs="Arial" w:eastAsia="Arial" w:hAnsi="Arial"/>
          <w:sz w:val="12"/>
          <w:szCs w:val="12"/>
          <w:color w:val="auto"/>
        </w:rPr>
        <w:t>With more than 54 million Americans living with some form of arthritis, the disease is among the most common causes of work disability in the U.S., according to the CDC. The oral form of methotrexate is typically the first line of treatment for rheumatoid arthritis. As the disease progresses, the dose must be increased to stay effective, often causing intolerable gastrointestinal side effects.</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Injectable methotrexate has been proven to be more effective than oral delivery, with fewer gastrointestinal reactions. Because of the increased efficacy and tolerability, injectable methotrexate can delay the need to move to costly biologics, lowering overall patient treatment costs. Once disease progression requires the use of biologics, continuing the treatment of injectable methotrexate along with the biologic has been shown to increase overall efficacy.</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Other injectable methotrexate options available may not optimally meet the needs of arthritis patients who are offered either a vial and syringe for self-injection, or the use of an expensive autoinjector. The vial and syringe method can be difficult for a patient to handle due to limited dexterity in their hands. Additionally, obtaining the exact dose needed while preventing skin exposure to the caustic methotrexate can be quite challenging for many patients. The autoinjectors provide a better alternative to the vial and syringe, but they remove injection control from the patient and can be painful to administer. They are also the most expensive methotrexate delivery.</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December 2019, we received FDA approval for RediTrex and began planning for a launch of the product line. In late 2020, we received initial product supplies and then provided shipments of RediTrex to select accounts. Due to the pandemic, we delayed the national launch of the product, which was then implemented during the fourth quarter of 2021.</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Sancuso</w:t>
      </w:r>
      <w:r>
        <w:rPr>
          <w:rFonts w:ascii="Arial" w:cs="Arial" w:eastAsia="Arial" w:hAnsi="Arial"/>
          <w:sz w:val="18"/>
          <w:szCs w:val="18"/>
          <w:b w:val="1"/>
          <w:bCs w:val="1"/>
          <w:i w:val="1"/>
          <w:iCs w:val="1"/>
          <w:color w:val="auto"/>
          <w:vertAlign w:val="superscript"/>
        </w:rPr>
        <w:t>®</w:t>
      </w:r>
    </w:p>
    <w:p>
      <w:pPr>
        <w:spacing w:after="0" w:line="73"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At the end of 2021, we entered into an agreement with Kyowa Kirin to acquire the U.S. assets and rights to Sancuso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(granisetron transdermal system), an FDA-approved oncology supportive care medicine. This transaction closed in January 2022.</w:t>
      </w:r>
    </w:p>
    <w:p>
      <w:pPr>
        <w:spacing w:after="0" w:line="101"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Sancuso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the first and only FDA-approved prescription patch for the prevention of nausea and vomiting in patients receiving certain types of chemotherapy treatment for their cancer. The active drug in Sancuso</w:t>
      </w:r>
      <w:r>
        <w:rPr>
          <w:rFonts w:ascii="Arial" w:cs="Arial" w:eastAsia="Arial" w:hAnsi="Arial"/>
          <w:sz w:val="18"/>
          <w:szCs w:val="18"/>
          <w:color w:val="auto"/>
          <w:vertAlign w:val="superscript"/>
        </w:rPr>
        <w:t>®</w:t>
      </w:r>
      <w:r>
        <w:rPr>
          <w:rFonts w:ascii="Arial" w:cs="Arial" w:eastAsia="Arial" w:hAnsi="Arial"/>
          <w:sz w:val="14"/>
          <w:szCs w:val="14"/>
          <w:color w:val="auto"/>
        </w:rPr>
        <w:t>,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early 2022 we assumed full commercial responsibility for the product in the U.S. – including its marketing, promotion, distribution, manufacturing, and medical support activities. Kyowa Kirin will retain international rights, continuing to deliver the product to address oncology patients’ needs throughout the rest of the world. In January 2022, we began shipments of the product and formed a new sales force, Cumberland Oncology, to support the brand.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Vaprisol</w:t>
      </w:r>
      <w:r>
        <w:rPr>
          <w:rFonts w:ascii="Arial" w:cs="Arial" w:eastAsia="Arial" w:hAnsi="Arial"/>
          <w:sz w:val="18"/>
          <w:szCs w:val="18"/>
          <w:b w:val="1"/>
          <w:bCs w:val="1"/>
          <w:i w:val="1"/>
          <w:iCs w:val="1"/>
          <w:color w:val="auto"/>
          <w:vertAlign w:val="superscript"/>
        </w:rPr>
        <w:t>®</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acquired the assets and rights to Vaprisol, a prescription brand indicated to raise serum sodium levels in hospitalized patients with euvolemic and hypervolemic hyponatremia. It is one of two branded prescription products indicated for the treatment of hyponatremia, and the only intravenously administered branded treatment.</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 Our Vaprisol product is one of two branded prescription products indicated for the treatment of hyponatremia, and the only intravenously administered branded treatment. It has a proven day-one response rate to normalize serum sodium levels in hyponatremic patients and move them out of the Intensive Care Unit as efficiently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14"/>
          <w:szCs w:val="14"/>
          <w:color w:val="auto"/>
        </w:rPr>
        <w:t>Vaprisol is supported by our hospital sales division. Demand for the product increased in 2020 during the pandemic, and we worked to support the expanded use of the product in hospitals and clinics during the health care crisis. During 2021, we shipped all remaining inventory of the product and have notified the FDA that supplies of the product are not currently available. We have transferred manufacturing of the product to a new manufacturing facility, and await the submission and FDA approval for the new facility before resuming shipments. We are also exploring alternatives for providing an interim supply to the market while awaiting the needed approval.</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Vibativ</w:t>
      </w:r>
      <w:r>
        <w:rPr>
          <w:rFonts w:ascii="Arial" w:cs="Arial" w:eastAsia="Arial" w:hAnsi="Arial"/>
          <w:sz w:val="18"/>
          <w:szCs w:val="18"/>
          <w:b w:val="1"/>
          <w:bCs w:val="1"/>
          <w:i w:val="1"/>
          <w:iCs w:val="1"/>
          <w:color w:val="auto"/>
          <w:vertAlign w:val="superscript"/>
        </w:rPr>
        <w:t>®</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November 2018, the Company announced an agreement to acquire the Vibativ assets and assume global responsibility for the brand including the related marketing, distribution, manufacturing and regulatory activities. In early 2021 we introduced the Cumberland-packaged product, which is supported by our hospital sales force.</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Vibativ is a patented, FDA-approved injectable anti-infective. It is designed to treat serious infections due to </w:t>
      </w:r>
      <w:r>
        <w:rPr>
          <w:rFonts w:ascii="Arial" w:cs="Arial" w:eastAsia="Arial" w:hAnsi="Arial"/>
          <w:sz w:val="14"/>
          <w:szCs w:val="14"/>
          <w:i w:val="1"/>
          <w:iCs w:val="1"/>
          <w:color w:val="auto"/>
        </w:rPr>
        <w:t>Staphylococcus aureus (S. aureus)</w:t>
      </w:r>
      <w:r>
        <w:rPr>
          <w:rFonts w:ascii="Arial" w:cs="Arial" w:eastAsia="Arial" w:hAnsi="Arial"/>
          <w:sz w:val="14"/>
          <w:szCs w:val="14"/>
          <w:color w:val="auto"/>
        </w:rPr>
        <w:t xml:space="preserve"> and other Gram-positive bacteria, including </w:t>
      </w:r>
      <w:r>
        <w:rPr>
          <w:rFonts w:ascii="Arial" w:cs="Arial" w:eastAsia="Arial" w:hAnsi="Arial"/>
          <w:sz w:val="14"/>
          <w:szCs w:val="14"/>
          <w:i w:val="1"/>
          <w:iCs w:val="1"/>
          <w:color w:val="auto"/>
        </w:rPr>
        <w:t xml:space="preserve">Methicillin-resistant Staphylococcus aureus (MRSA) </w:t>
      </w:r>
      <w:r>
        <w:rPr>
          <w:rFonts w:ascii="Arial" w:cs="Arial" w:eastAsia="Arial" w:hAnsi="Arial"/>
          <w:sz w:val="14"/>
          <w:szCs w:val="14"/>
          <w:color w:val="auto"/>
        </w:rPr>
        <w:t>and</w:t>
      </w:r>
      <w:r>
        <w:rPr>
          <w:rFonts w:ascii="Arial" w:cs="Arial" w:eastAsia="Arial" w:hAnsi="Arial"/>
          <w:sz w:val="14"/>
          <w:szCs w:val="14"/>
          <w:i w:val="1"/>
          <w:iCs w:val="1"/>
          <w:color w:val="auto"/>
        </w:rPr>
        <w:t xml:space="preserve"> Methicillin-sensitive Staphylococcus aureus (MSSA</w:t>
      </w:r>
      <w:r>
        <w:rPr>
          <w:rFonts w:ascii="Arial" w:cs="Arial" w:eastAsia="Arial" w:hAnsi="Arial"/>
          <w:sz w:val="14"/>
          <w:szCs w:val="14"/>
          <w:color w:val="auto"/>
        </w:rPr>
        <w:t>). Vibativ addresses a range of Gram-positive bacterial pathogens, including those that are considered</w:t>
      </w:r>
      <w:r>
        <w:rPr>
          <w:rFonts w:ascii="Arial" w:cs="Arial" w:eastAsia="Arial" w:hAnsi="Arial"/>
          <w:sz w:val="14"/>
          <w:szCs w:val="14"/>
          <w:i w:val="1"/>
          <w:iCs w:val="1"/>
          <w:color w:val="auto"/>
        </w:rPr>
        <w:t xml:space="preserve"> </w:t>
      </w:r>
      <w:r>
        <w:rPr>
          <w:rFonts w:ascii="Arial" w:cs="Arial" w:eastAsia="Arial" w:hAnsi="Arial"/>
          <w:sz w:val="14"/>
          <w:szCs w:val="14"/>
          <w:color w:val="auto"/>
        </w:rPr>
        <w:t>difficult-to-treat and multidrug-resistant.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Vibativ can serve as a potentially life-saving treatment in patients with hospital-acquired and ventilator-associated pneumonia resulting from infections including the flu and COVID-19.</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Pneumonia caused by secondary bacterial infections is common among patients with viral respiratory infections. The risk of such infections grows as hospitals see more patients with respiratory symptoms due to COVID-19. Research shows that hospital-acquired pneumonia (“HAP”) and ventilator-associated pneumonia (“VAP”) have historically accounted for 22% of common hospital-acquired infections. Methicillin-sensitive and methicillin-resistant </w:t>
      </w:r>
      <w:r>
        <w:rPr>
          <w:rFonts w:ascii="Arial" w:cs="Arial" w:eastAsia="Arial" w:hAnsi="Arial"/>
          <w:sz w:val="14"/>
          <w:szCs w:val="14"/>
          <w:i w:val="1"/>
          <w:iCs w:val="1"/>
          <w:color w:val="auto"/>
        </w:rPr>
        <w:t>S. aureus</w:t>
      </w:r>
      <w:r>
        <w:rPr>
          <w:rFonts w:ascii="Arial" w:cs="Arial" w:eastAsia="Arial" w:hAnsi="Arial"/>
          <w:sz w:val="14"/>
          <w:szCs w:val="14"/>
          <w:color w:val="auto"/>
        </w:rPr>
        <w:t xml:space="preserve"> (“MSSA” and “MRSA”) are important disease-causing pathogens in these cases.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While many recently introduced antibiotics are quickly losing the battle to fight the bacteria they were designed to kill because those bacteria have become drug-resistant, Vibativ was specifically designed to kill drug-resistant bacteria.</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molecule of an existing antibiotic to which bacteria had developed a resistance, vancomycin, was altered by adding a lipophilic (fat-loving) component and a hydrophilic (water-loving) component. The lipophilic addition increases Vibativ’s ability to penetrate the cell wall and inhibits the formation of new cell walls (the development of new and/or additional cell walls is the most common way that bacteria become resistant to drugs). The hydrophilic addition increases Vibativ’s penetration into tissue – so it is able to attack infections that are not reachable by other antibiotics. In comparison to vancomycin, Vibativ is 32 times more potent against MRSA strains when tested under in vitro conditions. Further, in clinical trials, Vibativ demonstrated superior cure rates of patients with hospital- acquired bacterial pneumonia.</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PIPELINE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Ifetroban Clinical Studies</w:t>
      </w:r>
    </w:p>
    <w:p>
      <w:pPr>
        <w:spacing w:after="0" w:line="117" w:lineRule="exact"/>
        <w:rPr>
          <w:sz w:val="20"/>
          <w:szCs w:val="20"/>
          <w:color w:val="auto"/>
        </w:rPr>
      </w:pPr>
    </w:p>
    <w:p>
      <w:pPr>
        <w:jc w:val="both"/>
        <w:ind w:firstLine="338"/>
        <w:spacing w:after="0" w:line="260" w:lineRule="auto"/>
        <w:rPr>
          <w:sz w:val="20"/>
          <w:szCs w:val="20"/>
          <w:color w:val="auto"/>
        </w:rPr>
      </w:pPr>
      <w:r>
        <w:rPr>
          <w:rFonts w:ascii="Arial" w:cs="Arial" w:eastAsia="Arial" w:hAnsi="Arial"/>
          <w:sz w:val="14"/>
          <w:szCs w:val="14"/>
          <w:color w:val="auto"/>
        </w:rPr>
        <w:t xml:space="preserve">Ifetroban is a selective thromboxane-prostanoid receptor (“TPr”) antagonist dosed in nearly 1,400 subjects and found to be safe and well tolerated in healthy volunteers and various patient populations. We are currently sponsoring a series of Phase II clinical programs to evaluate our ifetroban product candidates in 1) </w:t>
      </w:r>
      <w:r>
        <w:rPr>
          <w:rFonts w:ascii="Arial" w:cs="Arial" w:eastAsia="Arial" w:hAnsi="Arial"/>
          <w:sz w:val="14"/>
          <w:szCs w:val="14"/>
          <w:i w:val="1"/>
          <w:iCs w:val="1"/>
          <w:color w:val="auto"/>
        </w:rPr>
        <w:t>Aspirin-Exacerbated Respiratory Disease</w:t>
      </w:r>
      <w:r>
        <w:rPr>
          <w:rFonts w:ascii="Arial" w:cs="Arial" w:eastAsia="Arial" w:hAnsi="Arial"/>
          <w:sz w:val="14"/>
          <w:szCs w:val="14"/>
          <w:color w:val="auto"/>
        </w:rPr>
        <w:t xml:space="preserve">, a severe form of asthma, 2) </w:t>
      </w:r>
      <w:r>
        <w:rPr>
          <w:rFonts w:ascii="Arial" w:cs="Arial" w:eastAsia="Arial" w:hAnsi="Arial"/>
          <w:sz w:val="14"/>
          <w:szCs w:val="14"/>
          <w:i w:val="1"/>
          <w:iCs w:val="1"/>
          <w:color w:val="auto"/>
        </w:rPr>
        <w:t xml:space="preserve">Systemic Sclerosis </w:t>
      </w:r>
      <w:r>
        <w:rPr>
          <w:rFonts w:ascii="Arial" w:cs="Arial" w:eastAsia="Arial" w:hAnsi="Arial"/>
          <w:sz w:val="14"/>
          <w:szCs w:val="14"/>
          <w:color w:val="auto"/>
        </w:rPr>
        <w:t>or scleroderma, a debilitating autoimmune disorder characterized by diffuse fibrosis of the skin and internal organs and 3) patients with cardiomyopathy associated with</w:t>
      </w:r>
      <w:r>
        <w:rPr>
          <w:rFonts w:ascii="Arial" w:cs="Arial" w:eastAsia="Arial" w:hAnsi="Arial"/>
          <w:sz w:val="14"/>
          <w:szCs w:val="14"/>
          <w:i w:val="1"/>
          <w:iCs w:val="1"/>
          <w:color w:val="auto"/>
        </w:rPr>
        <w:t xml:space="preserve"> Duchenne Muscular Dystrophy</w:t>
      </w:r>
      <w:r>
        <w:rPr>
          <w:rFonts w:ascii="Arial" w:cs="Arial" w:eastAsia="Arial" w:hAnsi="Arial"/>
          <w:sz w:val="14"/>
          <w:szCs w:val="14"/>
          <w:color w:val="auto"/>
        </w:rPr>
        <w:t>, a genetic neuromuscular disease that results in deterioration of the skeletal, heart and lung muscles.</w:t>
      </w:r>
    </w:p>
    <w:p>
      <w:pPr>
        <w:spacing w:after="0" w:line="93" w:lineRule="exact"/>
        <w:rPr>
          <w:sz w:val="20"/>
          <w:szCs w:val="20"/>
          <w:color w:val="auto"/>
        </w:rPr>
      </w:pPr>
    </w:p>
    <w:p>
      <w:pPr>
        <w:jc w:val="both"/>
        <w:ind w:firstLine="374"/>
        <w:spacing w:after="0" w:line="265" w:lineRule="auto"/>
        <w:rPr>
          <w:sz w:val="20"/>
          <w:szCs w:val="20"/>
          <w:color w:val="auto"/>
        </w:rPr>
      </w:pPr>
      <w:r>
        <w:rPr>
          <w:rFonts w:ascii="Arial" w:cs="Arial" w:eastAsia="Arial" w:hAnsi="Arial"/>
          <w:sz w:val="14"/>
          <w:szCs w:val="14"/>
          <w:color w:val="auto"/>
        </w:rPr>
        <w:t>Enrollment in our clinical studies was interrupted due to the COVID-19 pandemic. However, many of our clinical study sites have reopened and resumed screening of patients for potential participation into our studies during 2021. We also closed unproductive sites and opened qualified replacements during the year. We are awaiting results from the studies underway before deciding on the best development path for the registration of ifetroban, our first new chemical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Follows is more information about the clinical programs in which we are evaluating ifetroban: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Aspirin-Exacerbated Respiratory Disease ("AERD")</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have completed the manufacturing and initiated clinical development of an oral formulation of ifetroban under the brand name Boxaban</w:t>
      </w:r>
      <w:r>
        <w:rPr>
          <w:rFonts w:ascii="Arial" w:cs="Arial" w:eastAsia="Arial" w:hAnsi="Arial"/>
          <w:sz w:val="17"/>
          <w:szCs w:val="17"/>
          <w:b w:val="1"/>
          <w:bCs w:val="1"/>
          <w:i w:val="1"/>
          <w:iCs w:val="1"/>
          <w:color w:val="auto"/>
          <w:vertAlign w:val="superscript"/>
        </w:rPr>
        <w:t>®</w:t>
      </w:r>
      <w:r>
        <w:rPr>
          <w:rFonts w:ascii="Arial" w:cs="Arial" w:eastAsia="Arial" w:hAnsi="Arial"/>
          <w:sz w:val="13"/>
          <w:szCs w:val="13"/>
          <w:color w:val="auto"/>
        </w:rPr>
        <w:t xml:space="preserve">. We are evaluating this candidate for patients suffering from </w:t>
      </w:r>
      <w:r>
        <w:rPr>
          <w:rFonts w:ascii="Arial" w:cs="Arial" w:eastAsia="Arial" w:hAnsi="Arial"/>
          <w:sz w:val="13"/>
          <w:szCs w:val="13"/>
          <w:i w:val="1"/>
          <w:iCs w:val="1"/>
          <w:color w:val="auto"/>
        </w:rPr>
        <w:t>Aspirin-Exacerbated Respiratory Disease</w:t>
      </w:r>
      <w:r>
        <w:rPr>
          <w:rFonts w:ascii="Arial" w:cs="Arial" w:eastAsia="Arial" w:hAnsi="Arial"/>
          <w:sz w:val="13"/>
          <w:szCs w:val="13"/>
          <w:color w:val="auto"/>
        </w:rPr>
        <w:t xml:space="preserve"> ("AERD"), also known as Samter’s Triad, a chronic medical condition that consists of three clinical features: asthma, sinus disease with nasal polyposis and sensitivity to aspirin. AERD is characterized by sharp increases in inflammatory mediators and platelet activity within the respiratory system. Approximately one in 20 asthmatic adults in the U.S. suffer from AERD and awareness of the disease is growing within the medical community. There is no U.S. approved pharmaceutical treatment for AERD.</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Preclinical studies at Harvard revealed that ifetroban blocks all features of the asthma reaction triggered by aspirin highlighting the important role of TPr in AERD. Our Harvard collaborators were awarded a $5 million National Institutes of Health grant to evaluate oral ifetroban in approximately 45 AERD patients undergoing aspirin desensitization in a phase II clinical trial. Patient enrollment in this trial is well underway.</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We completed an initial Phase II clinical study at several U.S. medical centers led by the Scripps Research Institute entitled, </w:t>
      </w:r>
      <w:r>
        <w:rPr>
          <w:rFonts w:ascii="Arial" w:cs="Arial" w:eastAsia="Arial" w:hAnsi="Arial"/>
          <w:sz w:val="14"/>
          <w:szCs w:val="14"/>
          <w:i w:val="1"/>
          <w:iCs w:val="1"/>
          <w:color w:val="auto"/>
        </w:rPr>
        <w:t>A Multicenter, Double-blind, Randomized, Placebo-Controlled Trial to</w:t>
      </w:r>
      <w:r>
        <w:rPr>
          <w:rFonts w:ascii="Arial" w:cs="Arial" w:eastAsia="Arial" w:hAnsi="Arial"/>
          <w:sz w:val="14"/>
          <w:szCs w:val="14"/>
          <w:color w:val="auto"/>
        </w:rPr>
        <w:t xml:space="preserve"> </w:t>
      </w:r>
      <w:r>
        <w:rPr>
          <w:rFonts w:ascii="Arial" w:cs="Arial" w:eastAsia="Arial" w:hAnsi="Arial"/>
          <w:sz w:val="14"/>
          <w:szCs w:val="14"/>
          <w:i w:val="1"/>
          <w:iCs w:val="1"/>
          <w:color w:val="auto"/>
        </w:rPr>
        <w:t>Determine the Safety of Oral Ifetroban in Patients with a History of AERD</w:t>
      </w:r>
      <w:r>
        <w:rPr>
          <w:rFonts w:ascii="Arial" w:cs="Arial" w:eastAsia="Arial" w:hAnsi="Arial"/>
          <w:sz w:val="14"/>
          <w:szCs w:val="14"/>
          <w:color w:val="auto"/>
        </w:rPr>
        <w:t>. That study randomized 16 subjects 3:1 (ifetroban: placebo), demonstrated no safety concerns and provided several signals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efficacy. A follow-on phase II study designed to evaluate the safety and efficacy of eight weeks of oral ifetroban entitled, </w:t>
      </w:r>
      <w:r>
        <w:rPr>
          <w:rFonts w:ascii="Arial" w:cs="Arial" w:eastAsia="Arial" w:hAnsi="Arial"/>
          <w:sz w:val="14"/>
          <w:szCs w:val="14"/>
          <w:i w:val="1"/>
          <w:iCs w:val="1"/>
          <w:color w:val="auto"/>
        </w:rPr>
        <w:t>A Phase 2 Multicenter, Double-blind, Randomized, Placebo- Controlled Trial</w:t>
      </w:r>
      <w:r>
        <w:rPr>
          <w:rFonts w:ascii="Arial" w:cs="Arial" w:eastAsia="Arial" w:hAnsi="Arial"/>
          <w:sz w:val="14"/>
          <w:szCs w:val="14"/>
          <w:color w:val="auto"/>
        </w:rPr>
        <w:t xml:space="preserve"> </w:t>
      </w:r>
      <w:r>
        <w:rPr>
          <w:rFonts w:ascii="Arial" w:cs="Arial" w:eastAsia="Arial" w:hAnsi="Arial"/>
          <w:sz w:val="14"/>
          <w:szCs w:val="14"/>
          <w:i w:val="1"/>
          <w:iCs w:val="1"/>
          <w:color w:val="auto"/>
        </w:rPr>
        <w:t>to Evaluate Oral Ifetroban in Subjects with Symptomatic Aspirin Exacerbated Respiratory Disease (AERD)</w:t>
      </w:r>
      <w:r>
        <w:rPr>
          <w:rFonts w:ascii="Arial" w:cs="Arial" w:eastAsia="Arial" w:hAnsi="Arial"/>
          <w:sz w:val="14"/>
          <w:szCs w:val="14"/>
          <w:color w:val="auto"/>
        </w:rPr>
        <w:t>, was then initiated. The study is progressing with patient enrollment ongoing at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U.S. sites.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Systemic Sclerosis ("SSc")</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Next, we initiated the clinical development of ifetroban oral capsules under the brand name Vasculan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w:t>
      </w:r>
      <w:r>
        <w:rPr>
          <w:rFonts w:ascii="Arial" w:cs="Arial" w:eastAsia="Arial" w:hAnsi="Arial"/>
          <w:sz w:val="13"/>
          <w:szCs w:val="13"/>
          <w:i w:val="1"/>
          <w:iCs w:val="1"/>
          <w:color w:val="auto"/>
        </w:rPr>
        <w:t>Systemic sclerosis</w:t>
      </w:r>
      <w:r>
        <w:rPr>
          <w:rFonts w:ascii="Arial" w:cs="Arial" w:eastAsia="Arial" w:hAnsi="Arial"/>
          <w:sz w:val="13"/>
          <w:szCs w:val="13"/>
          <w:color w:val="auto"/>
        </w:rPr>
        <w:t>, also called scleroderma. It’s a debilitating autoimmune disorder characterized by diffuse fibrosis of the skin and internal organs, including the heart, as well as vascular dysfunction. SSc has a high morbidity and the highest case-specific mortality of any rheumatic disorder with 50% of patients dying or developing major internal organ complications within three years of diagnosis. Although several medications are used to treat the skin disease associated with SSc, there is no universally effective treatment to improve the function of affected internal organs including the cardiovascular system.</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Cardiac involvement associated with SSc is often underestimated due to its subtle and atypical presentation. Despite the cardiovascular events associated with its elevated mortality at later stages of the disease, overt signs are suggestive of advance disease including myocardial or pericardial inflammation, heart failure and pulmonary arterial hypertension (PAH).</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Our Vanderbilt collaborators completed preclinical studies demonstrating TPr blockade with ifetroban prevents cardiac fibrosis and can restore cardiac function in animal models of PAH.</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 xml:space="preserve">The FDA cleared our IND application to evaluate 12 months of oral ifetroban (Vasculan) in a 34-subject phase II trial entitled, A </w:t>
      </w:r>
      <w:r>
        <w:rPr>
          <w:rFonts w:ascii="Arial" w:cs="Arial" w:eastAsia="Arial" w:hAnsi="Arial"/>
          <w:sz w:val="13"/>
          <w:szCs w:val="13"/>
          <w:i w:val="1"/>
          <w:iCs w:val="1"/>
          <w:color w:val="auto"/>
        </w:rPr>
        <w:t>Phase II Randomized, Double-Blind, Placebo-Controlled Study to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Assess the Safety and Efficacy of Ifetroban in Patients with Diffuse Cutaneous Systemic Sclerosis or Systemic Sclerosis-Associated Pulmonary Arterial Hypertension. </w:t>
      </w:r>
      <w:r>
        <w:rPr>
          <w:rFonts w:ascii="Arial" w:cs="Arial" w:eastAsia="Arial" w:hAnsi="Arial"/>
          <w:sz w:val="13"/>
          <w:szCs w:val="13"/>
          <w:color w:val="auto"/>
        </w:rPr>
        <w:t>Enrollment in this study is also</w:t>
      </w:r>
      <w:r>
        <w:rPr>
          <w:rFonts w:ascii="Arial" w:cs="Arial" w:eastAsia="Arial" w:hAnsi="Arial"/>
          <w:sz w:val="13"/>
          <w:szCs w:val="13"/>
          <w:i w:val="1"/>
          <w:iCs w:val="1"/>
          <w:color w:val="auto"/>
        </w:rPr>
        <w:t xml:space="preserve"> </w:t>
      </w:r>
      <w:r>
        <w:rPr>
          <w:rFonts w:ascii="Arial" w:cs="Arial" w:eastAsia="Arial" w:hAnsi="Arial"/>
          <w:sz w:val="13"/>
          <w:szCs w:val="13"/>
          <w:color w:val="auto"/>
        </w:rPr>
        <w:t>well underway and includes patients with diffuse cutaneous SSc, as well as those with pulmonary arterial hypertension associated with their SSc.</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Duchenne Muscular Dystrophy ("DMD")</w:t>
      </w:r>
    </w:p>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We also initiated the clinical development of oral ifetroban under the brand name Dyscorban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 the treatment of cardiomyopathy associated with </w:t>
      </w:r>
      <w:r>
        <w:rPr>
          <w:rFonts w:ascii="Arial" w:cs="Arial" w:eastAsia="Arial" w:hAnsi="Arial"/>
          <w:sz w:val="14"/>
          <w:szCs w:val="14"/>
          <w:i w:val="1"/>
          <w:iCs w:val="1"/>
          <w:color w:val="auto"/>
        </w:rPr>
        <w:t>Duchenne Muscular Dystrophy</w:t>
      </w:r>
      <w:r>
        <w:rPr>
          <w:rFonts w:ascii="Arial" w:cs="Arial" w:eastAsia="Arial" w:hAnsi="Arial"/>
          <w:sz w:val="14"/>
          <w:szCs w:val="14"/>
          <w:color w:val="auto"/>
        </w:rPr>
        <w:t xml:space="preserve"> (“DMD”), a rare and fatal disease caused by a genetic defect which leads to inexorable muscle damage. Cardiomyopathy is the leading cause of death in DMD patients. TPr and its ligand, isoprostanes, are found to have increased in DMD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10" w:name="page11"/>
    <w:bookmarkEnd w:id="10"/>
    <w:p>
      <w:pPr>
        <w:jc w:val="both"/>
        <w:spacing w:after="0" w:line="265" w:lineRule="auto"/>
        <w:rPr>
          <w:sz w:val="20"/>
          <w:szCs w:val="20"/>
          <w:color w:val="auto"/>
        </w:rPr>
      </w:pPr>
      <w:r>
        <w:rPr>
          <w:rFonts w:ascii="Arial" w:cs="Arial" w:eastAsia="Arial" w:hAnsi="Arial"/>
          <w:sz w:val="14"/>
          <w:szCs w:val="14"/>
          <w:color w:val="auto"/>
        </w:rPr>
        <w:t xml:space="preserve">Preclinical studies by our Vanderbilt collaborators demonstrated TPr blockade by ifetroban prevented cardiac dysfunction and improved mortality in several animal models of muscular dystrophy. These results published in the </w:t>
      </w:r>
      <w:r>
        <w:rPr>
          <w:rFonts w:ascii="Arial" w:cs="Arial" w:eastAsia="Arial" w:hAnsi="Arial"/>
          <w:sz w:val="14"/>
          <w:szCs w:val="14"/>
          <w:i w:val="1"/>
          <w:iCs w:val="1"/>
          <w:color w:val="auto"/>
        </w:rPr>
        <w:t>Journal of the American Heart Association</w:t>
      </w:r>
      <w:r>
        <w:rPr>
          <w:rFonts w:ascii="Arial" w:cs="Arial" w:eastAsia="Arial" w:hAnsi="Arial"/>
          <w:sz w:val="14"/>
          <w:szCs w:val="14"/>
          <w:color w:val="auto"/>
        </w:rPr>
        <w:t xml:space="preserve"> suggest TPr activation contributes to DMD cardiomyopathy and blockade with ifetroban may serve as a novel therapeutic for DMD patients.</w:t>
      </w:r>
    </w:p>
    <w:p>
      <w:pPr>
        <w:spacing w:after="0" w:line="7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 xml:space="preserve">The FDA cleared Cumberland’s application to evaluate 12 months of oral ifetroban (Dyscorban) in a Phase II study entitled, </w:t>
      </w:r>
      <w:r>
        <w:rPr>
          <w:rFonts w:ascii="Arial" w:cs="Arial" w:eastAsia="Arial" w:hAnsi="Arial"/>
          <w:sz w:val="13"/>
          <w:szCs w:val="13"/>
          <w:i w:val="1"/>
          <w:iCs w:val="1"/>
          <w:color w:val="auto"/>
        </w:rPr>
        <w:t>A Randomized, Double-Blind, Placebo-Controlled, Multiple Dose Study</w:t>
      </w:r>
      <w:r>
        <w:rPr>
          <w:rFonts w:ascii="Arial" w:cs="Arial" w:eastAsia="Arial" w:hAnsi="Arial"/>
          <w:sz w:val="13"/>
          <w:szCs w:val="13"/>
          <w:color w:val="auto"/>
        </w:rPr>
        <w:t xml:space="preserve"> </w:t>
      </w:r>
      <w:r>
        <w:rPr>
          <w:rFonts w:ascii="Arial" w:cs="Arial" w:eastAsia="Arial" w:hAnsi="Arial"/>
          <w:sz w:val="13"/>
          <w:szCs w:val="13"/>
          <w:i w:val="1"/>
          <w:iCs w:val="1"/>
          <w:color w:val="auto"/>
        </w:rPr>
        <w:t>with an Open-Label Extension to Determine the Safety, Pharmacokinetics and Efficacy of Oral Ifetroban in Subjects with Duchenne Muscular Dystrophy</w:t>
      </w:r>
      <w:r>
        <w:rPr>
          <w:rFonts w:ascii="Arial" w:cs="Arial" w:eastAsia="Arial" w:hAnsi="Arial"/>
          <w:sz w:val="13"/>
          <w:szCs w:val="13"/>
          <w:color w:val="auto"/>
        </w:rPr>
        <w:t>. With medical centers across the U.S.</w:t>
      </w:r>
      <w:r>
        <w:rPr>
          <w:rFonts w:ascii="Arial" w:cs="Arial" w:eastAsia="Arial" w:hAnsi="Arial"/>
          <w:sz w:val="13"/>
          <w:szCs w:val="13"/>
          <w:i w:val="1"/>
          <w:iCs w:val="1"/>
          <w:color w:val="auto"/>
        </w:rPr>
        <w:t xml:space="preserve"> </w:t>
      </w:r>
      <w:r>
        <w:rPr>
          <w:rFonts w:ascii="Arial" w:cs="Arial" w:eastAsia="Arial" w:hAnsi="Arial"/>
          <w:sz w:val="13"/>
          <w:szCs w:val="13"/>
          <w:color w:val="auto"/>
        </w:rPr>
        <w:t>screening patients, our clinical study is enrolling those with 48 ambulatory and non-ambulatory DMD, 7 years of age and older with stable cardiac function.</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Cumberland was awarded just over $1 million in federal funding to support this clinical trial, which is the first DMD clinical study awarded FDA Orphan Product Development funding. As a result of the COVID-19 pandemic and its global impact on clinical research in 2020, the FDA awarded a supplemental grant in support of our Phase II DMD study.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Progressive Fibrosing Interstitial Lung diseases (“PF-ILDs”)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September 2021, our Board of Directors approved a new clinical program for the use of ifetroban to treat </w:t>
      </w:r>
      <w:r>
        <w:rPr>
          <w:rFonts w:ascii="Arial" w:cs="Arial" w:eastAsia="Arial" w:hAnsi="Arial"/>
          <w:sz w:val="14"/>
          <w:szCs w:val="14"/>
          <w:i w:val="1"/>
          <w:iCs w:val="1"/>
          <w:color w:val="auto"/>
        </w:rPr>
        <w:t>Progressive Fibrosing Interstitial Lung Diseases</w:t>
      </w:r>
      <w:r>
        <w:rPr>
          <w:rFonts w:ascii="Arial" w:cs="Arial" w:eastAsia="Arial" w:hAnsi="Arial"/>
          <w:sz w:val="14"/>
          <w:szCs w:val="14"/>
          <w:color w:val="auto"/>
        </w:rPr>
        <w:t xml:space="preserve"> (“PF-ILDs”). Nonclinical studies are complete, and the resulting manuscript was prepared and submitted for publication in 2021. A Phase II clinical study is planned and an application to the FDA is in preparation to support this new clinical program.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Ifetroban Programs</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also completed Phase II clinical programs with ifetroban in patients with Hepatorenal Syndrome (“HRS”) and patients with Portal Hypertension (“PH”). Additional preclinical and pilot clinical studies of ifetroban are underway, including several investigator-initiated trials.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Hospital Product Candidate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 reducing agent for use in the hospital setting.</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completed a Phase I study which defined the pharmacokinetic properties and provided a favorable safety profile for this new product candidate. The study results and a proposed clinical development plan were discussed with the FDA. A Phase II study has been initiated and patient enrollment is complete. We have also completed the clinical study report, filed it with the FDA and are now determining the next steps for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GROWTH STRATEGY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Cumberland's growth strategy involves maximizing the potential of our existing brands while continuing to build a portfolio of differentiated products. We currently feature eight, including Sancuso, FDA products approved for sale in the United States. Through our international partners, we are also working to bring our medicines to patients in their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are supplementing these activities with the earlier stage drug development at Cumberland Emerging Technologies (“CET”), our majority-owned subsidiary. CET partners with academic research institutions to identify and support the progress of promising new product candidates, which Cumberland has the opportunity to further develop and commercialize.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Specifically, we are seeking long-term sustainable growth by:</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 xml:space="preserve">Supporting and expanding the use of our marketed products. </w:t>
      </w:r>
      <w:r>
        <w:rPr>
          <w:rFonts w:ascii="Arial" w:cs="Arial" w:eastAsia="Arial" w:hAnsi="Arial"/>
          <w:sz w:val="14"/>
          <w:szCs w:val="14"/>
          <w:color w:val="auto"/>
        </w:rPr>
        <w:t>We continue to evaluate our products following their FDA approval to determine if additional clinical data could expand their market</w:t>
      </w:r>
      <w:r>
        <w:rPr>
          <w:rFonts w:ascii="Arial" w:cs="Arial" w:eastAsia="Arial" w:hAnsi="Arial"/>
          <w:sz w:val="14"/>
          <w:szCs w:val="14"/>
          <w:b w:val="1"/>
          <w:bCs w:val="1"/>
          <w:color w:val="auto"/>
        </w:rPr>
        <w:t xml:space="preserve"> </w:t>
      </w:r>
      <w:r>
        <w:rPr>
          <w:rFonts w:ascii="Arial" w:cs="Arial" w:eastAsia="Arial" w:hAnsi="Arial"/>
          <w:sz w:val="14"/>
          <w:szCs w:val="14"/>
          <w:color w:val="auto"/>
        </w:rPr>
        <w:t>and use. We will continue to explore opportunities for label expansion to bring our products to new patient populations. As examples, we have secured pediatric approval, expanding the labeling for both our Acetadote and Caldolor brands.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Selectively adding complementary brands. </w:t>
      </w:r>
      <w:r>
        <w:rPr>
          <w:rFonts w:ascii="Arial" w:cs="Arial" w:eastAsia="Arial" w:hAnsi="Arial"/>
          <w:sz w:val="14"/>
          <w:szCs w:val="14"/>
          <w:color w:val="auto"/>
        </w:rPr>
        <w:t>In addition to our product development activities, we are also seeking to acquire products or late-stage development product candidates to continue to</w:t>
      </w:r>
      <w:r>
        <w:rPr>
          <w:rFonts w:ascii="Arial" w:cs="Arial" w:eastAsia="Arial" w:hAnsi="Arial"/>
          <w:sz w:val="14"/>
          <w:szCs w:val="14"/>
          <w:b w:val="1"/>
          <w:bCs w:val="1"/>
          <w:color w:val="auto"/>
        </w:rPr>
        <w:t xml:space="preserve"> </w:t>
      </w:r>
      <w:r>
        <w:rPr>
          <w:rFonts w:ascii="Arial" w:cs="Arial" w:eastAsia="Arial" w:hAnsi="Arial"/>
          <w:sz w:val="14"/>
          <w:szCs w:val="14"/>
          <w:color w:val="auto"/>
        </w:rPr>
        <w:t>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and Sancuso are examples of this strategy.</w:t>
      </w:r>
    </w:p>
    <w:p>
      <w:pPr>
        <w:spacing w:after="0" w:line="8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color w:val="auto"/>
        </w:rPr>
        <w:t xml:space="preserve">Progressing clinical pipeline and incubate future product opportunities at CET. </w:t>
      </w:r>
      <w:r>
        <w:rPr>
          <w:rFonts w:ascii="Arial" w:cs="Arial" w:eastAsia="Arial" w:hAnsi="Arial"/>
          <w:sz w:val="13"/>
          <w:szCs w:val="13"/>
          <w:color w:val="auto"/>
        </w:rPr>
        <w:t>We believe it is important to build a pipeline of innovative new product opportunities, as we are doing though our</w:t>
      </w:r>
      <w:r>
        <w:rPr>
          <w:rFonts w:ascii="Arial" w:cs="Arial" w:eastAsia="Arial" w:hAnsi="Arial"/>
          <w:sz w:val="13"/>
          <w:szCs w:val="13"/>
          <w:b w:val="1"/>
          <w:bCs w:val="1"/>
          <w:color w:val="auto"/>
        </w:rPr>
        <w:t xml:space="preserve"> </w:t>
      </w:r>
      <w:r>
        <w:rPr>
          <w:rFonts w:ascii="Arial" w:cs="Arial" w:eastAsia="Arial" w:hAnsi="Arial"/>
          <w:sz w:val="13"/>
          <w:szCs w:val="13"/>
          <w:color w:val="auto"/>
        </w:rPr>
        <w:t>ifetroban Phase II development programs. We are also supplementing our acquisitions and late-stage development activities with early-stage drug development activities with CET. CET partners with universities and other research organizations to develop promising, early-stage product candidates, which Cumberland has the opportunity to further develop and commercialize.</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 xml:space="preserve">Leveraging our infrastructure through co-promotion partnerships. </w:t>
      </w:r>
      <w:r>
        <w:rPr>
          <w:rFonts w:ascii="Arial" w:cs="Arial" w:eastAsia="Arial" w:hAnsi="Arial"/>
          <w:sz w:val="14"/>
          <w:szCs w:val="14"/>
          <w:color w:val="auto"/>
        </w:rPr>
        <w:t>We believe that our commercial infrastructure can help drive prescription volume and product sales. We look for strategic</w:t>
      </w:r>
      <w:r>
        <w:rPr>
          <w:rFonts w:ascii="Arial" w:cs="Arial" w:eastAsia="Arial" w:hAnsi="Arial"/>
          <w:sz w:val="14"/>
          <w:szCs w:val="14"/>
          <w:b w:val="1"/>
          <w:bCs w:val="1"/>
          <w:color w:val="auto"/>
        </w:rPr>
        <w:t xml:space="preserve"> </w:t>
      </w:r>
      <w:r>
        <w:rPr>
          <w:rFonts w:ascii="Arial" w:cs="Arial" w:eastAsia="Arial" w:hAnsi="Arial"/>
          <w:sz w:val="14"/>
          <w:szCs w:val="14"/>
          <w:color w:val="auto"/>
        </w:rPr>
        <w:t>partners that can complement our capabilities and enhance opportunities for our brands. For example, our co-promotion partnerships have allowed us to expand the support for Kristalose across the U.S.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Building an international contribution to our business. </w:t>
      </w:r>
      <w:r>
        <w:rPr>
          <w:rFonts w:ascii="Arial" w:cs="Arial" w:eastAsia="Arial" w:hAnsi="Arial"/>
          <w:sz w:val="14"/>
          <w:szCs w:val="14"/>
          <w:color w:val="auto"/>
        </w:rPr>
        <w:t>We have established our own commercial capabilities, including three sales divisions, to cover the U.S. market for our products. We are also</w:t>
      </w:r>
      <w:r>
        <w:rPr>
          <w:rFonts w:ascii="Arial" w:cs="Arial" w:eastAsia="Arial" w:hAnsi="Arial"/>
          <w:sz w:val="14"/>
          <w:szCs w:val="14"/>
          <w:b w:val="1"/>
          <w:bCs w:val="1"/>
          <w:color w:val="auto"/>
        </w:rPr>
        <w:t xml:space="preserve"> </w:t>
      </w:r>
      <w:r>
        <w:rPr>
          <w:rFonts w:ascii="Arial" w:cs="Arial" w:eastAsia="Arial" w:hAnsi="Arial"/>
          <w:sz w:val="14"/>
          <w:szCs w:val="14"/>
          <w:color w:val="auto"/>
        </w:rPr>
        <w:t>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8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b w:val="1"/>
          <w:bCs w:val="1"/>
          <w:color w:val="auto"/>
        </w:rPr>
        <w:t xml:space="preserve">Managing our operations with financial discipline. </w:t>
      </w:r>
      <w:r>
        <w:rPr>
          <w:rFonts w:ascii="Arial" w:cs="Arial" w:eastAsia="Arial" w:hAnsi="Arial"/>
          <w:sz w:val="14"/>
          <w:szCs w:val="14"/>
          <w:color w:val="auto"/>
        </w:rPr>
        <w:t>We continually work to manage our expenses in line with our revenues in order to deliver positive cash flow from operations. We remain in a</w:t>
      </w:r>
      <w:r>
        <w:rPr>
          <w:rFonts w:ascii="Arial" w:cs="Arial" w:eastAsia="Arial" w:hAnsi="Arial"/>
          <w:sz w:val="14"/>
          <w:szCs w:val="14"/>
          <w:b w:val="1"/>
          <w:bCs w:val="1"/>
          <w:color w:val="auto"/>
        </w:rPr>
        <w:t xml:space="preserve"> </w:t>
      </w:r>
      <w:r>
        <w:rPr>
          <w:rFonts w:ascii="Arial" w:cs="Arial" w:eastAsia="Arial" w:hAnsi="Arial"/>
          <w:sz w:val="14"/>
          <w:szCs w:val="14"/>
          <w:color w:val="auto"/>
        </w:rPr>
        <w:t>strong financial position, with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SALES AND MARKETING</w:t>
      </w:r>
    </w:p>
    <w:p>
      <w:pPr>
        <w:spacing w:after="0" w:line="149" w:lineRule="exact"/>
        <w:rPr>
          <w:sz w:val="20"/>
          <w:szCs w:val="20"/>
          <w:color w:val="auto"/>
        </w:rPr>
      </w:pPr>
    </w:p>
    <w:p>
      <w:pPr>
        <w:spacing w:after="0" w:line="346" w:lineRule="auto"/>
        <w:rPr>
          <w:sz w:val="20"/>
          <w:szCs w:val="20"/>
          <w:color w:val="auto"/>
        </w:rPr>
      </w:pPr>
      <w:r>
        <w:rPr>
          <w:rFonts w:ascii="Arial" w:cs="Arial" w:eastAsia="Arial" w:hAnsi="Arial"/>
          <w:sz w:val="13"/>
          <w:szCs w:val="13"/>
          <w:color w:val="auto"/>
        </w:rPr>
        <w:t>Cumberland's sales and marketing team has broad industry experience in selling branded pharmaceuticals. Our sales and marketing executives direct our national marketing campaigns and maintain key national account relationships. They also manage our dedicated hospital, field and oncology sales forces – which are comprised of approximately 60 sales professionals.</w:t>
      </w:r>
    </w:p>
    <w:p>
      <w:pPr>
        <w:spacing w:after="0" w:line="1"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b w:val="1"/>
          <w:bCs w:val="1"/>
          <w:i w:val="1"/>
          <w:iCs w:val="1"/>
          <w:color w:val="auto"/>
        </w:rPr>
        <w:t xml:space="preserve">Hospital market: </w:t>
      </w:r>
      <w:r>
        <w:rPr>
          <w:rFonts w:ascii="Arial" w:cs="Arial" w:eastAsia="Arial" w:hAnsi="Arial"/>
          <w:sz w:val="14"/>
          <w:szCs w:val="14"/>
          <w:color w:val="auto"/>
        </w:rPr>
        <w:t>We promote Caldolor, Vaprisol, Acetadote, and Vibativ through our dedicated hospital sales division. This organization targets key hospitals across the U.S. and is comprised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sales professionals with substantial experience in the hospital market. Independent market data continues to indicate that the majority of pharmaceutical promotional spending is directed toward large, outpatient markets on drugs intended for chronic use rather than short-term, hospital use.</w:t>
      </w:r>
    </w:p>
    <w:p>
      <w:pPr>
        <w:spacing w:after="0" w:line="78"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We believe the hospital market is under-served and highly concentrated, and that it can be penetrated effectively by a small, dedicated sales force without large-scale promotional activity. Our established position in the hospital market provided the rationale for adding Vibativ as our first infectious disease product that complements our hospital product line. Our strategy has been to focus our hospital sales team on select, high priority accounts.</w:t>
      </w:r>
    </w:p>
    <w:p>
      <w:pPr>
        <w:spacing w:after="0" w:line="57" w:lineRule="exact"/>
        <w:rPr>
          <w:sz w:val="20"/>
          <w:szCs w:val="20"/>
          <w:color w:val="auto"/>
        </w:rPr>
      </w:pPr>
    </w:p>
    <w:p>
      <w:pPr>
        <w:jc w:val="both"/>
        <w:ind w:left="520"/>
        <w:spacing w:after="0" w:line="329" w:lineRule="auto"/>
        <w:rPr>
          <w:sz w:val="20"/>
          <w:szCs w:val="20"/>
          <w:color w:val="auto"/>
        </w:rPr>
      </w:pPr>
      <w:r>
        <w:rPr>
          <w:rFonts w:ascii="Arial" w:cs="Arial" w:eastAsia="Arial" w:hAnsi="Arial"/>
          <w:sz w:val="12"/>
          <w:szCs w:val="12"/>
          <w:b w:val="1"/>
          <w:bCs w:val="1"/>
          <w:i w:val="1"/>
          <w:iCs w:val="1"/>
          <w:color w:val="auto"/>
        </w:rPr>
        <w:t xml:space="preserve">Gastroenterology and rheumatology market: </w:t>
      </w:r>
      <w:r>
        <w:rPr>
          <w:rFonts w:ascii="Arial" w:cs="Arial" w:eastAsia="Arial" w:hAnsi="Arial"/>
          <w:sz w:val="12"/>
          <w:szCs w:val="12"/>
          <w:color w:val="auto"/>
        </w:rPr>
        <w:t>We promote Kristalose, Omeclamox-Pak and RediTrex through a dedicated field sales team addressing a targeted group of physicians who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large prescribers of the products. Because the markets for gastrointestinal and rheumatology diseases are broad in patient scope, yet relatively narrow in physician base, we believe they provide opportunities that can be penetrated with a modest sized sales force. We believe that we can increase market share for these products through our sales and marketing activities.</w:t>
      </w:r>
    </w:p>
    <w:p>
      <w:pPr>
        <w:spacing w:after="0" w:line="23"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b w:val="1"/>
          <w:bCs w:val="1"/>
          <w:i w:val="1"/>
          <w:iCs w:val="1"/>
          <w:color w:val="auto"/>
        </w:rPr>
        <w:t xml:space="preserve">Oncology market: </w:t>
      </w:r>
      <w:r>
        <w:rPr>
          <w:rFonts w:ascii="Arial" w:cs="Arial" w:eastAsia="Arial" w:hAnsi="Arial"/>
          <w:sz w:val="14"/>
          <w:szCs w:val="14"/>
          <w:color w:val="auto"/>
        </w:rPr>
        <w:t>In early 2022, we formed a new oncology sales force to promote our Sancuso brand. This division is initially comprised of seven individuals who formerly supported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Sancuso for Kyowa Kirin. This organization targets key oncologists and clinics across the U.S. and is comprised of both insider and field based sales professionals. This initial group can be expanded through additional personnel or augmented through a co-promotion partner.</w:t>
      </w:r>
    </w:p>
    <w:p>
      <w:pPr>
        <w:spacing w:after="0" w:line="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commercial executives conduct ongoing analyses to evaluate marketing campaigns and promotional programs in support of our brands. The evaluations include development of product profiles, testing of the profiles against the needs of the market, determining what additional product information or development work is needed to effectively market the products and preparing financial forecasts.</w:t>
      </w:r>
    </w:p>
    <w:p>
      <w:pPr>
        <w:spacing w:after="0" w:line="78"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We utilize professional branding and packaging as well as promotional items to support our products, including direct mail, sales brochures, journal advertising, educational and reminder leave-behinds, patient educational pieces, coupons, and product sampling. We also regularly attend select medical meetings and trade shows to expand the awareness of our products.</w:t>
      </w:r>
    </w:p>
    <w:p>
      <w:pPr>
        <w:spacing w:after="0" w:line="5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Our national accounts team is responsible for key large buyers and related marketing programs. This team maintains relationships with our wholesaler customers as well as with third-party payors such as group purchasing organizations, pharmacy benefit managers, hospital buying groups, out-patient centers, state and federal government purchasers and health insurance companies.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CUSTOMERS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primary customers are wholesale pharmaceutical distributors in the United States. Total revenue by customer for each customer representing 10% or more of consolidated gross revenues are summarized below for the year ended December 31, 2021:</w:t>
      </w:r>
    </w:p>
    <w:p>
      <w:pPr>
        <w:spacing w:after="0" w:line="112" w:lineRule="exact"/>
        <w:rPr>
          <w:sz w:val="20"/>
          <w:szCs w:val="20"/>
          <w:color w:val="auto"/>
        </w:rPr>
      </w:pPr>
    </w:p>
    <w:tbl>
      <w:tblPr>
        <w:tblLayout w:type="fixed"/>
        <w:tblInd w:w="2920" w:type="dxa"/>
        <w:tblCellMar>
          <w:top w:w="0" w:type="dxa"/>
          <w:left w:w="0" w:type="dxa"/>
          <w:bottom w:w="0" w:type="dxa"/>
          <w:right w:w="0" w:type="dxa"/>
        </w:tblCellMar>
      </w:tblPr>
      <w:tr>
        <w:trPr>
          <w:trHeight w:val="167"/>
        </w:trPr>
        <w:tc>
          <w:tcPr>
            <w:tcW w:w="36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4"/>
                <w:szCs w:val="14"/>
                <w:color w:val="auto"/>
              </w:rPr>
            </w:pPr>
          </w:p>
        </w:tc>
      </w:tr>
      <w:tr>
        <w:trPr>
          <w:trHeight w:val="172"/>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1</w:t>
            </w:r>
          </w:p>
        </w:tc>
        <w:tc>
          <w:tcPr>
            <w:tcW w:w="160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4"/>
                <w:szCs w:val="14"/>
                <w:color w:val="auto"/>
              </w:rPr>
            </w:pPr>
          </w:p>
        </w:tc>
      </w:tr>
      <w:tr>
        <w:trPr>
          <w:trHeight w:val="179"/>
        </w:trPr>
        <w:tc>
          <w:tcPr>
            <w:tcW w:w="3600" w:type="dxa"/>
            <w:vAlign w:val="bottom"/>
          </w:tcPr>
          <w:p>
            <w:pPr>
              <w:ind w:left="20"/>
              <w:spacing w:after="0"/>
              <w:rPr>
                <w:sz w:val="20"/>
                <w:szCs w:val="20"/>
                <w:color w:val="auto"/>
              </w:rPr>
            </w:pPr>
            <w:r>
              <w:rPr>
                <w:rFonts w:ascii="Arial" w:cs="Arial" w:eastAsia="Arial" w:hAnsi="Arial"/>
                <w:sz w:val="14"/>
                <w:szCs w:val="14"/>
                <w:color w:val="auto"/>
              </w:rPr>
              <w:t>Customer 2</w:t>
            </w:r>
          </w:p>
        </w:tc>
        <w:tc>
          <w:tcPr>
            <w:tcW w:w="1600" w:type="dxa"/>
            <w:vAlign w:val="bottom"/>
          </w:tcPr>
          <w:p>
            <w:pPr>
              <w:jc w:val="right"/>
              <w:ind w:right="611"/>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5"/>
                <w:szCs w:val="15"/>
                <w:color w:val="auto"/>
              </w:rPr>
            </w:pPr>
          </w:p>
        </w:tc>
      </w:tr>
      <w:tr>
        <w:trPr>
          <w:trHeight w:val="17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3</w:t>
            </w:r>
          </w:p>
        </w:tc>
        <w:tc>
          <w:tcPr>
            <w:tcW w:w="160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INTERNATIONAL PARTNERSHIPS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We have established our own capabilities to support the commercialization of our products in the U.S. Our international strategy is to identify and partner with other companies that have the appropriate capabilities to support our products in their respective countries. We have entered into a series of agreements to establish an international network, which is summarized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600" w:type="dxa"/>
            <w:vAlign w:val="bottom"/>
          </w:tcPr>
          <w:p>
            <w:pPr>
              <w:spacing w:after="0"/>
              <w:rPr>
                <w:sz w:val="20"/>
                <w:szCs w:val="20"/>
                <w:color w:val="auto"/>
              </w:rPr>
            </w:pPr>
            <w:r>
              <w:rPr>
                <w:rFonts w:ascii="Arial" w:cs="Arial" w:eastAsia="Arial" w:hAnsi="Arial"/>
                <w:sz w:val="14"/>
                <w:szCs w:val="14"/>
                <w:color w:val="auto"/>
              </w:rPr>
              <w:t>and</w:t>
            </w:r>
          </w:p>
        </w:tc>
        <w:tc>
          <w:tcPr>
            <w:tcW w:w="1900" w:type="dxa"/>
            <w:vAlign w:val="bottom"/>
            <w:gridSpan w:val="2"/>
          </w:tcPr>
          <w:p>
            <w:pPr>
              <w:ind w:left="60"/>
              <w:spacing w:after="0"/>
              <w:rPr>
                <w:sz w:val="20"/>
                <w:szCs w:val="20"/>
                <w:color w:val="auto"/>
              </w:rPr>
            </w:pPr>
            <w:r>
              <w:rPr>
                <w:rFonts w:ascii="Arial" w:cs="Arial" w:eastAsia="Arial" w:hAnsi="Arial"/>
                <w:sz w:val="14"/>
                <w:szCs w:val="14"/>
                <w:color w:val="auto"/>
              </w:rPr>
              <w:t>includes</w:t>
            </w: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information</w:t>
            </w:r>
          </w:p>
        </w:tc>
        <w:tc>
          <w:tcPr>
            <w:tcW w:w="1800" w:type="dxa"/>
            <w:vAlign w:val="bottom"/>
          </w:tcPr>
          <w:p>
            <w:pPr>
              <w:ind w:left="820"/>
              <w:spacing w:after="0"/>
              <w:rPr>
                <w:sz w:val="20"/>
                <w:szCs w:val="20"/>
                <w:color w:val="auto"/>
              </w:rPr>
            </w:pPr>
            <w:r>
              <w:rPr>
                <w:rFonts w:ascii="Arial" w:cs="Arial" w:eastAsia="Arial" w:hAnsi="Arial"/>
                <w:sz w:val="14"/>
                <w:szCs w:val="14"/>
                <w:color w:val="auto"/>
              </w:rPr>
              <w:t>on</w:t>
            </w:r>
          </w:p>
        </w:tc>
        <w:tc>
          <w:tcPr>
            <w:tcW w:w="1520" w:type="dxa"/>
            <w:vAlign w:val="bottom"/>
          </w:tcPr>
          <w:p>
            <w:pPr>
              <w:ind w:left="600"/>
              <w:spacing w:after="0"/>
              <w:rPr>
                <w:sz w:val="20"/>
                <w:szCs w:val="20"/>
                <w:color w:val="auto"/>
              </w:rPr>
            </w:pPr>
            <w:r>
              <w:rPr>
                <w:rFonts w:ascii="Arial" w:cs="Arial" w:eastAsia="Arial" w:hAnsi="Arial"/>
                <w:sz w:val="14"/>
                <w:szCs w:val="14"/>
                <w:color w:val="auto"/>
              </w:rPr>
              <w:t>our</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primary</w:t>
            </w:r>
          </w:p>
        </w:tc>
        <w:tc>
          <w:tcPr>
            <w:tcW w:w="1720" w:type="dxa"/>
            <w:vAlign w:val="bottom"/>
            <w:gridSpan w:val="3"/>
          </w:tcPr>
          <w:p>
            <w:pPr>
              <w:ind w:left="1220"/>
              <w:spacing w:after="0"/>
              <w:rPr>
                <w:sz w:val="20"/>
                <w:szCs w:val="20"/>
                <w:color w:val="auto"/>
              </w:rPr>
            </w:pPr>
            <w:r>
              <w:rPr>
                <w:rFonts w:ascii="Arial" w:cs="Arial" w:eastAsia="Arial" w:hAnsi="Arial"/>
                <w:sz w:val="14"/>
                <w:szCs w:val="14"/>
                <w:color w:val="auto"/>
                <w:w w:val="86"/>
              </w:rPr>
              <w:t>partners:</w:t>
            </w:r>
          </w:p>
        </w:tc>
        <w:tc>
          <w:tcPr>
            <w:tcW w:w="0" w:type="dxa"/>
            <w:vAlign w:val="bottom"/>
          </w:tcPr>
          <w:p>
            <w:pPr>
              <w:spacing w:after="0"/>
              <w:rPr>
                <w:sz w:val="1"/>
                <w:szCs w:val="1"/>
                <w:color w:val="auto"/>
              </w:rPr>
            </w:pPr>
          </w:p>
        </w:tc>
      </w:tr>
      <w:tr>
        <w:trPr>
          <w:trHeight w:val="190"/>
        </w:trPr>
        <w:tc>
          <w:tcPr>
            <w:tcW w:w="3500" w:type="dxa"/>
            <w:vAlign w:val="bottom"/>
            <w:gridSpan w:val="3"/>
          </w:tcPr>
          <w:p>
            <w:pPr>
              <w:ind w:left="1040"/>
              <w:spacing w:after="0"/>
              <w:rPr>
                <w:sz w:val="20"/>
                <w:szCs w:val="20"/>
                <w:color w:val="auto"/>
              </w:rPr>
            </w:pPr>
            <w:r>
              <w:rPr>
                <w:rFonts w:ascii="Arial" w:cs="Arial" w:eastAsia="Arial" w:hAnsi="Arial"/>
                <w:sz w:val="14"/>
                <w:szCs w:val="14"/>
                <w:b w:val="1"/>
                <w:bCs w:val="1"/>
                <w:color w:val="auto"/>
              </w:rPr>
              <w:t>International Partner</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Product(s)</w:t>
            </w:r>
          </w:p>
        </w:tc>
        <w:tc>
          <w:tcPr>
            <w:tcW w:w="1800" w:type="dxa"/>
            <w:vAlign w:val="bottom"/>
          </w:tcPr>
          <w:p>
            <w:pPr>
              <w:spacing w:after="0"/>
              <w:rPr>
                <w:sz w:val="16"/>
                <w:szCs w:val="16"/>
                <w:color w:val="auto"/>
              </w:rPr>
            </w:pP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Territory</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ind w:left="6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64"/>
        </w:trPr>
        <w:tc>
          <w:tcPr>
            <w:tcW w:w="1600" w:type="dxa"/>
            <w:vAlign w:val="bottom"/>
            <w:tcBorders>
              <w:top w:val="single" w:sz="8" w:color="auto"/>
            </w:tcBorders>
          </w:tcPr>
          <w:p>
            <w:pPr>
              <w:spacing w:after="0"/>
              <w:rPr>
                <w:sz w:val="5"/>
                <w:szCs w:val="5"/>
                <w:color w:val="auto"/>
              </w:rPr>
            </w:pPr>
          </w:p>
        </w:tc>
        <w:tc>
          <w:tcPr>
            <w:tcW w:w="1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top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Phebra Pty Ltd</w:t>
            </w: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Acetadote</w:t>
            </w: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 and New Zealand</w:t>
            </w:r>
          </w:p>
        </w:tc>
        <w:tc>
          <w:tcPr>
            <w:tcW w:w="1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Marketed</w:t>
            </w: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0" w:type="dxa"/>
            <w:vAlign w:val="bottom"/>
          </w:tcPr>
          <w:p>
            <w:pPr>
              <w:ind w:left="20"/>
              <w:spacing w:after="0"/>
              <w:rPr>
                <w:sz w:val="20"/>
                <w:szCs w:val="20"/>
                <w:color w:val="auto"/>
              </w:rPr>
            </w:pPr>
            <w:r>
              <w:rPr>
                <w:rFonts w:ascii="Arial" w:cs="Arial" w:eastAsia="Arial" w:hAnsi="Arial"/>
                <w:sz w:val="14"/>
                <w:szCs w:val="14"/>
                <w:color w:val="auto"/>
                <w:w w:val="95"/>
              </w:rPr>
              <w:t>DB Pharm Korea Co., Ltd.</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Caldolor</w:t>
            </w:r>
          </w:p>
        </w:tc>
        <w:tc>
          <w:tcPr>
            <w:tcW w:w="1800" w:type="dxa"/>
            <w:vAlign w:val="bottom"/>
          </w:tcPr>
          <w:p>
            <w:pPr>
              <w:ind w:left="20"/>
              <w:spacing w:after="0"/>
              <w:rPr>
                <w:sz w:val="20"/>
                <w:szCs w:val="20"/>
                <w:color w:val="auto"/>
              </w:rPr>
            </w:pPr>
            <w:r>
              <w:rPr>
                <w:rFonts w:ascii="Arial" w:cs="Arial" w:eastAsia="Arial" w:hAnsi="Arial"/>
                <w:sz w:val="14"/>
                <w:szCs w:val="14"/>
                <w:color w:val="auto"/>
              </w:rPr>
              <w:t>South Korea</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Marketed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Seqirus (a CSL company)</w:t>
            </w: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Caldolor</w:t>
            </w: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 and New Zealand</w:t>
            </w:r>
          </w:p>
        </w:tc>
        <w:tc>
          <w:tcPr>
            <w:tcW w:w="1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0" w:type="dxa"/>
            <w:vAlign w:val="bottom"/>
          </w:tcPr>
          <w:p>
            <w:pPr>
              <w:ind w:left="20"/>
              <w:spacing w:after="0"/>
              <w:rPr>
                <w:sz w:val="20"/>
                <w:szCs w:val="20"/>
                <w:color w:val="auto"/>
              </w:rPr>
            </w:pPr>
            <w:r>
              <w:rPr>
                <w:rFonts w:ascii="Arial" w:cs="Arial" w:eastAsia="Arial" w:hAnsi="Arial"/>
                <w:sz w:val="14"/>
                <w:szCs w:val="14"/>
                <w:color w:val="auto"/>
                <w:w w:val="93"/>
              </w:rPr>
              <w:t>Sandor Medicaids Pvt. Ltd.</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Caldolor</w:t>
            </w: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India, Pakistan, Bangladesh and Nepal</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Marketed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GerminMED</w:t>
            </w: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Caldolor</w:t>
            </w: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Qatar</w:t>
            </w:r>
          </w:p>
        </w:tc>
        <w:tc>
          <w:tcPr>
            <w:tcW w:w="1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00" w:type="dxa"/>
            <w:vAlign w:val="bottom"/>
          </w:tcPr>
          <w:p>
            <w:pPr>
              <w:ind w:left="20"/>
              <w:spacing w:after="0"/>
              <w:rPr>
                <w:sz w:val="20"/>
                <w:szCs w:val="20"/>
                <w:color w:val="auto"/>
              </w:rPr>
            </w:pPr>
            <w:r>
              <w:rPr>
                <w:rFonts w:ascii="Arial" w:cs="Arial" w:eastAsia="Arial" w:hAnsi="Arial"/>
                <w:sz w:val="14"/>
                <w:szCs w:val="14"/>
                <w:color w:val="auto"/>
              </w:rPr>
              <w:t>R-Pharm JSC</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Vibativ</w:t>
            </w:r>
          </w:p>
        </w:tc>
        <w:tc>
          <w:tcPr>
            <w:tcW w:w="1800" w:type="dxa"/>
            <w:vAlign w:val="bottom"/>
          </w:tcPr>
          <w:p>
            <w:pPr>
              <w:ind w:left="20"/>
              <w:spacing w:after="0"/>
              <w:rPr>
                <w:sz w:val="20"/>
                <w:szCs w:val="20"/>
                <w:color w:val="auto"/>
              </w:rPr>
            </w:pPr>
            <w:r>
              <w:rPr>
                <w:rFonts w:ascii="Arial" w:cs="Arial" w:eastAsia="Arial" w:hAnsi="Arial"/>
                <w:sz w:val="14"/>
                <w:szCs w:val="14"/>
                <w:color w:val="auto"/>
              </w:rPr>
              <w:t>Russia</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Marketed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SciClone Pharmaceuticals, Inc.</w:t>
            </w:r>
          </w:p>
        </w:tc>
        <w:tc>
          <w:tcPr>
            <w:tcW w:w="1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Vibativ</w:t>
            </w: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 and Hong Kong</w:t>
            </w:r>
          </w:p>
        </w:tc>
        <w:tc>
          <w:tcPr>
            <w:tcW w:w="1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Registration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50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WinHealth Pharma Group Co.</w:t>
            </w:r>
          </w:p>
        </w:tc>
        <w:tc>
          <w:tcPr>
            <w:tcW w:w="1360" w:type="dxa"/>
            <w:vAlign w:val="bottom"/>
            <w:gridSpan w:val="2"/>
          </w:tcPr>
          <w:p>
            <w:pPr>
              <w:spacing w:after="0" w:line="137" w:lineRule="exact"/>
              <w:rPr>
                <w:sz w:val="20"/>
                <w:szCs w:val="20"/>
                <w:color w:val="auto"/>
              </w:rPr>
            </w:pPr>
            <w:r>
              <w:rPr>
                <w:rFonts w:ascii="Arial" w:cs="Arial" w:eastAsia="Arial" w:hAnsi="Arial"/>
                <w:sz w:val="14"/>
                <w:szCs w:val="14"/>
                <w:color w:val="auto"/>
              </w:rPr>
              <w:t>Caldolor &amp;</w:t>
            </w:r>
          </w:p>
        </w:tc>
        <w:tc>
          <w:tcPr>
            <w:tcW w:w="1800" w:type="dxa"/>
            <w:vAlign w:val="bottom"/>
          </w:tcPr>
          <w:p>
            <w:pPr>
              <w:ind w:left="20"/>
              <w:spacing w:after="0" w:line="137" w:lineRule="exact"/>
              <w:rPr>
                <w:sz w:val="20"/>
                <w:szCs w:val="20"/>
                <w:color w:val="auto"/>
              </w:rPr>
            </w:pPr>
            <w:r>
              <w:rPr>
                <w:rFonts w:ascii="Arial" w:cs="Arial" w:eastAsia="Arial" w:hAnsi="Arial"/>
                <w:sz w:val="14"/>
                <w:szCs w:val="14"/>
                <w:color w:val="auto"/>
              </w:rPr>
              <w:t>China and Hong Kong</w:t>
            </w:r>
          </w:p>
        </w:tc>
        <w:tc>
          <w:tcPr>
            <w:tcW w:w="1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Development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Acetadote</w:t>
            </w:r>
          </w:p>
        </w:tc>
        <w:tc>
          <w:tcPr>
            <w:tcW w:w="1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international commercialization agreements include a license to one or more Cumberland products for a specific territory as noted in the table above. We seek partners who have the local infrastructure to support the registration and commercialization of our products in their territory.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Under the terms of our agreements our partners are responsible for:</w:t>
      </w:r>
    </w:p>
    <w:p>
      <w:pPr>
        <w:spacing w:after="0" w:line="124" w:lineRule="exact"/>
        <w:rPr>
          <w:sz w:val="20"/>
          <w:szCs w:val="20"/>
          <w:color w:val="auto"/>
        </w:rPr>
      </w:pPr>
    </w:p>
    <w:p>
      <w:pPr>
        <w:ind w:left="1020" w:hanging="510"/>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Seeking regulatory approvals for the products;</w:t>
      </w:r>
    </w:p>
    <w:p>
      <w:pPr>
        <w:spacing w:after="0" w:line="123" w:lineRule="exact"/>
        <w:rPr>
          <w:rFonts w:ascii="Arial" w:cs="Arial" w:eastAsia="Arial" w:hAnsi="Arial"/>
          <w:sz w:val="14"/>
          <w:szCs w:val="14"/>
          <w:color w:val="auto"/>
        </w:rPr>
      </w:pPr>
    </w:p>
    <w:p>
      <w:pPr>
        <w:ind w:left="1020" w:hanging="510"/>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Launching the brand;</w:t>
      </w:r>
    </w:p>
    <w:p>
      <w:pPr>
        <w:spacing w:after="0" w:line="113" w:lineRule="exact"/>
        <w:rPr>
          <w:rFonts w:ascii="Arial" w:cs="Arial" w:eastAsia="Arial" w:hAnsi="Arial"/>
          <w:sz w:val="14"/>
          <w:szCs w:val="14"/>
          <w:color w:val="auto"/>
        </w:rPr>
      </w:pPr>
    </w:p>
    <w:p>
      <w:pPr>
        <w:ind w:left="1020" w:hanging="510"/>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Managing the ongoing marketing, sales and product distribution;</w:t>
      </w:r>
    </w:p>
    <w:p>
      <w:pPr>
        <w:spacing w:after="0" w:line="123" w:lineRule="exact"/>
        <w:rPr>
          <w:rFonts w:ascii="Arial" w:cs="Arial" w:eastAsia="Arial" w:hAnsi="Arial"/>
          <w:sz w:val="14"/>
          <w:szCs w:val="14"/>
          <w:color w:val="auto"/>
        </w:rPr>
      </w:pPr>
    </w:p>
    <w:p>
      <w:pPr>
        <w:ind w:left="1020" w:hanging="510"/>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Addressing the ongoing regulatory requirements in the international territories;</w:t>
      </w:r>
    </w:p>
    <w:p>
      <w:pPr>
        <w:spacing w:after="0" w:line="123" w:lineRule="exact"/>
        <w:rPr>
          <w:rFonts w:ascii="Arial" w:cs="Arial" w:eastAsia="Arial" w:hAnsi="Arial"/>
          <w:sz w:val="14"/>
          <w:szCs w:val="14"/>
          <w:color w:val="auto"/>
        </w:rPr>
      </w:pPr>
    </w:p>
    <w:p>
      <w:pPr>
        <w:ind w:left="1020" w:hanging="510"/>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Remitting any upfront, regulatory and sales milestone payments;</w:t>
      </w:r>
    </w:p>
    <w:p>
      <w:pPr>
        <w:spacing w:after="0" w:line="113" w:lineRule="exact"/>
        <w:rPr>
          <w:rFonts w:ascii="Arial" w:cs="Arial" w:eastAsia="Arial" w:hAnsi="Arial"/>
          <w:sz w:val="14"/>
          <w:szCs w:val="14"/>
          <w:color w:val="auto"/>
        </w:rPr>
      </w:pPr>
    </w:p>
    <w:p>
      <w:pPr>
        <w:ind w:left="1020" w:hanging="510"/>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Providing the transfer price for supplies of product; and</w:t>
      </w:r>
    </w:p>
    <w:p>
      <w:pPr>
        <w:spacing w:after="0" w:line="123" w:lineRule="exact"/>
        <w:rPr>
          <w:rFonts w:ascii="Arial" w:cs="Arial" w:eastAsia="Arial" w:hAnsi="Arial"/>
          <w:sz w:val="14"/>
          <w:szCs w:val="14"/>
          <w:color w:val="auto"/>
        </w:rPr>
      </w:pPr>
    </w:p>
    <w:p>
      <w:pPr>
        <w:ind w:left="1020" w:hanging="510"/>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Calculating and paying any royalties,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Our responsibilities include:</w:t>
      </w:r>
    </w:p>
    <w:p>
      <w:pPr>
        <w:spacing w:after="0" w:line="113" w:lineRule="exact"/>
        <w:rPr>
          <w:sz w:val="20"/>
          <w:szCs w:val="20"/>
          <w:color w:val="auto"/>
        </w:rPr>
      </w:pPr>
    </w:p>
    <w:p>
      <w:pPr>
        <w:ind w:left="1020" w:hanging="510"/>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Providing a dossier of relevant information to support product registration;</w:t>
      </w:r>
    </w:p>
    <w:p>
      <w:pPr>
        <w:spacing w:after="0" w:line="123" w:lineRule="exact"/>
        <w:rPr>
          <w:rFonts w:ascii="Arial" w:cs="Arial" w:eastAsia="Arial" w:hAnsi="Arial"/>
          <w:sz w:val="14"/>
          <w:szCs w:val="14"/>
          <w:color w:val="auto"/>
        </w:rPr>
      </w:pPr>
    </w:p>
    <w:p>
      <w:pPr>
        <w:ind w:left="1020" w:hanging="510"/>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Maintaining our intellectual property associated with the product;</w:t>
      </w:r>
    </w:p>
    <w:p>
      <w:pPr>
        <w:spacing w:after="0" w:line="123" w:lineRule="exact"/>
        <w:rPr>
          <w:rFonts w:ascii="Arial" w:cs="Arial" w:eastAsia="Arial" w:hAnsi="Arial"/>
          <w:sz w:val="14"/>
          <w:szCs w:val="14"/>
          <w:color w:val="auto"/>
        </w:rPr>
      </w:pPr>
    </w:p>
    <w:p>
      <w:pPr>
        <w:ind w:left="1020" w:hanging="510"/>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Sharing our marketing strategy, experience and materials for the brand; and</w:t>
      </w:r>
    </w:p>
    <w:p>
      <w:pPr>
        <w:spacing w:after="0" w:line="113" w:lineRule="exact"/>
        <w:rPr>
          <w:rFonts w:ascii="Arial" w:cs="Arial" w:eastAsia="Arial" w:hAnsi="Arial"/>
          <w:sz w:val="14"/>
          <w:szCs w:val="14"/>
          <w:color w:val="auto"/>
        </w:rPr>
      </w:pPr>
    </w:p>
    <w:p>
      <w:pPr>
        <w:ind w:left="1020" w:hanging="510"/>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Manufacturing and providing finished product for sale.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During 2021, we worked to support our existing international partners, conclude unproductive arrangements and identify new companies to represent our products in select additional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BUSINESS DEVELOPMENT</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Since inception, we have had an active business development initiative focused on acquiring rights to marketed products and product candidates that fit our strategy and target markets. We source business development opportunities through our international network of advisory firms and individual pharmaceutical industry and medical advisors. A multi-disciplinary internal management team reviews these opportunities on a regular basis using a group of selection criteria. We have historically focused on product opportunities that are a strategic fit with our commercial organization, development expertise and medical focus, employing a variety of transaction structures.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We have continued to build our product portfolio of complementary, niche brands largely through product acquisitions and late-stage development of product candidates.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primary targets are under-promoted, FDA - approved drugs with existing brand recognition and late-stage development product candidates that address unmet or poorly met medical needs in the hospital acute care and gastroenterology, rheumatology and oncology markets. We believe that by focusing mainly on approved or late-stage products, we can minimize the significant risk, cost and time associated with drug development.</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continue to strategically review our brands, pipeline and capabilities, as well as our international partners. We believe that it is prudent to continually evaluate our product portfolio, partners, and organization in order to ensure a proper focus and the needed supporting capabilities.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Partners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D.B. Pharm Korea Co., Ltd. (“D.B. Pharm”) has licensed our Caldolor product for the South Korean market, and they obtained regulatory approval for Caldolor in their country. During 2021 D.B. Pharm continued to purchase supplies of Caldolor and distributed the brand in South Korea. We have also entered into agreements with D.B. Pharm to register and commercialize our Vaprisol and Vibativ brands in their country. During 2021 we worked with them to prepare the submissions for the approval of each brand there.</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executed a License and Distribution agreement with HongKong WinHealth Pharma Group Co. Limited (“WinHealth”) for our Caldolor and Acetadote brands in China and Hong Kong. Under the terms of the agreement, WinHealth will provide development milestone payments and purchase supplies of the products following their registration in China.</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also entered into a Strategic Alliance agreement with WinHealth to explore future business opportunities that will further the mission and goals of each organization. Founded in Hangzhou, China and currently headquartered in Hong Kong, WinHealth has developed a wide breadth of capabilities including drug licensing, product development and registration, and has established a strong network of distribution and sales promotional capabilities for the Chinese market. WinHealth has established partnerships with international companies that include Boehringer-Ingelheim, Janssen, Novartis, Pfizer, and Roche, generating several hundred million dollars in sales annually.</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In August 2020, we entered into an agreement with WinHealth Investment (Singapore) Ltd creating </w:t>
      </w:r>
      <w:r>
        <w:rPr>
          <w:rFonts w:ascii="Arial" w:cs="Arial" w:eastAsia="Arial" w:hAnsi="Arial"/>
          <w:sz w:val="14"/>
          <w:szCs w:val="14"/>
          <w:i w:val="1"/>
          <w:iCs w:val="1"/>
          <w:color w:val="auto"/>
        </w:rPr>
        <w:t>WHC Biopharmaceuticals, Pte. Ltd</w:t>
      </w:r>
      <w:r>
        <w:rPr>
          <w:rFonts w:ascii="Arial" w:cs="Arial" w:eastAsia="Arial" w:hAnsi="Arial"/>
          <w:sz w:val="14"/>
          <w:szCs w:val="14"/>
          <w:color w:val="auto"/>
        </w:rPr>
        <w:t>. The joint venture will focus on acquiring, developing, registering, and commercializing development stage and commercial stage biopharmaceuticals for China, Hong Kong and other Asian markets.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R-Pharma JSC (“R Pharma”) has licensed our Vibativ product for a territory that includes Russia and a number of adjacent countries in Eastern Europe. R-Pharma is one of the leading multinational pharmaceutical organizations based in Russia. Headquartered in Moscow and focusing in a wide breadth of therapeutic areas in the specialty and hospital care markets, R-Pharma generates $1 billion in annual revenue. R-Pharma has registered Vibativ in Russia and during 2021 continued to purchase supplies of the product for that market. In late 2021 we entered into a new agreement with R-Pharma for the terms associated with the supply of Vibativ for greater Russian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15" w:name="page16"/>
    <w:bookmarkEnd w:id="15"/>
    <w:p>
      <w:pPr>
        <w:jc w:val="both"/>
        <w:spacing w:after="0" w:line="278" w:lineRule="auto"/>
        <w:rPr>
          <w:sz w:val="20"/>
          <w:szCs w:val="20"/>
          <w:color w:val="auto"/>
        </w:rPr>
      </w:pPr>
      <w:r>
        <w:rPr>
          <w:rFonts w:ascii="Arial" w:cs="Arial" w:eastAsia="Arial" w:hAnsi="Arial"/>
          <w:sz w:val="14"/>
          <w:szCs w:val="14"/>
          <w:color w:val="auto"/>
        </w:rPr>
        <w:t>SciClone Pharmaceuticals (Holdings) Limited (“SciClone”) has licensed our Vibativ product for sale and distribution in China and several adjacent countries. In February 2021, SciClone completed an initial public offering and listing of their shares on the Hong Kong stock exchange.</w:t>
      </w:r>
    </w:p>
    <w:p>
      <w:pPr>
        <w:spacing w:after="0" w:line="70"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In June 2021, SciClone submitted an application to the Chinese regulatory authority for the approval of Vibativ in that country. In October 2021, we were informed by SciClone that the filing was accepted by the regulatory agency for review. SciClone expects a review period of up to twelve months for their application and believes that the potential for Vibativ in China may be significant.</w:t>
      </w:r>
    </w:p>
    <w:p>
      <w:pPr>
        <w:spacing w:after="0" w:line="5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August 2021, we signed an agreement with Verity Pharmaceuticals International Limited (“Verity”) to license and commercialize our Vibativ product in Puerto Rico. Verity is a specialty pharmaceutical company with commercial operations in the U.S. and Canada. They have a particular strength and experience in the Puerto Rican market.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Poly Co-Promotion Agreement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entered into a co-promotion arrangement with Poly Pharmaceuticals, Inc. (“Poly”) for our Kristalose product in 2017. Poly is a privately held U.S. specialty pharmaceutical company that is featuring Kristalose to an expanded number of physicians. Poly’s sales organization is more than doubling the number of nationwide physicians that are reached with the Kristalose brand message. During 2019, we extended our co-promotion arrangement with Poly.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2R and Foxland Agreements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During 2018, we entered into another co-promotion arrangement related to our Kristalose product. We have agreements with 2R Investments, LLC and with Foxland Pharmaceuticals, Inc. to package, distribute and promote an authorized generic form of our Kristalose product to physician targets that we do not cover.</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Nordic License Agreement</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acquired the exclusive U.S. rights to Nordic Group B.V.'s injectable methotrexate product line. The product line is approved for patient use in various European countries. Cumberland has registered and is commercializing the methotrexate products under the brand name RediTrex. The products are designed for the treatment of active rheumatoid arthritis, juvenile idiopathic arthritis, severe psoriatic arthritis, and severe disabling psoriasis. Following the FDA approval for RediTrex, we began introducing the product line during 2020 and commenced the full national launch in October 2021.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Clinigen Strategic Dissolution Agreement</w:t>
      </w:r>
    </w:p>
    <w:p>
      <w:pPr>
        <w:spacing w:after="0" w:line="11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previously entered into an agreement with the Clinigen Group plc ("Clinigen"), an international specialty pharmaceutical and services company, to commercialize select Clinigen products in the U.S. In May 2016, we announced an agreement with Clinigen to acquire an exclusive license and commercialize Ethyol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the U.S. We then announced in January 2017, our second agreement with Clinigen to acquire an exclusive license and launch Totect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the U.S.</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May 2019, following a strategic review of our partners, products and organization, we entered into a Dissolution Agreement with Clinigen in which Cumberland returned the exclusive rights to commercialize Ethyol and Totect in the United States to Clinigen. Under the final terms of the amended Dissolution Agreement we transitioned from our current arrangement with Clinigen effective December 31, 2019. Under the terms of the agreement, Cumberland was no longer involved directly or indirectly with the distribution, marketing and promotion of either Ethyol or Totect or any competing products. In exchange for the return of these product license rights and not competing with either product, we received $5 million in financial consideration paid over the two- years ending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color w:val="auto"/>
        </w:rPr>
        <w:t>CET University Collaboration Agreements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Through CET, we collaborate with a select group of academic research institutions located in the mid-south region of the U.S. to identify, co-develop and seek grant funding for promising biomedical technologies emerging from those research institutions. CET is collaborating with Vanderbilt University, the University of Mississippi, the University of Tennessee Research Foundation, Louisiana State University, and the Medical University of South Carolina. CET has entered into a series of agreements to access and collaborate on the development of innovative product candidates. These arrangements enable CET to team with university-based researchers to advance their scientific discoveries and breakthroughs by designing new product candidates to improve patient care and address unmet medical needs. CET has been able to help secure federal small business grant funding to support these various projects.</w:t>
      </w:r>
    </w:p>
    <w:p>
      <w:pPr>
        <w:spacing w:after="0" w:line="81" w:lineRule="exact"/>
        <w:rPr>
          <w:sz w:val="20"/>
          <w:szCs w:val="20"/>
          <w:color w:val="auto"/>
        </w:rPr>
      </w:pPr>
    </w:p>
    <w:p>
      <w:pPr>
        <w:ind w:right="560"/>
        <w:spacing w:after="0" w:line="416" w:lineRule="auto"/>
        <w:rPr>
          <w:sz w:val="20"/>
          <w:szCs w:val="20"/>
          <w:color w:val="auto"/>
        </w:rPr>
      </w:pPr>
      <w:r>
        <w:rPr>
          <w:rFonts w:ascii="Arial" w:cs="Arial" w:eastAsia="Arial" w:hAnsi="Arial"/>
          <w:sz w:val="14"/>
          <w:szCs w:val="14"/>
          <w:color w:val="auto"/>
        </w:rPr>
        <w:t xml:space="preserve">In addition, CET operates a Life Sciences Center in downtown Nashville to house its own research and development activities while providing laboratory space for other biomedical ventures. </w:t>
      </w:r>
      <w:r>
        <w:rPr>
          <w:rFonts w:ascii="Arial" w:cs="Arial" w:eastAsia="Arial" w:hAnsi="Arial"/>
          <w:sz w:val="14"/>
          <w:szCs w:val="14"/>
          <w:b w:val="1"/>
          <w:bCs w:val="1"/>
          <w:color w:val="auto"/>
        </w:rPr>
        <w:t>CLINICAL AND REGULATORY AFFAIRS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in-house capabilities for the management of our clinical, professional and regulatory affairs. Our team develops and manages our clinical trials, prepares regulatory submissions, manages ongoing product-related regulatory responsibilities and manages our medical information call center. Team members have been responsible for devising the regulatory and clinical strategies for all our products as well as obtaining FDA approvals for Acetadote, Caldolor and RediTrex brands.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Development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Our clinical development personnel are responsible for:</w:t>
      </w:r>
    </w:p>
    <w:p>
      <w:pPr>
        <w:spacing w:after="0" w:line="113" w:lineRule="exact"/>
        <w:rPr>
          <w:sz w:val="20"/>
          <w:szCs w:val="20"/>
          <w:color w:val="auto"/>
        </w:rPr>
      </w:pPr>
    </w:p>
    <w:p>
      <w:pPr>
        <w:ind w:left="760" w:hanging="25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creating clinical development strategies;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designing, implementing and monitoring our clinical trials; and</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creating case report forms and other study-related documents.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and Quality Affairs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Our internal regulatory and quality affairs team is responsible for:</w:t>
      </w:r>
    </w:p>
    <w:p>
      <w:pPr>
        <w:spacing w:after="0" w:line="124" w:lineRule="exact"/>
        <w:rPr>
          <w:sz w:val="20"/>
          <w:szCs w:val="20"/>
          <w:color w:val="auto"/>
        </w:rPr>
      </w:pPr>
    </w:p>
    <w:p>
      <w:pPr>
        <w:ind w:left="760" w:hanging="250"/>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preparing and submitting INDs for clearance to begin patient studies;</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preparing and submitting NDAs and fulfilling post-approval marketing commitments;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maintaining investigational and marketing applications through the submission of appropriate reports;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submitting supplemental applications for additional label indications, product line extensions and manufacturing improvements;</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evaluating regulatory risk profiles for product acquisition candidates, including compliance with manufacturing, labeling, distribution and marketing regulations;</w:t>
      </w:r>
    </w:p>
    <w:p>
      <w:pPr>
        <w:spacing w:after="0" w:line="123"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color w:val="auto"/>
        </w:rPr>
        <w:t>monitoring applicable third-party service providers for quality and compliance with current Good Manufacturing Practices ("GMPs"), Good Laboratory Practices ("GLPs"), and Good Clinical Practices ("GCPs"), and performing periodic audits of such vendors; and</w:t>
      </w:r>
    </w:p>
    <w:p>
      <w:pPr>
        <w:spacing w:after="0" w:line="69" w:lineRule="exact"/>
        <w:rPr>
          <w:rFonts w:ascii="Arial" w:cs="Arial" w:eastAsia="Arial" w:hAnsi="Arial"/>
          <w:sz w:val="14"/>
          <w:szCs w:val="14"/>
          <w:color w:val="auto"/>
        </w:rPr>
      </w:pPr>
    </w:p>
    <w:p>
      <w:pPr>
        <w:ind w:left="760" w:hanging="250"/>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maintaining systems for document control, product and process change control, customer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PROFESSIONAL AND MEDICAL AFFAIRS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medical team provides in-house, medical information support for our marketed products. This includes interacting directly with healthcare professionals to address any product or medical inquiries through our medical information call center and medical science liaisons. In addition to coordinating the call center, our clinical/regulatory group generates medical information letters, provides informational memos to our sales forces and assists with ongoing training for the sales forces.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CLINICAL DEVELOPMENT AND STUDY RESULTS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Vibativ Clinical Manuscripts</w:t>
      </w:r>
    </w:p>
    <w:p>
      <w:pPr>
        <w:spacing w:after="0" w:line="124"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late 2019, we announced a publication in </w:t>
      </w:r>
      <w:r>
        <w:rPr>
          <w:rFonts w:ascii="Arial" w:cs="Arial" w:eastAsia="Arial" w:hAnsi="Arial"/>
          <w:sz w:val="14"/>
          <w:szCs w:val="14"/>
          <w:i w:val="1"/>
          <w:iCs w:val="1"/>
          <w:color w:val="auto"/>
        </w:rPr>
        <w:t>Infectious Diseases and Therapy</w:t>
      </w:r>
      <w:r>
        <w:rPr>
          <w:rFonts w:ascii="Arial" w:cs="Arial" w:eastAsia="Arial" w:hAnsi="Arial"/>
          <w:sz w:val="14"/>
          <w:szCs w:val="14"/>
          <w:color w:val="auto"/>
        </w:rPr>
        <w:t xml:space="preserve">, with study results showing numerically superior cure rates of telavancin compared to vancomycin within a subset of patients who were enrolled in Phase 3 ATTAIN trials and had hospital-acquired pneumonia caused by bacteria with low susceptibility to vancomycin. Additionally, an online publication in </w:t>
      </w:r>
      <w:r>
        <w:rPr>
          <w:rFonts w:ascii="Arial" w:cs="Arial" w:eastAsia="Arial" w:hAnsi="Arial"/>
          <w:sz w:val="14"/>
          <w:szCs w:val="14"/>
          <w:i w:val="1"/>
          <w:iCs w:val="1"/>
          <w:color w:val="auto"/>
        </w:rPr>
        <w:t>Drugs -</w:t>
      </w:r>
      <w:r>
        <w:rPr>
          <w:rFonts w:ascii="Arial" w:cs="Arial" w:eastAsia="Arial" w:hAnsi="Arial"/>
          <w:sz w:val="14"/>
          <w:szCs w:val="14"/>
          <w:color w:val="auto"/>
        </w:rPr>
        <w:t xml:space="preserve"> </w:t>
      </w:r>
      <w:r>
        <w:rPr>
          <w:rFonts w:ascii="Arial" w:cs="Arial" w:eastAsia="Arial" w:hAnsi="Arial"/>
          <w:sz w:val="14"/>
          <w:szCs w:val="14"/>
          <w:i w:val="1"/>
          <w:iCs w:val="1"/>
          <w:color w:val="auto"/>
        </w:rPr>
        <w:t>Real World Outcomes</w:t>
      </w:r>
      <w:r>
        <w:rPr>
          <w:rFonts w:ascii="Arial" w:cs="Arial" w:eastAsia="Arial" w:hAnsi="Arial"/>
          <w:sz w:val="14"/>
          <w:szCs w:val="14"/>
          <w:color w:val="auto"/>
        </w:rPr>
        <w:t>, detailed the positive clinical outcomes that resulted from treating multiple infection types with Vibativ, including complicated skin infections, bone and joint infections,</w:t>
      </w:r>
      <w:r>
        <w:rPr>
          <w:rFonts w:ascii="Arial" w:cs="Arial" w:eastAsia="Arial" w:hAnsi="Arial"/>
          <w:sz w:val="14"/>
          <w:szCs w:val="14"/>
          <w:i w:val="1"/>
          <w:iCs w:val="1"/>
          <w:color w:val="auto"/>
        </w:rPr>
        <w:t xml:space="preserve"> </w:t>
      </w:r>
      <w:r>
        <w:rPr>
          <w:rFonts w:ascii="Arial" w:cs="Arial" w:eastAsia="Arial" w:hAnsi="Arial"/>
          <w:sz w:val="14"/>
          <w:szCs w:val="14"/>
          <w:color w:val="auto"/>
        </w:rPr>
        <w:t>bacteremia and endocarditis, and lower respiratory tract infections.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May 2020, Cumberland announced a new study published in </w:t>
      </w:r>
      <w:r>
        <w:rPr>
          <w:rFonts w:ascii="Arial" w:cs="Arial" w:eastAsia="Arial" w:hAnsi="Arial"/>
          <w:sz w:val="14"/>
          <w:szCs w:val="14"/>
          <w:i w:val="1"/>
          <w:iCs w:val="1"/>
          <w:color w:val="auto"/>
        </w:rPr>
        <w:t>Drugs - Real World Outcomes</w:t>
      </w:r>
      <w:r>
        <w:rPr>
          <w:rFonts w:ascii="Arial" w:cs="Arial" w:eastAsia="Arial" w:hAnsi="Arial"/>
          <w:sz w:val="14"/>
          <w:szCs w:val="14"/>
          <w:color w:val="auto"/>
        </w:rPr>
        <w:t>, detailing the positive clinical outcomes that resulted from treating patients with bacteremia or endocarditis with Vibativ. This publication is a sub analysis of The Telavancin Observational Use Registry (TOUR™), a study conducted to record population characteristics, prescription information, and real-world clinical outcomes of patients with Gram-positive infections treated with Vibativ. The analysis suggests Vibativ is a promising and viable option for patients with bacteremia or endocarditis, including those with MRSA or another S. aureus pathogen.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Additionally, in May 2020, we announced the publication of two studies confirming the continued in vitro potency of telavancin. Both publications were part of continued surveillance of telavancin activity since 2011. The first publication tested a global collection of 24,408 Gram-positive clinical isolates, and the second publication tested a U.S. collection of 15,882 S. aureus isolates. Both studies documented the sustained in vitro antimicrobial activity and spectrum of telavancin—many years after its clinical approval—against Gram-positive clinical isolates collected worldwide over seven years, from 2011 through 2017.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Caldolor Clinical Manuscripts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July 2020, we announced a study published in the </w:t>
      </w:r>
      <w:r>
        <w:rPr>
          <w:rFonts w:ascii="Arial" w:cs="Arial" w:eastAsia="Arial" w:hAnsi="Arial"/>
          <w:sz w:val="14"/>
          <w:szCs w:val="14"/>
          <w:i w:val="1"/>
          <w:iCs w:val="1"/>
          <w:color w:val="auto"/>
        </w:rPr>
        <w:t>Journal of Orthopedic Trauma</w:t>
      </w:r>
      <w:r>
        <w:rPr>
          <w:rFonts w:ascii="Arial" w:cs="Arial" w:eastAsia="Arial" w:hAnsi="Arial"/>
          <w:sz w:val="14"/>
          <w:szCs w:val="14"/>
          <w:color w:val="auto"/>
        </w:rPr>
        <w:t>, evaluating the efficacy of Caldolor administration in the management of acute pain in orthopedic trauma patients. The study also measured Caldolor’s ability in minimizing opioid use. This single-center, randomized, double-blind, placebo-controlled study found that Caldolor (ibuprofen) Injection reduced the quantity of opioids required to manage pain after a traumatic injury with fracture. In addition, the time to first narcotic medication was longer in the Caldolor group than with hospital standard of care. Pain was also managed better in the Caldolor group compared to standard of care narcotics.</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Additionally, in August 2020, we announced the results of a review of nine clinical studies evaluating Caldolor. The comprehensive review was published in the journal </w:t>
      </w:r>
      <w:r>
        <w:rPr>
          <w:rFonts w:ascii="Arial" w:cs="Arial" w:eastAsia="Arial" w:hAnsi="Arial"/>
          <w:sz w:val="14"/>
          <w:szCs w:val="14"/>
          <w:i w:val="1"/>
          <w:iCs w:val="1"/>
          <w:color w:val="auto"/>
        </w:rPr>
        <w:t>Clinical Therapeutics</w:t>
      </w:r>
      <w:r>
        <w:rPr>
          <w:rFonts w:ascii="Arial" w:cs="Arial" w:eastAsia="Arial" w:hAnsi="Arial"/>
          <w:sz w:val="14"/>
          <w:szCs w:val="14"/>
          <w:color w:val="auto"/>
        </w:rPr>
        <w:t xml:space="preserve"> and involved 1,062 adult patients, with 757 receiving Caldolor and 305 receiving placebo or a comparator medication. The data noted that the use of Caldolor improved post-surgery recovery, decreased surgical stress, and reduced the use of opioids and over-the-counter medication. The study determined that patients given Caldolor experienced less postoperative pain and decreased opioid use. Study authors also concluded that the rapid administration and preemptive use of Caldolor should be considered in Enhanced Recovery After Surgery protocols for the management of postoperative pain including that of traumatic origin.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auto"/>
        </w:rPr>
        <w:t>Caldolor Newborn Study</w:t>
      </w:r>
    </w:p>
    <w:p>
      <w:pPr>
        <w:spacing w:after="0" w:line="113" w:lineRule="exact"/>
        <w:rPr>
          <w:sz w:val="20"/>
          <w:szCs w:val="20"/>
          <w:color w:val="auto"/>
        </w:rPr>
      </w:pPr>
    </w:p>
    <w:p>
      <w:pPr>
        <w:ind w:right="160" w:firstLine="506"/>
        <w:spacing w:after="0" w:line="320" w:lineRule="auto"/>
        <w:rPr>
          <w:sz w:val="20"/>
          <w:szCs w:val="20"/>
          <w:color w:val="auto"/>
        </w:rPr>
      </w:pPr>
      <w:r>
        <w:rPr>
          <w:rFonts w:ascii="Arial" w:cs="Arial" w:eastAsia="Arial" w:hAnsi="Arial"/>
          <w:sz w:val="12"/>
          <w:szCs w:val="12"/>
          <w:color w:val="auto"/>
        </w:rPr>
        <w:t>We previously received FDA approval for the use of Caldolor in pediatric patients six months of age and older. Caldolor is the first and only injectable NSAID approved for use in children. We then initiated a study to collect data on the use of Caldolor in children ranging in age from birth up to six months of age. Enrollment in that multi-center study was completed in 2019, and topline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results were announced in 2020, indicating that Caldolor was well tolerated in this patient population, with no safety concerns noted.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Renal Colic Study</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2021, we report results from a clinical trial studying the comparison of intravenous ibuprofen with injectable ketorolac in renal colic pain management demonstrated that ibuprofen is the more rapid-acting drug in controlling pain caused by kidney stones. The study also indicated that the complete relief from pain with ibuprofen was twice as much as that of ketorolac. The findings build upon a body of medical evidence supporting the use of our Caldolor product for the treatment of patient pain.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Hyponatremia Publication</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During 2021 we also reported on The </w:t>
      </w:r>
      <w:r>
        <w:rPr>
          <w:rFonts w:ascii="Arial" w:cs="Arial" w:eastAsia="Arial" w:hAnsi="Arial"/>
          <w:sz w:val="14"/>
          <w:szCs w:val="14"/>
          <w:i w:val="1"/>
          <w:iCs w:val="1"/>
          <w:color w:val="auto"/>
        </w:rPr>
        <w:t>Health Outcome Predictive Evaluation</w:t>
      </w:r>
      <w:r>
        <w:rPr>
          <w:rFonts w:ascii="Arial" w:cs="Arial" w:eastAsia="Arial" w:hAnsi="Arial"/>
          <w:sz w:val="14"/>
          <w:szCs w:val="14"/>
          <w:color w:val="auto"/>
        </w:rPr>
        <w:t xml:space="preserve"> (“HOPE”) </w:t>
      </w:r>
      <w:r>
        <w:rPr>
          <w:rFonts w:ascii="Arial" w:cs="Arial" w:eastAsia="Arial" w:hAnsi="Arial"/>
          <w:sz w:val="14"/>
          <w:szCs w:val="14"/>
          <w:i w:val="1"/>
          <w:iCs w:val="1"/>
          <w:color w:val="auto"/>
        </w:rPr>
        <w:t>COVID-19 Registry Analysis.</w:t>
      </w:r>
      <w:r>
        <w:rPr>
          <w:rFonts w:ascii="Arial" w:cs="Arial" w:eastAsia="Arial" w:hAnsi="Arial"/>
          <w:sz w:val="14"/>
          <w:szCs w:val="14"/>
          <w:color w:val="auto"/>
        </w:rPr>
        <w:t xml:space="preserve"> It was an international study of over 4,000 patients published in November 2020, found that patients hospitalized with COVID-19 had a high risk of developing hyponatremia. These COVID-19 patients also had a higher incidence of mortality due to their hyponatremia. The study results support the use of an intravenous vaptan to treat hyponatremia in critically ill patients afflicted with COVID-19.</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Hyponatremia, an imbalance of serum sodium to body water, is the most common electrolyte disorder among hospitalized patients. Our Vaprisol product is one of two branded prescription products indicated for the treatment of hyponatremia, and the only intravenously administered branded treatment. Vaprisol has a proven day-1 response rate to normalize serum sodium levels in hyponatremic patients and move them out of the Intensive Care Unit as efficiently as possible.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Ifetroban Phase II Studies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We have been evaluating our ifetroban product candidate in a series of clinical studies. We have three Phase II clinical programs underway evaluating our ifetroban product candidates in 1) Aspirin-Exacerbated Respiratory Disease, a severe form of asthma, 2) Systemic Sclerosis or scleroderma, a debilitating autoimmune disorder characterized by diffuse fibrosis of the skin and internal organs and 3) patients with cardiomyopathy associated with </w:t>
      </w:r>
      <w:r>
        <w:rPr>
          <w:rFonts w:ascii="Arial" w:cs="Arial" w:eastAsia="Arial" w:hAnsi="Arial"/>
          <w:sz w:val="13"/>
          <w:szCs w:val="13"/>
          <w:i w:val="1"/>
          <w:iCs w:val="1"/>
          <w:color w:val="auto"/>
        </w:rPr>
        <w:t>Duchenne Muscular Dystrophy</w:t>
      </w:r>
      <w:r>
        <w:rPr>
          <w:rFonts w:ascii="Arial" w:cs="Arial" w:eastAsia="Arial" w:hAnsi="Arial"/>
          <w:sz w:val="13"/>
          <w:szCs w:val="13"/>
          <w:color w:val="auto"/>
        </w:rPr>
        <w:t>, a rare, fatal, genetic neuromuscular disease results in deterioration of the skeletal, heart and lung muscles. Investigational New Study applications have been cleared by the FDA enabling us to launch clinical studies in each of these areas.</w:t>
      </w:r>
    </w:p>
    <w:p>
      <w:pPr>
        <w:spacing w:after="0" w:line="78" w:lineRule="exact"/>
        <w:rPr>
          <w:sz w:val="20"/>
          <w:szCs w:val="20"/>
          <w:color w:val="auto"/>
        </w:rPr>
      </w:pPr>
    </w:p>
    <w:p>
      <w:pPr>
        <w:jc w:val="both"/>
        <w:spacing w:after="0" w:line="325" w:lineRule="auto"/>
        <w:rPr>
          <w:sz w:val="20"/>
          <w:szCs w:val="20"/>
          <w:color w:val="auto"/>
        </w:rPr>
      </w:pPr>
      <w:r>
        <w:rPr>
          <w:rFonts w:ascii="Arial" w:cs="Arial" w:eastAsia="Arial" w:hAnsi="Arial"/>
          <w:sz w:val="14"/>
          <w:szCs w:val="14"/>
          <w:color w:val="auto"/>
        </w:rPr>
        <w:t>We have also completed two pilot Phase II studies involving 1) patients suffering from Hepatorenal Syndrome, a life-threatening condition involving liver and kidney failure and 2) patients with Portal Hypertension associated with chronic liver disease. There were no significant safety issues identified with the use of ifetroban in these patients.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Additional pilot studies of ifetroban are underway, including several investigator-initiated trials.</w:t>
      </w:r>
    </w:p>
    <w:p>
      <w:pPr>
        <w:spacing w:after="0" w:line="124"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Enrollment in our clinical studies was interrupted during 2021 and 2020 due to the COVID-19 pandemic. Many of our clinical study sites have reopened and resumed screening of patients for potential enrollment into our studies. We are awaiting results from the studies underway before deciding on the best development path for the registration of ifetroban, our first new chemical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color w:val="auto"/>
        </w:rPr>
        <w:t>New Hospital Product Candidate Study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preclinical studies for a cholesterol reducing agent for use in the hospital setting.</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previously completed a Phase I study which defined the pharmacokinetic properties and provided a favorable safety profile for this new product candidate. The study results and a proposed clinical development plan were discussed with the FDA.</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 Phase II study has been initiated and patient enrollment completed. We have completed the study report, filed it with the FDA and are now determining the next steps for this product development program.</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Additional Testing Program</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Cumberland entered into a non-clinical evaluation agreement, to test one of our products against bacterial strains utilizing the preclinical services program funded by the Division of Microbiology and</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Infectious Diseases (“DMID”), part of the National Institute of Allergy and Infectious Diseases (“NIAID”), an institute of the National Institutes of Health (“NIH”), which is part of the Department of Health and Human Services (“HHS”), an agency of the U.S. Government.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DEVELOPMENT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Cumberland Foundation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 have formed the </w:t>
      </w:r>
      <w:r>
        <w:rPr>
          <w:rFonts w:ascii="Arial" w:cs="Arial" w:eastAsia="Arial" w:hAnsi="Arial"/>
          <w:sz w:val="14"/>
          <w:szCs w:val="14"/>
          <w:i w:val="1"/>
          <w:iCs w:val="1"/>
          <w:color w:val="auto"/>
        </w:rPr>
        <w:t>Cumberland Pharma Foundation</w:t>
      </w:r>
      <w:r>
        <w:rPr>
          <w:rFonts w:ascii="Arial" w:cs="Arial" w:eastAsia="Arial" w:hAnsi="Arial"/>
          <w:sz w:val="14"/>
          <w:szCs w:val="14"/>
          <w:color w:val="auto"/>
        </w:rPr>
        <w:t xml:space="preserve"> (the “Foundation”) to provide the ongoing philanthropic endeavors of Cumberland Pharmaceuticals Inc.</w:t>
      </w:r>
    </w:p>
    <w:p>
      <w:pPr>
        <w:spacing w:after="0" w:line="124"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The Foundation was formed as an independent,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4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initially provided a grant of 50,000 shares of our common stock to the Foundation. The shares will address the ongoing financial needs of the Foundation, with most of the shares expected to be held for the opportunity to realize long term appreciation to support the Foundation’s future.</w:t>
      </w:r>
    </w:p>
    <w:p>
      <w:pPr>
        <w:spacing w:after="0" w:line="80" w:lineRule="exact"/>
        <w:rPr>
          <w:sz w:val="20"/>
          <w:szCs w:val="20"/>
          <w:color w:val="auto"/>
        </w:rPr>
      </w:pPr>
    </w:p>
    <w:p>
      <w:pPr>
        <w:jc w:val="both"/>
        <w:spacing w:after="0" w:line="365" w:lineRule="auto"/>
        <w:rPr>
          <w:sz w:val="20"/>
          <w:szCs w:val="20"/>
          <w:color w:val="auto"/>
        </w:rPr>
      </w:pPr>
      <w:r>
        <w:rPr>
          <w:rFonts w:ascii="Arial" w:cs="Arial" w:eastAsia="Arial" w:hAnsi="Arial"/>
          <w:sz w:val="12"/>
          <w:szCs w:val="12"/>
          <w:color w:val="auto"/>
        </w:rPr>
        <w:t>The Foundation maintains independent financial statements and its contributions will not impact the financial statements of Cumberland Pharmaceuticals. Initial annual grants by the Foundation have been and remain consistent with the historic level of contributions made by Cumberland Pharmaceuticals. During 2021, we provided approximately $25,000 in cash contributions to the Foundation.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Cumberland Health and Wellness Political Action Committee</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We have also formed the </w:t>
      </w:r>
      <w:r>
        <w:rPr>
          <w:rFonts w:ascii="Arial" w:cs="Arial" w:eastAsia="Arial" w:hAnsi="Arial"/>
          <w:sz w:val="14"/>
          <w:szCs w:val="14"/>
          <w:i w:val="1"/>
          <w:iCs w:val="1"/>
          <w:color w:val="auto"/>
        </w:rPr>
        <w:t>Cumberland Health and Wellness Political Action Committee</w:t>
      </w:r>
      <w:r>
        <w:rPr>
          <w:rFonts w:ascii="Arial" w:cs="Arial" w:eastAsia="Arial" w:hAnsi="Arial"/>
          <w:sz w:val="14"/>
          <w:szCs w:val="14"/>
          <w:color w:val="auto"/>
        </w:rPr>
        <w:t xml:space="preserve"> (the “PAC”). The objective of the PAC is to support candidates and policies that are consistent with Cumberland’s mission of advancing patient care. The PAC’s activities will be at the local, state and federal level and conducted in a bi-partisan manner.</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initial committee membership is comprised of Cumberland Pharmaceuticals employees. The PAC received initial funding from us, and future funding will include voluntary individual contributions from Cumberland Pharmaceuticals directors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MANUFACTURING AND 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Manufacturing</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partner with third parties for certain non-core, capital-intensive capabilities, including the manufacturing and distribution of our products. We manage these third-party relationships and are responsible for the quality review and release of each lot of our products.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Acetadote</w:t>
      </w:r>
      <w:r>
        <w:rPr>
          <w:rFonts w:ascii="Arial" w:cs="Arial" w:eastAsia="Arial" w:hAnsi="Arial"/>
          <w:sz w:val="18"/>
          <w:szCs w:val="18"/>
          <w:b w:val="1"/>
          <w:bCs w:val="1"/>
          <w:i w:val="1"/>
          <w:iCs w:val="1"/>
          <w:color w:val="auto"/>
          <w:vertAlign w:val="superscript"/>
        </w:rPr>
        <w: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We have an agreement with one manufacturer, who provided commercial supplies of Acetadote in 2021.</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Caldolor</w:t>
      </w:r>
      <w:r>
        <w:rPr>
          <w:rFonts w:ascii="Arial" w:cs="Arial" w:eastAsia="Arial" w:hAnsi="Arial"/>
          <w:sz w:val="18"/>
          <w:szCs w:val="18"/>
          <w:b w:val="1"/>
          <w:bCs w:val="1"/>
          <w:i w:val="1"/>
          <w:iCs w:val="1"/>
          <w:color w:val="auto"/>
          <w:vertAlign w:val="superscript"/>
        </w:rPr>
        <w:t>®</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agreements with multiple manufacturers for the supply of Caldolor and during 2021 we obtained commercial supplies from three of these manufacturers for our international and domestic Caldolor requirements.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Kristalose</w:t>
      </w:r>
      <w:r>
        <w:rPr>
          <w:rFonts w:ascii="Arial" w:cs="Arial" w:eastAsia="Arial" w:hAnsi="Arial"/>
          <w:sz w:val="18"/>
          <w:szCs w:val="18"/>
          <w:b w:val="1"/>
          <w:bCs w:val="1"/>
          <w:color w:val="auto"/>
          <w:vertAlign w:val="superscript"/>
        </w:rPr>
        <w:t>®</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an agreement for the purchase of Kristalose API with an international supplier. We also had manufacturing relationships with two packagers who provided finished supplies of the product for commercial and sampling purposes during 2021. We will continue with one of those facilities in 2022.</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Omeclamox-Pak</w:t>
      </w:r>
      <w:r>
        <w:rPr>
          <w:rFonts w:ascii="Arial" w:cs="Arial" w:eastAsia="Arial" w:hAnsi="Arial"/>
          <w:sz w:val="18"/>
          <w:szCs w:val="18"/>
          <w:b w:val="1"/>
          <w:bCs w:val="1"/>
          <w:color w:val="auto"/>
          <w:vertAlign w:val="superscript"/>
        </w:rPr>
        <w: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2020, the packager for Cumberland’s Omeclamox-Pak product encountered financial difficulties due to the economic impact of COVID-19, and their operations suspended. Cumberland is awaiting resumption of those operations while also exploring other alternatives to restart the product’s packaging. We informed the FDA of a shortage of the Omeclamox-Pak in October 2020, and have not provided a date for the availability of new inventory.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RediTrex</w:t>
      </w:r>
      <w:r>
        <w:rPr>
          <w:rFonts w:ascii="Arial" w:cs="Arial" w:eastAsia="Arial" w:hAnsi="Arial"/>
          <w:sz w:val="18"/>
          <w:szCs w:val="18"/>
          <w:b w:val="1"/>
          <w:bCs w:val="1"/>
          <w:color w:val="auto"/>
          <w:vertAlign w:val="superscript"/>
        </w:rPr>
        <w:t>®</w:t>
      </w:r>
    </w:p>
    <w:p>
      <w:pPr>
        <w:spacing w:after="0" w:line="8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2016, we entered into an agreement to acquire the exclusive U.S. rights to an injectable methotrexate product line of pre-filled syringes. In 2019, we received FDA approval for the product line. Our licensor is responsible for providing us the packaged and labeled commercial supply of the product.</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Sancuso</w:t>
      </w:r>
      <w:r>
        <w:rPr>
          <w:rFonts w:ascii="Arial" w:cs="Arial" w:eastAsia="Arial" w:hAnsi="Arial"/>
          <w:sz w:val="18"/>
          <w:szCs w:val="18"/>
          <w:i w:val="1"/>
          <w:iCs w:val="1"/>
          <w:color w:val="auto"/>
          <w:vertAlign w:val="superscript"/>
        </w:rPr>
        <w: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part of the acquisition of Sancuso, we obtained an initial supply of finished goods inventory. The agreement with the manufacturer of Sancuso was assigned to us and there are additional lots planned for 2022 which will provide us with additional supplies. The production is in the process of being moved to one of the manufacturer’s other facilities. Data is being developed to support the transfer which will require FDA approval.</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Vaprisol</w:t>
      </w:r>
      <w:r>
        <w:rPr>
          <w:rFonts w:ascii="Arial" w:cs="Arial" w:eastAsia="Arial" w:hAnsi="Arial"/>
          <w:sz w:val="18"/>
          <w:szCs w:val="18"/>
          <w:b w:val="1"/>
          <w:bCs w:val="1"/>
          <w:color w:val="auto"/>
          <w:vertAlign w:val="superscript"/>
        </w:rPr>
        <w: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part of the acquisition of Vaprisol, we obtained a significant existing supply of raw material inventory. We reached an agreement during 2020 with a new manufacturer to provide us with long - term supplies of the product. We subsequently completed the transfer of the product’s manufacturing to the new facility in 2021. We informed the FDA that supplies of the product are not currently available and are awaiting approval for that new facility.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Vibativ</w:t>
      </w:r>
      <w:r>
        <w:rPr>
          <w:rFonts w:ascii="Arial" w:cs="Arial" w:eastAsia="Arial" w:hAnsi="Arial"/>
          <w:sz w:val="18"/>
          <w:szCs w:val="18"/>
          <w:b w:val="1"/>
          <w:bCs w:val="1"/>
          <w:color w:val="auto"/>
          <w:vertAlign w:val="superscript"/>
        </w:rPr>
        <w:t>®</w:t>
      </w: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Through our acquisition of Vibativ, we obtained a multi-year supply of raw material, work in process and finished goods inventory. As a result of the agreement, we are now responsible for the future manufacture of the product and completed the transfer of the product’s manufacturing activities to a new supplier and received FDA approval for that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Distribution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Like many pharmaceutical companies, we engage a third-party with appropriate facilities and logistical expertise to support the U.S. distribution of our products. In 2021, Cardinal Health Specialty Solutions has exclusively handled our U.S. product logistics activities, including warehousing, shipping, and various other customer activities. Our primary customers are the wholesalers of pharmaceuticals who provide our products to hospitals, clinics and retail pharmacies in the U.S.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TRADEMARKS AND OTHER INTELLECTUAL PROPRIETARY RIGHTS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We own the trademarks for each of our branded pharmaceutical products as well as for our corporate name and logo. We have applied for trademark registration for other various names and logos.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Over time, we intend to maintain registrations on trademarks that remain valuable to our business.</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seek to protect our products from competition through a combination of patents, trademarks, trade secrets, FDA exclusivity and contractual restrictions on disclosure. Proprietary rights, including patents, are an important element of our business. We seek to protect our proprietary information by requiring our employees, consultants, contractors and other advisors to execute agreements providing for protection of our confidential information upon commencement of their employment or engagement. We also require confidentiality agreements from entities to which we provide our confidential information or materials.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Acetadote</w:t>
      </w:r>
      <w:r>
        <w:rPr>
          <w:rFonts w:ascii="Arial" w:cs="Arial" w:eastAsia="Arial" w:hAnsi="Arial"/>
          <w:sz w:val="18"/>
          <w:szCs w:val="18"/>
          <w:b w:val="1"/>
          <w:bCs w:val="1"/>
          <w:color w:val="auto"/>
          <w:vertAlign w:val="superscript"/>
        </w:rPr>
        <w: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developed a new formulation of Acetadote (acetylcysteine) Injection as part of a Phase IV commitment in response to a request by the FDA to evaluate the reduction of ethylene diamine tetraacetic acid ("EDTA") from the product's formulation. In April 2012, the USPTO issued U.S. Patent number 8,148,356 (the “356 Acetadote Patent”) which is assigned to us.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Following the issuance of the 356 Acetadote Patent, we received separate Paragraph IV certification notices from InnoPharma, Inc. ("InnoPharma"), Paddock Laboratories, LLC (“Paddock”), Mylan Institutional LLC (“Mylan”), Sagent Agila LLC ("Sagent") and Perrigo Company ("Perrigo") challenging the 356 Acetadote Patent on the basis of non-infringement and/or invalidity. We responded by filing five separate infringement lawsuits, in the appropriate United States District Courts, to contest each of the challenges.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November 12, 2012, we entered into a Settlement Agreement (the “Settlement Agreement”) with Paddock and Perrigo to resolve the challenges and the pending litigation with those two companies.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November 1, 2013, the United States District Courts filed opinions granting Sagent’s and InnoPharma’s motions to dismiss our suits and we agreed not to file an appeal or motion to reconsider, thereby resolving the challenges and the pending litigation with those two companies.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 the Settlement Agreement, Paddock and Perrigo admit that the 356 Acetadote Patent is valid and enforceable and that any Paddock or Perrigo generic version of Acetadote (with or without EDTA) would infringe upon the 356 Acetadote Patent. In addition, Paddock and Perrigo will not challenge the validity, enforceability, ownership or patentability of the 356 Acetadote Patent through its expiration currently scheduled for May 2026. On November 12, 2012, in connection with the execution of the Settlement Agreement, we entered into a License and Supply Agreement with Paddock and Perrigo (the “License and Supply Agreement”).</w:t>
      </w:r>
    </w:p>
    <w:p>
      <w:pPr>
        <w:spacing w:after="0" w:line="9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Under the terms of the License and Supply Agreement, if a third party receives final approval from the FDA for an ANDA to sell a generic Acetadote product and such third party made such generic version available for purchase in commercial quantities in the United States, we are to supply Perrigo with an Authorized Generic version of our Acetadote product.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22" w:name="page23"/>
    <w:bookmarkEnd w:id="22"/>
    <w:p>
      <w:pPr>
        <w:jc w:val="both"/>
        <w:spacing w:after="0" w:line="278" w:lineRule="auto"/>
        <w:rPr>
          <w:sz w:val="20"/>
          <w:szCs w:val="20"/>
          <w:color w:val="auto"/>
        </w:rPr>
      </w:pPr>
      <w:r>
        <w:rPr>
          <w:rFonts w:ascii="Arial" w:cs="Arial" w:eastAsia="Arial" w:hAnsi="Arial"/>
          <w:sz w:val="14"/>
          <w:szCs w:val="14"/>
          <w:color w:val="auto"/>
        </w:rPr>
        <w:t>On May 18, 2012, we also submitted a Citizen Petition to the FDA requesting that the FDA refrain from approving any applications for acetylcysteine injection that contain EDTA, based in part on the FDA's request that we evaluate the reduction or removal of EDTA from our original Acetadote formulation.</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November 7, 2012, the FDA responded to the Citizen Petition denying our request and on November 8, 2012, we learned that the FDA approved the ANDA referencing Acetadote filed by InnoPharma, Inc. We brought suit against the FDA contesting the FDA's decision to approve the InnoPharma generic on November 13, 2012.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On September 30, 2013, the United States District Court filed an opinion granting a summary judgment in favor of the FDA regarding this suit.</w:t>
      </w:r>
    </w:p>
    <w:p>
      <w:pPr>
        <w:spacing w:after="0" w:line="124" w:lineRule="exact"/>
        <w:rPr>
          <w:sz w:val="20"/>
          <w:szCs w:val="20"/>
          <w:color w:val="auto"/>
        </w:rPr>
      </w:pPr>
    </w:p>
    <w:p>
      <w:pPr>
        <w:ind w:right="140"/>
        <w:spacing w:after="0" w:line="318" w:lineRule="auto"/>
        <w:rPr>
          <w:sz w:val="20"/>
          <w:szCs w:val="20"/>
          <w:color w:val="auto"/>
        </w:rPr>
      </w:pPr>
      <w:r>
        <w:rPr>
          <w:rFonts w:ascii="Arial" w:cs="Arial" w:eastAsia="Arial" w:hAnsi="Arial"/>
          <w:sz w:val="13"/>
          <w:szCs w:val="13"/>
          <w:color w:val="auto"/>
        </w:rPr>
        <w:t>As noted above, during 2012 the FDA approved the ANDA referencing Acetadote filed by InnoPharma, Inc. Upon this condition, in accordance with the License and Supply agreement with Perrigo, we began to supply Perrigo with our Authorized Generic. On January 7, 2013, Perrigo announced initial distribution of our Authorized Generic acetylcysteine injection product.</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March 19, 2013, the USPTO issued U.S. Patent number 8,399,445 (the “445 Acetadote Patent”) which is assigned to us. The claims of the 445 Acetadote Patent encompass the use of the 200 mg/ml Acetadote formulation to treat patients with acetaminophen overdose. On April 8, 2013, the 445 Acetadote Patent was listed in the FDA Orange Book. The 445 Acetadote Patent is scheduled to expire in August 2025. Following the issuance of the 445 Acetadote Patent we received separate Paragraph IV certification notices from Perrigo, Sagent Pharmaceuticals, Inc., and Mylan challenging the 445 Acetadote Patent on the basis of non-infringement, unenforceability and/or invalidity.</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June 10, 2013, we became aware of a Paragraph IV certification notice from Akorn, Inc. challenging the 445 Acetadote Patent and the 356 Acetadote Patent on the basis of non-infringement. On July 12, 2013, we filed a lawsuit for infringement of the 356 Acetadote Patent against Akorn, Inc. in United States District Court.</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February 18, 2014, the USPTO issued U.S. Patent number 8,653,061 (the “061 Acetadote Patent”) which is assigned to us. The claims of the 061 Acetadote Patent encompass the use of the 200 mg/ml Acetadote formulation to treat patients with acetaminophen overdose. Following its issuance, the 061 Acetadote Patent was listed in the FDA Orange Book. The 061 Acetadote Patent is scheduled to expire in August 2025.</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May 13, 2014, the USPTO issued U.S. Patent number 8,722,738 (the “738 Acetadote Patent”) which is assigned to us. The claims of the 738 Acetadote Patent encompass administration methods of acetylcysteine injection, without specification of the presence or lack of EDTA in the injection. Following its issuance, the 738 Acetadote Patent was listed in the FDA Orange Book and it is scheduled to expire in April 2032.</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December 11, 2014 and March 3, 2015, we became aware of Paragraph IV certification notices from Aurobindo Pharma Limited and Zydus Pharmaceuticals (USA) Inc., respectively, challenging the 356, 445, 061, and 738 Acetadote Patents on the basis of non-infringement.</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February 10, 2015, the USPTO issued U.S. Patent number 8,952,065 (the “065 Acetadote Patent”) which is assigned to us. The claims of the 065 Acetadote Patent encompass the use of the 200 mg/ml Acetadote formulation to treat patients with acute liver failure. The 065 Acetadote Patent is scheduled to expire in August 2025.</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September 30, 2015, the United States District Court for the Northern District of Illinois, Eastern Division ("District Court") ruled in our favor in our lawsuit against Mylan for infringement of the 445 Acetadote Patent. The opinion upheld our 445 Acetadote Patent and expressly rejected Mylan's validity challenge. The District Court ruled that Mylan is liable to us for infringement of the 445 Acetadote patent in light of Mylan's Abbreviated New Drug Application in which Mylan sought to market a generic version of Acetadote.</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November 17, 2015, the District Court entered an order enjoining Mylan and its affiliates from selling or using its generic version of Acetadote until August 2025, the date of expiration of the 445 Acetadote Patent. On October 30, 2015, Mylan filed a notice of appeal to the U.S. Court of Appeals for the Federal Circuit (the "Appeals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23" w:name="page24"/>
    <w:bookmarkEnd w:id="23"/>
    <w:p>
      <w:pPr>
        <w:jc w:val="both"/>
        <w:spacing w:after="0" w:line="265" w:lineRule="auto"/>
        <w:rPr>
          <w:sz w:val="20"/>
          <w:szCs w:val="20"/>
          <w:color w:val="auto"/>
        </w:rPr>
      </w:pPr>
      <w:r>
        <w:rPr>
          <w:rFonts w:ascii="Arial" w:cs="Arial" w:eastAsia="Arial" w:hAnsi="Arial"/>
          <w:sz w:val="14"/>
          <w:szCs w:val="14"/>
          <w:color w:val="auto"/>
        </w:rPr>
        <w:t>On May 3, 2016, the USPTO issued U.S. Patent number 9,327,028 (the “028 Acetadote Patent”) which is assigned to us. The claims of the 028 Acetadote Patent encompass administration methods of acetylcysteine injection, without specification of the presence or lack of EDTA in the injection. Following its issuance, the 028 Acetadote Patent was listed in the FDA Orange Book and it is scheduled to expire in July 2031.</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January 26, 2017, the Appeals Court affirmed the District Court ruling in our favor in our lawsuit against Mylan for infringement of the 445 Acetadote Patent. The Appeals Court opinion affirmed the District Court’s ruling upholding our 445 Acetadote Patent and expressly rejected Mylan's validity challenge.</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November 3, 2017, we became aware of a Paragraph IV certification notice from Exela Pharma Sciences, LLC challenging the 356, 445, 061, 738, and 028 Acetadote Patents on the basis of non-infringement.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Caldolor</w:t>
      </w:r>
      <w:r>
        <w:rPr>
          <w:rFonts w:ascii="Arial" w:cs="Arial" w:eastAsia="Arial" w:hAnsi="Arial"/>
          <w:sz w:val="18"/>
          <w:szCs w:val="18"/>
          <w:b w:val="1"/>
          <w:bCs w:val="1"/>
          <w:color w:val="auto"/>
          <w:vertAlign w:val="superscript"/>
        </w:rPr>
        <w:t>®</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have an exclusive, worldwide license to clinical data for intravenous ibuprofen from Vanderbilt University, in consideration for royalty obligations related to Caldolor. During 2014, we obtained additional patents for the brand. On May 27, 2014, the USPTO issued U.S. Patent number 8,735,452 (the “452 Caldolor Patent”) which is assigned to us. The claims of the 452 Caldolor Patent encompass methods of treating pain using intravenous ibuprofen. Following its issuance, the 452 Caldolor Patent was listed in the FDA Orange Book and is scheduled to expire in September 2029.</w:t>
      </w:r>
    </w:p>
    <w:p>
      <w:pPr>
        <w:spacing w:after="0" w:line="7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On October 28, 2014, the USPTO issued U.S. Patent number 8,871,810 (the “810 Caldolor Patent”) which is assigned to us. The claims of the 810 Caldolor Patent encompass methods of treating pain using intravenous ibuprofen. Following its issuance, the 810 Caldolor Patent was listed in the FDA Orange Book and is scheduled to expire in September 2029.</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third quarter of 2015, we obtained four additional patents for Caldolor. On July 7, 2015, the USPTO issued U.S. Patent number’s 9,072,710 (the “710 Caldolor Patent”) and 9,072,661 (the “661 Caldolor Patent”) which are assigned to us. The claims of the 710 Caldolor Patent and the 661 Caldolor Patent include composition and methods of treating pain, inflammation and fever using intravenous ibuprofen. These Caldolor Patents are listed in the FDA Orange Book and are scheduled to expire in March 2032. On April 21, 2015, the USPTO issued U.S. Patent No. 9,012,508 (the “508 Caldolor Patent”) which is assigned to us.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claims of the 508 Caldolor Patent include methods of treating pain using intravenous ibuprofen. Following its issuance, the 508 Caldolor Patent was listed in the FDA Orange Book and is scheduled to expire in September 2030. On August 25, 2015, the USPTO issued U.S. Patent number 9,114,068 (the “068 Caldolor Patent”) which is assigned to us. The claims of the 068 Caldolor Patent include methods of treating pain using intravenous ibuprofen.</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Following its issuance, the 068 Caldolor Patent was listed in the FDA Orange Book and is scheduled to expire in September 2029. On September 22, 2015, the USPTO issued U.S. Patent number 9,138,404 (the “404 Caldolor Patent”) which is assigned to us.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claims of the 404 Caldolor Patent include methods of treating pain in critically ill patients with intravenous ibuprofen. Following its issuance, the 404 Caldolor Patent was listed in the FDA Orange Book and is scheduled to expire in September 2029.</w:t>
      </w:r>
    </w:p>
    <w:p>
      <w:pPr>
        <w:spacing w:after="0" w:line="70"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On March 29, 2016, the USPTO issued U.S. Patent number 9,295,639 (the "639 Caldolor Patent") which is assigned to us. The claims of the 639 Caldolor Patent include methods of treating pain in critically ill patients with intravenous ibuprofen. Following its issuance, the 639 Caldolor Patent was listed in the FDA Orange Book and is scheduled to expire in September 2029.</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May 16, 2017, the USPTO issued U.S. Patent number 9,649,284 (the "284 Caldolor Patent") which is assigned to us. The claims of the 284 Caldolor Patent include methods of treating pain in critically ill patients with intravenous ibuprofen. Following its issuance, the 284 Caldolor Patent was listed in the FDA Orange Book and is scheduled to expire in September 2029. We also have additional patent applications related to Caldolor which are pending with the USPTO.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Vibativ</w:t>
      </w:r>
      <w:r>
        <w:rPr>
          <w:rFonts w:ascii="Arial" w:cs="Arial" w:eastAsia="Arial" w:hAnsi="Arial"/>
          <w:sz w:val="18"/>
          <w:szCs w:val="18"/>
          <w:b w:val="1"/>
          <w:bCs w:val="1"/>
          <w:color w:val="auto"/>
          <w:vertAlign w:val="superscript"/>
        </w:rPr>
        <w:t>®</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own numerous U.S. patents and related international patents for Vibativ. These patents were acquired in our November 2018 acquisition of certain product rights, intellectual property and related assets of Vibativ from Theravance. Three Vibativ patents are listed in the FDA Orange Book. U.S. Patent number 7,531,623 (the “623 Vibativ Patent”) is scheduled to expire in January 2027 and includes composition of matter claims that encompass the Vibativ drug substance as well as methods for preparing the Vibativ drug substance.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Sancuso</w:t>
      </w:r>
      <w:r>
        <w:rPr>
          <w:rFonts w:ascii="Arial" w:cs="Arial" w:eastAsia="Arial" w:hAnsi="Arial"/>
          <w:sz w:val="18"/>
          <w:szCs w:val="18"/>
          <w:b w:val="1"/>
          <w:bCs w:val="1"/>
          <w:i w:val="1"/>
          <w:iCs w:val="1"/>
          <w:color w:val="auto"/>
          <w:vertAlign w:val="superscript"/>
        </w:rPr>
        <w:t>®</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are the owner of U.S. Patent number 7,608,282 (the “282 Sancuso Patent”) for Sancuso. This patent was acquired in our December 2021 acquisition, that closed in January 2022, of certain product rights, intellectual property and related assets of Sancuso from Kyowa Kirin, Inc. The 282 Sancuso Patent is listed in the FDA Orange Book and is scheduled to expire in January 2025. The 282 Sancuso Patent includes composition of matter claims that encompass the Sancuso drug product as well as methods of using Sancuso for treatment and/or prophylaxis.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Remaining Products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no issued patents for our Vaprisol, RediTrex, Omeclamox-Pak and Kristalose products. We have multiple granted patents relating to our ifetroban products and patent applications pending with the USPTO.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0"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COMPETITION</w:t>
      </w:r>
    </w:p>
    <w:p>
      <w:pPr>
        <w:spacing w:after="0" w:line="11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w:t>
      </w:r>
    </w:p>
    <w:p>
      <w:pPr>
        <w:spacing w:after="0" w:line="80" w:lineRule="exact"/>
        <w:rPr>
          <w:sz w:val="20"/>
          <w:szCs w:val="20"/>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 attributes such as efficacy, safety, ease-of-use and cost-effectiveness;</w:t>
      </w:r>
    </w:p>
    <w:p>
      <w:pPr>
        <w:spacing w:after="0" w:line="123"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brand awareness and recognition driven by sales, marketing and distribution capabilities;</w:t>
      </w:r>
    </w:p>
    <w:p>
      <w:pPr>
        <w:spacing w:after="0" w:line="113"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intellectual property and other exclusivity rights;</w:t>
      </w:r>
    </w:p>
    <w:p>
      <w:pPr>
        <w:spacing w:after="0" w:line="123"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availability of resources to build and maintain developmental and commercial capabilities;</w:t>
      </w:r>
    </w:p>
    <w:p>
      <w:pPr>
        <w:spacing w:after="0" w:line="123"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successful business development activities;</w:t>
      </w:r>
    </w:p>
    <w:p>
      <w:pPr>
        <w:spacing w:after="0" w:line="113"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extent of third-party reimbursements, insurance coverage; and</w:t>
      </w:r>
    </w:p>
    <w:p>
      <w:pPr>
        <w:spacing w:after="0" w:line="123"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establishment of advantageous collaborations to conduct development, manufacturing or commercialization efforts.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number of our competitors possess research and development and sales and marketing capabilities as well as financial resources greater than ours. These competitors, in addition to emerging companies and academic research institutions, may be developing, or in the future could develop, new technologies that could compete with our current and future products or render our products obsolete.</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products face competition from other branded products, generics, and alternate medical treatments. Our task is to position each brand to feature its competitive advantages, implement a well thought out marketing plan and provide focused sales and other tactical support.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Acetadote</w:t>
      </w:r>
      <w:r>
        <w:rPr>
          <w:rFonts w:ascii="Arial" w:cs="Arial" w:eastAsia="Arial" w:hAnsi="Arial"/>
          <w:sz w:val="18"/>
          <w:szCs w:val="18"/>
          <w:b w:val="1"/>
          <w:bCs w:val="1"/>
          <w:color w:val="auto"/>
          <w:vertAlign w:val="superscript"/>
        </w:rPr>
        <w:t>®</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Acetadote is our injectable formulation of N-acetylcysteine </w:t>
      </w:r>
      <w:r>
        <w:rPr>
          <w:rFonts w:ascii="Arial" w:cs="Arial" w:eastAsia="Arial" w:hAnsi="Arial"/>
          <w:sz w:val="14"/>
          <w:szCs w:val="14"/>
          <w:i w:val="1"/>
          <w:iCs w:val="1"/>
          <w:color w:val="auto"/>
        </w:rPr>
        <w:t>("</w:t>
      </w:r>
      <w:r>
        <w:rPr>
          <w:rFonts w:ascii="Arial" w:cs="Arial" w:eastAsia="Arial" w:hAnsi="Arial"/>
          <w:sz w:val="14"/>
          <w:szCs w:val="14"/>
          <w:color w:val="auto"/>
        </w:rPr>
        <w:t>NAC") for the treatment of acetaminophen overdose. NAC is accepted worldwide as the standard of care for acetaminophen overdose. Our competitors in the acetaminophen overdose market are those companies selling orally administered NAC including, but not limited to, Geneva Pharmaceuticals, Inc., Bedford Laboratories division of Hikma Pharmaceuticals, Roxane Laboratories, Inc., InnoPharma Inc. and Hospira Inc.</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November 2012, InnoPharma Inc. was granted approval by the FDA to distribute their generic form of the old formulation of Acetadote containing EDTA. In late 2012, we entered into the Settlement Agreement with Paddock and Perrigo that included the right to distribute our Authorized Generic Acetadote injection product. Our branded Acetadote now competes with both the EDTA free Authorized Generic Acetadote distributed by Paddock and Perrigo along with generic Acetadote products that contain EDTA.</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Manufactures of the old Acetadote formulation include: Akorn, AuroMedics Pharma, Fresenius Kabi and Sagent Pharmaceuticals.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Caldolor</w:t>
      </w:r>
      <w:r>
        <w:rPr>
          <w:rFonts w:ascii="Arial" w:cs="Arial" w:eastAsia="Arial" w:hAnsi="Arial"/>
          <w:sz w:val="18"/>
          <w:szCs w:val="18"/>
          <w:b w:val="1"/>
          <w:bCs w:val="1"/>
          <w:color w:val="auto"/>
          <w:vertAlign w:val="superscript"/>
        </w:rPr>
        <w: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Caldolor is marketed for the treatment of pain and fever, primarily in a hospital or surgery center setting. A variety of other products address the acute pain market:</w:t>
      </w:r>
    </w:p>
    <w:p>
      <w:pPr>
        <w:spacing w:after="0" w:line="124" w:lineRule="exact"/>
        <w:rPr>
          <w:sz w:val="20"/>
          <w:szCs w:val="20"/>
          <w:color w:val="auto"/>
        </w:rPr>
      </w:pPr>
    </w:p>
    <w:p>
      <w:pPr>
        <w:ind w:left="760" w:hanging="250"/>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Morphine, the most commonly used product for the treatment of acute, post-operative pain, is manufactured and distributed by several generic pharmaceutical companies;</w:t>
      </w:r>
    </w:p>
    <w:p>
      <w:pPr>
        <w:spacing w:after="0" w:line="124" w:lineRule="exact"/>
        <w:rPr>
          <w:rFonts w:ascii="Arial" w:cs="Arial" w:eastAsia="Arial" w:hAnsi="Arial"/>
          <w:sz w:val="13"/>
          <w:szCs w:val="13"/>
          <w:color w:val="auto"/>
        </w:rPr>
      </w:pPr>
    </w:p>
    <w:p>
      <w:pPr>
        <w:ind w:left="760" w:hanging="250"/>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generic injectable opioids, including fentanyl, meperidine and hydromorphone, address this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26" w:name="page27"/>
    <w:bookmarkEnd w:id="26"/>
    <w:p>
      <w:pPr>
        <w:ind w:left="760" w:hanging="250"/>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Ketorolac tromethamine (brand name Toradol</w:t>
      </w:r>
      <w:r>
        <w:rPr>
          <w:rFonts w:ascii="Arial" w:cs="Arial" w:eastAsia="Arial" w:hAnsi="Arial"/>
          <w:sz w:val="18"/>
          <w:szCs w:val="18"/>
          <w:color w:val="auto"/>
          <w:vertAlign w:val="superscript"/>
        </w:rPr>
        <w:t>®</w:t>
      </w:r>
      <w:r>
        <w:rPr>
          <w:rFonts w:ascii="Arial" w:cs="Arial" w:eastAsia="Arial" w:hAnsi="Arial"/>
          <w:sz w:val="14"/>
          <w:szCs w:val="14"/>
          <w:color w:val="auto"/>
        </w:rPr>
        <w:t>), an injectable NSAID, is also manufactured and distributed by several generic pharmaceutical companies;</w:t>
      </w:r>
    </w:p>
    <w:p>
      <w:pPr>
        <w:spacing w:after="0" w:line="71" w:lineRule="exact"/>
        <w:rPr>
          <w:rFonts w:ascii="Arial" w:cs="Arial" w:eastAsia="Arial" w:hAnsi="Arial"/>
          <w:sz w:val="14"/>
          <w:szCs w:val="14"/>
          <w:color w:val="auto"/>
        </w:rPr>
      </w:pPr>
    </w:p>
    <w:p>
      <w:pPr>
        <w:ind w:left="760" w:hanging="250"/>
        <w:spacing w:after="0"/>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IV acetaminophen (brand name Ofirmev</w:t>
      </w:r>
      <w:r>
        <w:rPr>
          <w:rFonts w:ascii="Arial" w:cs="Arial" w:eastAsia="Arial" w:hAnsi="Arial"/>
          <w:sz w:val="17"/>
          <w:szCs w:val="17"/>
          <w:color w:val="auto"/>
          <w:vertAlign w:val="superscript"/>
        </w:rPr>
        <w:t>®)</w:t>
      </w:r>
      <w:r>
        <w:rPr>
          <w:rFonts w:ascii="Arial" w:cs="Arial" w:eastAsia="Arial" w:hAnsi="Arial"/>
          <w:sz w:val="13"/>
          <w:szCs w:val="13"/>
          <w:color w:val="auto"/>
        </w:rPr>
        <w:t>, an injectable analgesic product is sold by Mallinckrodt plc, and there are also generic versions from different manufacturers available;</w:t>
      </w:r>
    </w:p>
    <w:p>
      <w:pPr>
        <w:spacing w:after="0" w:line="89" w:lineRule="exact"/>
        <w:rPr>
          <w:rFonts w:ascii="Arial" w:cs="Arial" w:eastAsia="Arial" w:hAnsi="Arial"/>
          <w:sz w:val="13"/>
          <w:szCs w:val="13"/>
          <w:color w:val="auto"/>
        </w:rPr>
      </w:pPr>
    </w:p>
    <w:p>
      <w:pPr>
        <w:ind w:left="760" w:hanging="250"/>
        <w:spacing w:after="0" w:line="253" w:lineRule="auto"/>
        <w:tabs>
          <w:tab w:leader="none" w:pos="756" w:val="left"/>
        </w:tabs>
        <w:numPr>
          <w:ilvl w:val="0"/>
          <w:numId w:val="8"/>
        </w:numPr>
        <w:rPr>
          <w:rFonts w:ascii="Arial" w:cs="Arial" w:eastAsia="Arial" w:hAnsi="Arial"/>
          <w:sz w:val="17"/>
          <w:szCs w:val="17"/>
          <w:color w:val="auto"/>
        </w:rPr>
      </w:pPr>
      <w:r>
        <w:rPr>
          <w:rFonts w:ascii="Arial" w:cs="Arial" w:eastAsia="Arial" w:hAnsi="Arial"/>
          <w:sz w:val="14"/>
          <w:szCs w:val="14"/>
          <w:color w:val="auto"/>
        </w:rPr>
        <w:t>Bupivacaine injectable suspension (brand name Exparel</w:t>
      </w:r>
      <w:r>
        <w:rPr>
          <w:rFonts w:ascii="Arial" w:cs="Arial" w:eastAsia="Arial" w:hAnsi="Arial"/>
          <w:sz w:val="21"/>
          <w:szCs w:val="21"/>
          <w:color w:val="auto"/>
          <w:vertAlign w:val="superscript"/>
        </w:rPr>
        <w:t>®</w:t>
      </w:r>
      <w:r>
        <w:rPr>
          <w:rFonts w:ascii="Arial" w:cs="Arial" w:eastAsia="Arial" w:hAnsi="Arial"/>
          <w:sz w:val="14"/>
          <w:szCs w:val="14"/>
          <w:color w:val="auto"/>
        </w:rPr>
        <w:t>), product sold by Pacira Pharmaceuticals, Inc., two additional bupivacaine products, Xaracoll and Posimir, were recently approved; and</w:t>
      </w:r>
    </w:p>
    <w:p>
      <w:pPr>
        <w:spacing w:after="0" w:line="102" w:lineRule="exact"/>
        <w:rPr>
          <w:rFonts w:ascii="Arial" w:cs="Arial" w:eastAsia="Arial" w:hAnsi="Arial"/>
          <w:sz w:val="17"/>
          <w:szCs w:val="17"/>
          <w:color w:val="auto"/>
        </w:rPr>
      </w:pPr>
    </w:p>
    <w:p>
      <w:pPr>
        <w:ind w:left="760" w:hanging="250"/>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4"/>
          <w:szCs w:val="14"/>
          <w:color w:val="auto"/>
        </w:rPr>
        <w:t>IV meloxicam (brand name Anjeso™), a once a day injectable COX-2 preferential NSAID manufactured by Baudax Bio which was recently approved by the FDA.</w:t>
      </w:r>
    </w:p>
    <w:p>
      <w:pPr>
        <w:spacing w:after="0" w:line="10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are aware of other product candidates in development to treat acute pain including injectable NSAIDs, novel opioids, new formulations of existing therapies and extended release anesthetics. We believe non-narcotic analgesics for the treatment of post-surgical pain are the primary potential competitors to Caldolor.</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to the injectable analgesic products above, many companies are developing analgesics for specific indications such as migraine and neuropathic pain, oral extended-release forms of existing narcotic and non-narcotic products, as well as those with new methods of delivery such as transdermal. We are not aware of any approved injectable products indicated for the treatment of fever in the U.S. other than Caldolor and Ofirmev.</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There are, however, numerous drugs available to physicians to reduce fevers in hospital settings via oral administration to the patient, including ibuprofen, acetaminophen, and aspirin. These drugs are manufactured by numerous pharmaceutical companies.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Kristalose</w:t>
      </w:r>
      <w:r>
        <w:rPr>
          <w:rFonts w:ascii="Arial" w:cs="Arial" w:eastAsia="Arial" w:hAnsi="Arial"/>
          <w:sz w:val="18"/>
          <w:szCs w:val="18"/>
          <w:b w:val="1"/>
          <w:bCs w:val="1"/>
          <w:color w:val="auto"/>
          <w:vertAlign w:val="superscript"/>
        </w:rPr>
        <w:t>®</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Kristalose is a dry powder crystalline prescription formulation of lactulose indicated for the treatment of constipation. The U.S. constipation therapy market includes various prescription and over the counter, or OTC, products. The branded prescription products which we believe are our primary competitors are:</w:t>
      </w:r>
    </w:p>
    <w:p>
      <w:pPr>
        <w:spacing w:after="0" w:line="59" w:lineRule="exact"/>
        <w:rPr>
          <w:sz w:val="20"/>
          <w:szCs w:val="20"/>
          <w:color w:val="auto"/>
        </w:rPr>
      </w:pPr>
    </w:p>
    <w:p>
      <w:pPr>
        <w:ind w:left="520" w:hanging="263"/>
        <w:spacing w:after="0" w:line="226" w:lineRule="auto"/>
        <w:tabs>
          <w:tab w:leader="none" w:pos="511" w:val="left"/>
        </w:tabs>
        <w:numPr>
          <w:ilvl w:val="0"/>
          <w:numId w:val="9"/>
        </w:numPr>
        <w:rPr>
          <w:rFonts w:ascii="Arial" w:cs="Arial" w:eastAsia="Arial" w:hAnsi="Arial"/>
          <w:sz w:val="15"/>
          <w:szCs w:val="15"/>
          <w:color w:val="auto"/>
        </w:rPr>
      </w:pPr>
      <w:r>
        <w:rPr>
          <w:rFonts w:ascii="Arial" w:cs="Arial" w:eastAsia="Arial" w:hAnsi="Arial"/>
          <w:sz w:val="14"/>
          <w:szCs w:val="14"/>
          <w:color w:val="auto"/>
        </w:rPr>
        <w:t>Lubiproston (brand name Amitiza</w:t>
      </w:r>
      <w:r>
        <w:rPr>
          <w:rFonts w:ascii="Arial" w:cs="Arial" w:eastAsia="Arial" w:hAnsi="Arial"/>
          <w:sz w:val="21"/>
          <w:szCs w:val="21"/>
          <w:color w:val="auto"/>
          <w:vertAlign w:val="superscript"/>
        </w:rPr>
        <w:t>®</w:t>
      </w:r>
      <w:r>
        <w:rPr>
          <w:rFonts w:ascii="Arial" w:cs="Arial" w:eastAsia="Arial" w:hAnsi="Arial"/>
          <w:sz w:val="14"/>
          <w:szCs w:val="14"/>
          <w:color w:val="auto"/>
        </w:rPr>
        <w:t>), an oral product indicated for the treatment of chronic idiopathic constipation, irritable bowel syndrome with constipation in adults, is manufactured and sold by Mallinckrodt Pharmaceuticals.</w:t>
      </w:r>
    </w:p>
    <w:p>
      <w:pPr>
        <w:spacing w:after="0" w:line="105" w:lineRule="exact"/>
        <w:rPr>
          <w:rFonts w:ascii="Arial" w:cs="Arial" w:eastAsia="Arial" w:hAnsi="Arial"/>
          <w:sz w:val="15"/>
          <w:szCs w:val="15"/>
          <w:color w:val="auto"/>
        </w:rPr>
      </w:pPr>
    </w:p>
    <w:p>
      <w:pPr>
        <w:ind w:left="520" w:hanging="263"/>
        <w:spacing w:after="0" w:line="220" w:lineRule="auto"/>
        <w:tabs>
          <w:tab w:leader="none" w:pos="511" w:val="left"/>
        </w:tabs>
        <w:numPr>
          <w:ilvl w:val="0"/>
          <w:numId w:val="9"/>
        </w:numPr>
        <w:rPr>
          <w:rFonts w:ascii="Arial" w:cs="Arial" w:eastAsia="Arial" w:hAnsi="Arial"/>
          <w:sz w:val="15"/>
          <w:szCs w:val="15"/>
          <w:color w:val="auto"/>
        </w:rPr>
      </w:pPr>
      <w:r>
        <w:rPr>
          <w:rFonts w:ascii="Arial" w:cs="Arial" w:eastAsia="Arial" w:hAnsi="Arial"/>
          <w:sz w:val="14"/>
          <w:szCs w:val="14"/>
          <w:color w:val="auto"/>
        </w:rPr>
        <w:t>Naloxegol (brand name Movantik</w:t>
      </w:r>
      <w:r>
        <w:rPr>
          <w:rFonts w:ascii="Arial" w:cs="Arial" w:eastAsia="Arial" w:hAnsi="Arial"/>
          <w:sz w:val="21"/>
          <w:szCs w:val="21"/>
          <w:color w:val="auto"/>
          <w:vertAlign w:val="superscript"/>
        </w:rPr>
        <w:t>®</w:t>
      </w:r>
      <w:r>
        <w:rPr>
          <w:rFonts w:ascii="Arial" w:cs="Arial" w:eastAsia="Arial" w:hAnsi="Arial"/>
          <w:sz w:val="14"/>
          <w:szCs w:val="14"/>
          <w:color w:val="auto"/>
        </w:rPr>
        <w:t>), an oral product indicated for the treatment of opioid-induced constipation in adults with chronic non-cancer pain and recently acquired by RedHill Biopharma in the first quarter of 2020.</w:t>
      </w:r>
    </w:p>
    <w:p>
      <w:pPr>
        <w:spacing w:after="0" w:line="84" w:lineRule="exact"/>
        <w:rPr>
          <w:rFonts w:ascii="Arial" w:cs="Arial" w:eastAsia="Arial" w:hAnsi="Arial"/>
          <w:sz w:val="15"/>
          <w:szCs w:val="15"/>
          <w:color w:val="auto"/>
        </w:rPr>
      </w:pPr>
    </w:p>
    <w:p>
      <w:pPr>
        <w:ind w:left="520" w:hanging="263"/>
        <w:spacing w:after="0" w:line="226" w:lineRule="auto"/>
        <w:tabs>
          <w:tab w:leader="none" w:pos="511" w:val="left"/>
        </w:tabs>
        <w:numPr>
          <w:ilvl w:val="0"/>
          <w:numId w:val="9"/>
        </w:numPr>
        <w:rPr>
          <w:rFonts w:ascii="Arial" w:cs="Arial" w:eastAsia="Arial" w:hAnsi="Arial"/>
          <w:sz w:val="15"/>
          <w:szCs w:val="15"/>
          <w:color w:val="auto"/>
        </w:rPr>
      </w:pPr>
      <w:r>
        <w:rPr>
          <w:rFonts w:ascii="Arial" w:cs="Arial" w:eastAsia="Arial" w:hAnsi="Arial"/>
          <w:sz w:val="14"/>
          <w:szCs w:val="14"/>
          <w:color w:val="auto"/>
        </w:rPr>
        <w:t>Linaclotide (brand name Linzess</w:t>
      </w:r>
      <w:r>
        <w:rPr>
          <w:rFonts w:ascii="Arial" w:cs="Arial" w:eastAsia="Arial" w:hAnsi="Arial"/>
          <w:sz w:val="21"/>
          <w:szCs w:val="21"/>
          <w:color w:val="auto"/>
          <w:vertAlign w:val="superscript"/>
        </w:rPr>
        <w:t>®</w:t>
      </w:r>
      <w:r>
        <w:rPr>
          <w:rFonts w:ascii="Arial" w:cs="Arial" w:eastAsia="Arial" w:hAnsi="Arial"/>
          <w:sz w:val="14"/>
          <w:szCs w:val="14"/>
          <w:color w:val="auto"/>
        </w:rPr>
        <w:t>), an oral product indicated for the treatment of irritable bowel syndrome with constipation and chronic idiopathic constipation. It is sold by Allergan, Inc. and Ironwood Pharmaceuticals, Inc.</w:t>
      </w:r>
    </w:p>
    <w:p>
      <w:pPr>
        <w:spacing w:after="0" w:line="105" w:lineRule="exact"/>
        <w:rPr>
          <w:rFonts w:ascii="Arial" w:cs="Arial" w:eastAsia="Arial" w:hAnsi="Arial"/>
          <w:sz w:val="15"/>
          <w:szCs w:val="15"/>
          <w:color w:val="auto"/>
        </w:rPr>
      </w:pPr>
    </w:p>
    <w:p>
      <w:pPr>
        <w:ind w:left="520" w:hanging="263"/>
        <w:spacing w:after="0" w:line="226" w:lineRule="auto"/>
        <w:tabs>
          <w:tab w:leader="none" w:pos="511" w:val="left"/>
        </w:tabs>
        <w:numPr>
          <w:ilvl w:val="0"/>
          <w:numId w:val="9"/>
        </w:numPr>
        <w:rPr>
          <w:rFonts w:ascii="Arial" w:cs="Arial" w:eastAsia="Arial" w:hAnsi="Arial"/>
          <w:sz w:val="15"/>
          <w:szCs w:val="15"/>
          <w:color w:val="auto"/>
        </w:rPr>
      </w:pPr>
      <w:r>
        <w:rPr>
          <w:rFonts w:ascii="Arial" w:cs="Arial" w:eastAsia="Arial" w:hAnsi="Arial"/>
          <w:sz w:val="14"/>
          <w:szCs w:val="14"/>
          <w:color w:val="auto"/>
        </w:rPr>
        <w:t>Plecanatide (brand name Trulance</w:t>
      </w:r>
      <w:r>
        <w:rPr>
          <w:rFonts w:ascii="Arial" w:cs="Arial" w:eastAsia="Arial" w:hAnsi="Arial"/>
          <w:sz w:val="21"/>
          <w:szCs w:val="21"/>
          <w:color w:val="auto"/>
          <w:vertAlign w:val="superscript"/>
        </w:rPr>
        <w:t>®</w:t>
      </w:r>
      <w:r>
        <w:rPr>
          <w:rFonts w:ascii="Arial" w:cs="Arial" w:eastAsia="Arial" w:hAnsi="Arial"/>
          <w:sz w:val="14"/>
          <w:szCs w:val="14"/>
          <w:color w:val="auto"/>
        </w:rPr>
        <w:t>), an oral product indicated for the treatment of irritable bowel syndrome with constipation and chronic idiopathic constipation. It is sold by Synergy Pharmaceuticals.</w:t>
      </w:r>
    </w:p>
    <w:p>
      <w:pPr>
        <w:spacing w:after="0" w:line="106" w:lineRule="exact"/>
        <w:rPr>
          <w:rFonts w:ascii="Arial" w:cs="Arial" w:eastAsia="Arial" w:hAnsi="Arial"/>
          <w:sz w:val="15"/>
          <w:szCs w:val="15"/>
          <w:color w:val="auto"/>
        </w:rPr>
      </w:pPr>
    </w:p>
    <w:p>
      <w:pPr>
        <w:ind w:left="500" w:hanging="243"/>
        <w:spacing w:after="0"/>
        <w:tabs>
          <w:tab w:leader="none" w:pos="500" w:val="left"/>
        </w:tabs>
        <w:numPr>
          <w:ilvl w:val="0"/>
          <w:numId w:val="9"/>
        </w:numPr>
        <w:rPr>
          <w:rFonts w:ascii="Arial" w:cs="Arial" w:eastAsia="Arial" w:hAnsi="Arial"/>
          <w:sz w:val="15"/>
          <w:szCs w:val="15"/>
          <w:color w:val="auto"/>
        </w:rPr>
      </w:pPr>
      <w:r>
        <w:rPr>
          <w:rFonts w:ascii="Arial" w:cs="Arial" w:eastAsia="Arial" w:hAnsi="Arial"/>
          <w:sz w:val="14"/>
          <w:szCs w:val="14"/>
          <w:color w:val="auto"/>
        </w:rPr>
        <w:t>Generic and branded liquid lactulose products are marketed by a number of pharmaceutical companies.</w:t>
      </w:r>
    </w:p>
    <w:p>
      <w:pPr>
        <w:spacing w:after="0" w:line="122" w:lineRule="exact"/>
        <w:rPr>
          <w:rFonts w:ascii="Arial" w:cs="Arial" w:eastAsia="Arial" w:hAnsi="Arial"/>
          <w:sz w:val="15"/>
          <w:szCs w:val="15"/>
          <w:color w:val="auto"/>
        </w:rPr>
      </w:pPr>
    </w:p>
    <w:p>
      <w:pPr>
        <w:ind w:left="520" w:hanging="263"/>
        <w:spacing w:after="0" w:line="261" w:lineRule="auto"/>
        <w:tabs>
          <w:tab w:leader="none" w:pos="511" w:val="left"/>
        </w:tabs>
        <w:numPr>
          <w:ilvl w:val="0"/>
          <w:numId w:val="9"/>
        </w:numPr>
        <w:rPr>
          <w:rFonts w:ascii="Arial" w:cs="Arial" w:eastAsia="Arial" w:hAnsi="Arial"/>
          <w:sz w:val="15"/>
          <w:szCs w:val="15"/>
          <w:color w:val="auto"/>
        </w:rPr>
      </w:pPr>
      <w:r>
        <w:rPr>
          <w:rFonts w:ascii="Arial" w:cs="Arial" w:eastAsia="Arial" w:hAnsi="Arial"/>
          <w:sz w:val="14"/>
          <w:szCs w:val="14"/>
          <w:color w:val="auto"/>
        </w:rPr>
        <w:t>Lactitol for oral solution (brand name Pizensy), an oral, osmotic laxative indicated for the treatment of chronic idiopathic constipation and distributed by Braintree Laboratories, Inc. was recently approved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2" w:right="319" w:bottom="1440" w:gutter="0" w:footer="0" w:header="0"/>
        </w:sectPr>
      </w:pPr>
    </w:p>
    <w:bookmarkStart w:id="27" w:name="page28"/>
    <w:bookmarkEnd w:id="27"/>
    <w:p>
      <w:pPr>
        <w:jc w:val="both"/>
        <w:spacing w:after="0" w:line="265" w:lineRule="auto"/>
        <w:rPr>
          <w:sz w:val="20"/>
          <w:szCs w:val="20"/>
          <w:color w:val="auto"/>
        </w:rPr>
      </w:pPr>
      <w:r>
        <w:rPr>
          <w:rFonts w:ascii="Arial" w:cs="Arial" w:eastAsia="Arial" w:hAnsi="Arial"/>
          <w:sz w:val="14"/>
          <w:szCs w:val="14"/>
          <w:color w:val="auto"/>
        </w:rPr>
        <w:t>There are several hundred OTC products used to treat constipation marketed by numerous pharmaceutical and consumer health companies. MiraLax (polyethylene glycol 3350), previously a prescription product, was indicated for the treatment of constipation and manufactured and marketed by Bayer. MiraLax was converted to an OTC product in February 2007 and recently, the FDA rescinded the approval of the generic prescription polyethylene glycol 3350 products.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Omeclamox</w:t>
      </w:r>
      <w:r>
        <w:rPr>
          <w:rFonts w:ascii="Arial" w:cs="Arial" w:eastAsia="Arial" w:hAnsi="Arial"/>
          <w:sz w:val="18"/>
          <w:szCs w:val="18"/>
          <w:b w:val="1"/>
          <w:bCs w:val="1"/>
          <w:color w:val="auto"/>
          <w:vertAlign w:val="superscript"/>
        </w:rPr>
        <w:t>®</w:t>
      </w:r>
      <w:r>
        <w:rPr>
          <w:rFonts w:ascii="Arial" w:cs="Arial" w:eastAsia="Arial" w:hAnsi="Arial"/>
          <w:sz w:val="14"/>
          <w:szCs w:val="14"/>
          <w:b w:val="1"/>
          <w:bCs w:val="1"/>
          <w:i w:val="1"/>
          <w:iCs w:val="1"/>
          <w:color w:val="auto"/>
        </w:rPr>
        <w:t>-Pak</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Omeclamox-Pak is a branded prescription product used for the treatment of Helicobacter pylori (H. pylori) infection and duodenal ulcer disease. It combines three well-known and widely prescribed medications packaged in a daily dose pack for patient convenience: omeprazole, clarithromycin, and amoxicillin. The three individual components of Omeclamox-Pak are also available from other suppliers through three separate prescriptions.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While there are several competitor products, Omeclamox-Pak is one of the two actively marketed products for this condition. In addition, compared to the competing products, Omeclamox-Pak has the lowest pill burden, fewest days of therapy and convenient twice daily dosing. The prescription combination products, indicated for treatment of H. pylori, which we believe are our primary competitors are:</w:t>
      </w:r>
    </w:p>
    <w:p>
      <w:pPr>
        <w:spacing w:after="0" w:line="78" w:lineRule="exact"/>
        <w:rPr>
          <w:sz w:val="20"/>
          <w:szCs w:val="20"/>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PrevPac</w:t>
      </w:r>
      <w:r>
        <w:rPr>
          <w:rFonts w:ascii="Arial" w:cs="Arial" w:eastAsia="Arial" w:hAnsi="Arial"/>
          <w:sz w:val="18"/>
          <w:szCs w:val="18"/>
          <w:color w:val="auto"/>
          <w:vertAlign w:val="superscript"/>
        </w:rPr>
        <w:t>®</w:t>
      </w:r>
      <w:r>
        <w:rPr>
          <w:rFonts w:ascii="Arial" w:cs="Arial" w:eastAsia="Arial" w:hAnsi="Arial"/>
          <w:sz w:val="14"/>
          <w:szCs w:val="14"/>
          <w:color w:val="auto"/>
        </w:rPr>
        <w:t>, an oral product sold by Takeda Pharmaceutical Company. There are also approved generic versions of PrevPac;</w:t>
      </w:r>
    </w:p>
    <w:p>
      <w:pPr>
        <w:spacing w:after="0" w:line="72"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Pylera</w:t>
      </w:r>
      <w:r>
        <w:rPr>
          <w:rFonts w:ascii="Arial" w:cs="Arial" w:eastAsia="Arial" w:hAnsi="Arial"/>
          <w:sz w:val="18"/>
          <w:szCs w:val="18"/>
          <w:color w:val="auto"/>
          <w:vertAlign w:val="superscript"/>
        </w:rPr>
        <w:t>®</w:t>
      </w:r>
      <w:r>
        <w:rPr>
          <w:rFonts w:ascii="Arial" w:cs="Arial" w:eastAsia="Arial" w:hAnsi="Arial"/>
          <w:sz w:val="14"/>
          <w:szCs w:val="14"/>
          <w:color w:val="auto"/>
        </w:rPr>
        <w:t>, an oral product manufactured and sold by Allergan plc; and</w:t>
      </w:r>
    </w:p>
    <w:p>
      <w:pPr>
        <w:spacing w:after="0" w:line="61" w:lineRule="exact"/>
        <w:rPr>
          <w:rFonts w:ascii="Arial" w:cs="Arial" w:eastAsia="Arial" w:hAnsi="Arial"/>
          <w:sz w:val="14"/>
          <w:szCs w:val="14"/>
          <w:color w:val="auto"/>
        </w:rPr>
      </w:pPr>
    </w:p>
    <w:p>
      <w:pPr>
        <w:ind w:left="500" w:hanging="243"/>
        <w:spacing w:after="0"/>
        <w:tabs>
          <w:tab w:leader="none" w:pos="500" w:val="left"/>
        </w:tabs>
        <w:numPr>
          <w:ilvl w:val="0"/>
          <w:numId w:val="10"/>
        </w:numPr>
        <w:rPr>
          <w:rFonts w:ascii="Arial" w:cs="Arial" w:eastAsia="Arial" w:hAnsi="Arial"/>
          <w:sz w:val="15"/>
          <w:szCs w:val="15"/>
          <w:color w:val="auto"/>
        </w:rPr>
      </w:pPr>
      <w:r>
        <w:rPr>
          <w:rFonts w:ascii="Arial" w:cs="Arial" w:eastAsia="Arial" w:hAnsi="Arial"/>
          <w:sz w:val="14"/>
          <w:szCs w:val="14"/>
          <w:color w:val="auto"/>
        </w:rPr>
        <w:t>Talicia</w:t>
      </w:r>
      <w:r>
        <w:rPr>
          <w:rFonts w:ascii="Arial" w:cs="Arial" w:eastAsia="Arial" w:hAnsi="Arial"/>
          <w:sz w:val="21"/>
          <w:szCs w:val="21"/>
          <w:color w:val="auto"/>
          <w:vertAlign w:val="superscript"/>
        </w:rPr>
        <w:t>®</w:t>
      </w:r>
      <w:r>
        <w:rPr>
          <w:rFonts w:ascii="Arial" w:cs="Arial" w:eastAsia="Arial" w:hAnsi="Arial"/>
          <w:sz w:val="14"/>
          <w:szCs w:val="14"/>
          <w:color w:val="auto"/>
        </w:rPr>
        <w:t>, an oral product manufactured by RedHill Biopharma which was recently approved by the FDA.</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RediTrex</w:t>
      </w:r>
      <w:r>
        <w:rPr>
          <w:rFonts w:ascii="Arial" w:cs="Arial" w:eastAsia="Arial" w:hAnsi="Arial"/>
          <w:sz w:val="21"/>
          <w:szCs w:val="21"/>
          <w:b w:val="1"/>
          <w:bCs w:val="1"/>
          <w:i w:val="1"/>
          <w:iCs w:val="1"/>
          <w:color w:val="auto"/>
          <w:vertAlign w:val="superscript"/>
        </w:rPr>
        <w:t>®</w:t>
      </w:r>
    </w:p>
    <w:p>
      <w:pPr>
        <w:spacing w:after="0" w:line="64"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RediTrex is methotrexate for subcutaneous administration in a unique syringe designed for ease of use, improved accuracy, and enhanced safety. It is indicated for treatment of rheumatoid arthritis, polyarticular juvenile idiopathic arthritis, and severe, recalcitrant, or disabling psoriasis unresponsive to alternative treatments.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This market is highly competitive with drugs from several different therapeutic classes available for treatment. Methotrexate is considered a standard of care especially when patients fail to respond</w:t>
      </w:r>
    </w:p>
    <w:p>
      <w:pPr>
        <w:spacing w:after="0" w:line="51"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adequately to low dose steroids or non-steroidal anti-inflammatory drugs (NSAIDs). Methotrexate is available in multiple dose forms including oral, subcutaneous, and intra-venous. Methotrexate may be used alone or in combination with drugs from other therapeutic classes to adequately control patient symptoms.</w:t>
      </w:r>
    </w:p>
    <w:p>
      <w:pPr>
        <w:spacing w:after="0" w:line="101" w:lineRule="exact"/>
        <w:rPr>
          <w:sz w:val="20"/>
          <w:szCs w:val="20"/>
          <w:color w:val="auto"/>
        </w:rPr>
      </w:pPr>
    </w:p>
    <w:p>
      <w:pPr>
        <w:spacing w:after="0" w:line="325" w:lineRule="auto"/>
        <w:rPr>
          <w:sz w:val="20"/>
          <w:szCs w:val="20"/>
          <w:color w:val="auto"/>
        </w:rPr>
      </w:pPr>
      <w:r>
        <w:rPr>
          <w:rFonts w:ascii="Arial" w:cs="Arial" w:eastAsia="Arial" w:hAnsi="Arial"/>
          <w:sz w:val="14"/>
          <w:szCs w:val="14"/>
          <w:color w:val="auto"/>
        </w:rPr>
        <w:t>RediTrex competes with other dose forms and delivery systems for methotrexate including, oral tablets, conventional vial and syringe administration, and auto-injector pens. Oral tablets and conventional vials are generic and available from many suppliers. There are two auto-injector pen products available, Rasuvo and Otrexup.</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RediTrex also competes with or may be used in combination with drugs from other therapeutic classes including, injectable biologics like Humira and Enbrel and oral JAK inhibitors like Xaljanz.</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These newer agents are more expensive than the methotrexate products but benefit from significant promotion to patients and doctors.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Sancuso</w:t>
      </w:r>
      <w:r>
        <w:rPr>
          <w:rFonts w:ascii="Arial" w:cs="Arial" w:eastAsia="Arial" w:hAnsi="Arial"/>
          <w:sz w:val="11"/>
          <w:szCs w:val="11"/>
          <w:b w:val="1"/>
          <w:bCs w:val="1"/>
          <w:i w:val="1"/>
          <w:iCs w:val="1"/>
          <w:color w:val="auto"/>
        </w:rPr>
        <w:t>®</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3"/>
          <w:szCs w:val="13"/>
          <w:color w:val="auto"/>
        </w:rPr>
        <w:t>Sancuso is the only transdermal patch FDA approved for the management of chemotherapy induced nausea and vomiting (CINV). Each patch delivers up to 5 days of treatment with granisetron, a standard of care for CINV, through the skin. Recommended treatment suggests the patch be applied 24 to 48 hours prior to chemotherapy treatment and remain in place for 5 days.</w:t>
      </w:r>
    </w:p>
    <w:p>
      <w:pPr>
        <w:spacing w:after="0" w:line="57" w:lineRule="exact"/>
        <w:rPr>
          <w:sz w:val="20"/>
          <w:szCs w:val="20"/>
          <w:color w:val="auto"/>
        </w:rPr>
      </w:pPr>
    </w:p>
    <w:p>
      <w:pPr>
        <w:ind w:firstLine="379"/>
        <w:spacing w:after="0" w:line="278" w:lineRule="auto"/>
        <w:rPr>
          <w:sz w:val="20"/>
          <w:szCs w:val="20"/>
          <w:color w:val="auto"/>
        </w:rPr>
      </w:pPr>
      <w:r>
        <w:rPr>
          <w:rFonts w:ascii="Arial" w:cs="Arial" w:eastAsia="Arial" w:hAnsi="Arial"/>
          <w:sz w:val="14"/>
          <w:szCs w:val="14"/>
          <w:color w:val="auto"/>
        </w:rPr>
        <w:t>While there are no other transdermal products available to treat CINV, there are a large number of generic and branded oral products as well as a limited number of injectables. Cumberland considers the oral branded products to be the most important competition including Akynzeo, Emend Oral, Varubi, Zuplenz, and Kytril.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Vaprisol</w:t>
      </w:r>
      <w:r>
        <w:rPr>
          <w:rFonts w:ascii="Arial" w:cs="Arial" w:eastAsia="Arial" w:hAnsi="Arial"/>
          <w:sz w:val="18"/>
          <w:szCs w:val="18"/>
          <w:b w:val="1"/>
          <w:bCs w:val="1"/>
          <w:color w:val="auto"/>
          <w:vertAlign w:val="superscript"/>
        </w:rPr>
        <w: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Vaprisol is a patented, prescription brand indicated to raise serum sodium levels in hospitalized patients with euvolemic and hypervolemic hyponatremia. The product was developed and registered by Astellas and then launched in 2006. It is one of two branded prescription products indicated for the treatment of hyponatremia, and the first and only intravenously administered branded treatment. The other competing product is Samsca, an oral product sold by Otsuka Pharmaceutical Company.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Vibativ</w:t>
      </w:r>
      <w:r>
        <w:rPr>
          <w:rFonts w:ascii="Arial" w:cs="Arial" w:eastAsia="Arial" w:hAnsi="Arial"/>
          <w:sz w:val="18"/>
          <w:szCs w:val="18"/>
          <w:b w:val="1"/>
          <w:bCs w:val="1"/>
          <w:i w:val="1"/>
          <w:iCs w:val="1"/>
          <w:color w:val="auto"/>
          <w:vertAlign w:val="superscript"/>
        </w:rPr>
        <w:t>®</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Vibativ is a potent, once-daily, injectable antibiotic for the treatment of certain gram-positive infections. Vibativ is approved for the treatment of complicated skin and skin structure infections and hospital-acquired or ventilator-associated bacterial pneumonia caused by susceptible isolates of Staphylococcus aureus when alternative treatments are not suitable. There are several generic and branded antibiotics that compete for these indications.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major generic competitors are vancomycin, linezolid, and daptomycin. Vancomycin is by far the most widely used agent. Newer branded agents are also available including:</w:t>
      </w:r>
    </w:p>
    <w:p>
      <w:pPr>
        <w:spacing w:after="0" w:line="124" w:lineRule="exact"/>
        <w:rPr>
          <w:sz w:val="20"/>
          <w:szCs w:val="20"/>
          <w:color w:val="auto"/>
        </w:rPr>
      </w:pPr>
    </w:p>
    <w:p>
      <w:pPr>
        <w:ind w:left="500" w:hanging="243"/>
        <w:spacing w:after="0"/>
        <w:tabs>
          <w:tab w:leader="none" w:pos="500" w:val="left"/>
        </w:tabs>
        <w:numPr>
          <w:ilvl w:val="0"/>
          <w:numId w:val="11"/>
        </w:numPr>
        <w:rPr>
          <w:rFonts w:ascii="Arial" w:cs="Arial" w:eastAsia="Arial" w:hAnsi="Arial"/>
          <w:sz w:val="15"/>
          <w:szCs w:val="15"/>
          <w:color w:val="auto"/>
        </w:rPr>
      </w:pPr>
      <w:r>
        <w:rPr>
          <w:rFonts w:ascii="Arial" w:cs="Arial" w:eastAsia="Arial" w:hAnsi="Arial"/>
          <w:sz w:val="14"/>
          <w:szCs w:val="14"/>
          <w:color w:val="auto"/>
        </w:rPr>
        <w:t>Ceftaroline fosamil (brand name Teflaro</w:t>
      </w:r>
      <w:r>
        <w:rPr>
          <w:rFonts w:ascii="Arial" w:cs="Arial" w:eastAsia="Arial" w:hAnsi="Arial"/>
          <w:sz w:val="21"/>
          <w:szCs w:val="21"/>
          <w:color w:val="auto"/>
          <w:vertAlign w:val="superscript"/>
        </w:rPr>
        <w:t>®</w:t>
      </w:r>
      <w:r>
        <w:rPr>
          <w:rFonts w:ascii="Arial" w:cs="Arial" w:eastAsia="Arial" w:hAnsi="Arial"/>
          <w:sz w:val="14"/>
          <w:szCs w:val="14"/>
          <w:color w:val="auto"/>
        </w:rPr>
        <w:t xml:space="preserve"> ) an injectable antibiotic manufactured and sold by Allergan</w:t>
      </w:r>
    </w:p>
    <w:p>
      <w:pPr>
        <w:spacing w:after="0" w:line="74" w:lineRule="exact"/>
        <w:rPr>
          <w:rFonts w:ascii="Arial" w:cs="Arial" w:eastAsia="Arial" w:hAnsi="Arial"/>
          <w:sz w:val="15"/>
          <w:szCs w:val="15"/>
          <w:color w:val="auto"/>
        </w:rPr>
      </w:pPr>
    </w:p>
    <w:p>
      <w:pPr>
        <w:ind w:left="500" w:hanging="243"/>
        <w:spacing w:after="0"/>
        <w:tabs>
          <w:tab w:leader="none" w:pos="500" w:val="left"/>
        </w:tabs>
        <w:numPr>
          <w:ilvl w:val="0"/>
          <w:numId w:val="11"/>
        </w:numPr>
        <w:rPr>
          <w:rFonts w:ascii="Arial" w:cs="Arial" w:eastAsia="Arial" w:hAnsi="Arial"/>
          <w:sz w:val="15"/>
          <w:szCs w:val="15"/>
          <w:color w:val="auto"/>
        </w:rPr>
      </w:pPr>
      <w:r>
        <w:rPr>
          <w:rFonts w:ascii="Arial" w:cs="Arial" w:eastAsia="Arial" w:hAnsi="Arial"/>
          <w:sz w:val="14"/>
          <w:szCs w:val="14"/>
          <w:color w:val="auto"/>
        </w:rPr>
        <w:t>Dalbavancin (brand name Dalvance</w:t>
      </w:r>
      <w:r>
        <w:rPr>
          <w:rFonts w:ascii="Arial" w:cs="Arial" w:eastAsia="Arial" w:hAnsi="Arial"/>
          <w:sz w:val="21"/>
          <w:szCs w:val="21"/>
          <w:color w:val="auto"/>
          <w:vertAlign w:val="superscript"/>
        </w:rPr>
        <w:t>®</w:t>
      </w:r>
      <w:r>
        <w:rPr>
          <w:rFonts w:ascii="Arial" w:cs="Arial" w:eastAsia="Arial" w:hAnsi="Arial"/>
          <w:sz w:val="14"/>
          <w:szCs w:val="14"/>
          <w:color w:val="auto"/>
        </w:rPr>
        <w:t xml:space="preserve"> ), an injectable antibiotic manufactured and sold by Allergan</w:t>
      </w:r>
    </w:p>
    <w:p>
      <w:pPr>
        <w:spacing w:after="0" w:line="74" w:lineRule="exact"/>
        <w:rPr>
          <w:rFonts w:ascii="Arial" w:cs="Arial" w:eastAsia="Arial" w:hAnsi="Arial"/>
          <w:sz w:val="15"/>
          <w:szCs w:val="15"/>
          <w:color w:val="auto"/>
        </w:rPr>
      </w:pPr>
    </w:p>
    <w:p>
      <w:pPr>
        <w:ind w:left="500" w:hanging="243"/>
        <w:spacing w:after="0"/>
        <w:tabs>
          <w:tab w:leader="none" w:pos="500" w:val="left"/>
        </w:tabs>
        <w:numPr>
          <w:ilvl w:val="0"/>
          <w:numId w:val="11"/>
        </w:numPr>
        <w:rPr>
          <w:rFonts w:ascii="Arial" w:cs="Arial" w:eastAsia="Arial" w:hAnsi="Arial"/>
          <w:sz w:val="15"/>
          <w:szCs w:val="15"/>
          <w:color w:val="auto"/>
        </w:rPr>
      </w:pPr>
      <w:r>
        <w:rPr>
          <w:rFonts w:ascii="Arial" w:cs="Arial" w:eastAsia="Arial" w:hAnsi="Arial"/>
          <w:sz w:val="14"/>
          <w:szCs w:val="14"/>
          <w:color w:val="auto"/>
        </w:rPr>
        <w:t>Oritavancin (brand name Orbactiv</w:t>
      </w:r>
      <w:r>
        <w:rPr>
          <w:rFonts w:ascii="Arial" w:cs="Arial" w:eastAsia="Arial" w:hAnsi="Arial"/>
          <w:sz w:val="21"/>
          <w:szCs w:val="21"/>
          <w:color w:val="auto"/>
          <w:vertAlign w:val="superscript"/>
        </w:rPr>
        <w:t>®</w:t>
      </w:r>
      <w:r>
        <w:rPr>
          <w:rFonts w:ascii="Arial" w:cs="Arial" w:eastAsia="Arial" w:hAnsi="Arial"/>
          <w:sz w:val="14"/>
          <w:szCs w:val="14"/>
          <w:color w:val="auto"/>
        </w:rPr>
        <w:t xml:space="preserve"> ), an injectable antibiotic manufactured and sold by Melinta</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We are aware of a number of other novel antibiotics which are currently in development.</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Antibiotic drug selection is based both on an empiric and susceptibility proven basis. In the hospital setting, cost is an important factor which favors the use of generic agents as long as they are effective. Newer agents are often reserved for two reasons: they are valuable in the treatment of patients that fail to respond to generics and it is considered good practice to conserve the use of these agents to reduce the risk of resistance.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The development of new pharmaceutical products can be a long, expensive and risky process. There is no assurance we will obtain successful study results or secure the needed market approvals for our pipeline product candidates. Governmental authorities in the U.S. and other countries extensively regulate the research, development, testing, manufacturing, distribution, marketing and sale of pharmaceutical products. For more information, see </w:t>
      </w:r>
      <w:r>
        <w:rPr>
          <w:rFonts w:ascii="Arial" w:cs="Arial" w:eastAsia="Arial" w:hAnsi="Arial"/>
          <w:sz w:val="14"/>
          <w:szCs w:val="14"/>
          <w:i w:val="1"/>
          <w:iCs w:val="1"/>
          <w:color w:val="auto"/>
        </w:rPr>
        <w:t>"Risks Relating to Government Regulation"</w:t>
      </w:r>
      <w:r>
        <w:rPr>
          <w:rFonts w:ascii="Arial" w:cs="Arial" w:eastAsia="Arial" w:hAnsi="Arial"/>
          <w:sz w:val="14"/>
          <w:szCs w:val="14"/>
          <w:color w:val="auto"/>
        </w:rPr>
        <w:t xml:space="preserve"> in Part I, Item 1A of this Form 10K.</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U.S., the FDA under the Federal Food, Drug, and Cosmetic Act, ("FDCA"), the Public Health Service Act, and other federal statutes and regulations, subjects pharmaceutical products to rigorous review. Failure to comply with applicable U.S. requirements may subject a company to a variety of administrative or judicial sanctions, such as FDA refusal to approve pending New Drug Application ("NDAs") or biologics license applications, ("BLAs"), warning letters, product recalls, product seizures, total or partial suspension of production or distribution, injunctions, fines, civil penalties, and criminal prosecution.</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our manufacturers and contract research organizations may also be subject to regulations under other federal, state and local laws, including the Occupational Safety and Health Act, (OSHA), the Resource Conservation and Recovery Act, the Clean Air Act and import, export and customs regulations as well as the laws and regulations of other countries.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FDA Approval Process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FDA is a regulatory agency within the Department of Health and Human Services. A key responsibility is to regulate the safety and effectiveness of drugs sold in the United States. The FDA manages this responsibility into two phases: pre-approval (premarket) and post approval (post market). The FDA reviews manufacturers' applications to market drugs in the United States; a drug may not be sold unless it has FDA approval. The FDA continues its oversight of drug safety and effectiveness as long as the drug is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0" w:right="319" w:bottom="1440" w:gutter="0" w:footer="0" w:header="0"/>
        </w:sectPr>
      </w:pPr>
    </w:p>
    <w:bookmarkStart w:id="29" w:name="page30"/>
    <w:bookmarkEnd w:id="29"/>
    <w:p>
      <w:pPr>
        <w:jc w:val="both"/>
        <w:spacing w:after="0" w:line="265" w:lineRule="auto"/>
        <w:rPr>
          <w:sz w:val="20"/>
          <w:szCs w:val="20"/>
          <w:color w:val="auto"/>
        </w:rPr>
      </w:pPr>
      <w:r>
        <w:rPr>
          <w:rFonts w:ascii="Arial" w:cs="Arial" w:eastAsia="Arial" w:hAnsi="Arial"/>
          <w:sz w:val="14"/>
          <w:szCs w:val="14"/>
          <w:color w:val="auto"/>
        </w:rPr>
        <w:t>To market a prescription drug in the United States, a manufacturer needs FDA approval. To get that approval, the manufacturer must demonstrate the drug's safety and effectiveness according to criteria specified in law and agency regulations, ensure that its manufacturing plant passes FDA inspection, and obtain FDA approval for the drug's labeling, a term that includes all written material about the drug, including, for example, packaging, prescribing information for physicians and patient brochures.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progression to drug approval begins before FDA involvement. First, scientists work in the laboratory to discover and develop a new compound. Next, basic questions on safety are answered by nonclinical testing with animals and then, a drug or biotechnology company develops a prototype drug. That company must seek clearance from the FDA by way of an Investigational New Drug ("IND") application to test the product with human subjects.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Those tests, called clinical trials, are carried out sequentially in Phase I, II, and III studies, which involve increasing numbers of subjects. The manufacturer then compiles the resulting data and analyses in an NDA. The FDA reviews the NDA with three major concerns: (1) safety and effectiveness in the drug's proposed use; (2) appropriateness of the proposed labeling; and (3) adequacy of manufacturing methods to assure the drug's identity, strength, quality, and purity.</w:t>
      </w:r>
    </w:p>
    <w:p>
      <w:pPr>
        <w:spacing w:after="0" w:line="89"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The FDA and associated regulations detail the requirements at each step. The FDA uses a few special mechanisms to expedite drug development and the review process when a drug might address an unmet need or a serious disease or condition. Those mechanisms include accelerated approval, fast track and priority reviews and the newer designation, breakthrough therapy.</w:t>
      </w:r>
    </w:p>
    <w:p>
      <w:pPr>
        <w:spacing w:after="0" w:line="4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sponsor of the drug typically conducts human clinical trials in three sequential phases, but the phases may overlap. Phase I clinical trials are generally conducted in a small number of healthy volunteers, primarily to collect and assess pharmacokinetics and safety data at one or more dosages prior to proceeding into patients.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Phase II clinical trials, the sponsor evaluates the early efficacy of the product in short term trials on the targeted indication and identifies possible adverse effects and safety risks in a patient population.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Phase III clinical trials typically involve testing for patients in long term trials examining safety and clinical efficacy in an expanded population at geographically-dispersed test sites.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FDA requires that clinical trials be conducted in accordance with the FDA's Good Clinical Practice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institutional review board ("IRB"), or ethics committee (outside of the U.S.), of each clinical site generally must approve the clinical trial design and patient informed consent and may also require the clinical trial at that site to be halted, either temporarily or permanently, for failure to comply with the IRB's requirements, or may impose other conditions.</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results of the nonclinical and clinical trials, together with detailed information on the manufacturing and composition of the product and proposed labeling, are submitted to the FDA in the form of an NDA for marketing approval. The NDA undergoes a 60-day validation review period before it is accepted for filing.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If the NDA is found to be incomplete, it will not be accepted. Once the NDA is validated and accepted for filing, the FDA begins an in-depth review of the NDA.</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Under policies agreed to by the FDA under the Prescription Drug User Fee Act, or PDUFA (currently PDUFA VI - effective October 1, 2017), the FDA has a target timeline of 10 months in which to complete its initial review of a standard NDA and respond to the applicant. The review process and the PDUFA goal date may be extended by two months to address deficiencies, or by three months if the FDA requests or the NDA sponsor otherwise provides additional information or clarification regarding information already provided in the submission at any time during the review clock period. If the FDA's evaluations of the NDA and the clinical and manufacturing procedures and facilities are favorable and meet all regulations, the FDA will issue an approval letter. Priority review is reserved for drugs that represent a “significant improvement in safety or efficacy” over existing treatments and FDA endeavors to complete these reviews in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30" w:name="page31"/>
    <w:bookmarkEnd w:id="30"/>
    <w:p>
      <w:pPr>
        <w:jc w:val="both"/>
        <w:spacing w:after="0" w:line="278" w:lineRule="auto"/>
        <w:rPr>
          <w:sz w:val="20"/>
          <w:szCs w:val="20"/>
          <w:color w:val="auto"/>
        </w:rPr>
      </w:pPr>
      <w:r>
        <w:rPr>
          <w:rFonts w:ascii="Arial" w:cs="Arial" w:eastAsia="Arial" w:hAnsi="Arial"/>
          <w:sz w:val="14"/>
          <w:szCs w:val="14"/>
          <w:color w:val="auto"/>
        </w:rPr>
        <w:t>If the NDA meets with FDA approval, a letter will be sent out indicating approval and final labeling recommendations. If not, a complete response letter will be sent to applicants indicating that the review cycle for an application is complete and that the application is not ready for approval.</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complete response letter will describe the specific deficiencies that the agency has identified in an application and what changes must be made before the application can be approved, with no implication regarding whether the application will ultimately be approved. An approval letter authorizes commercial marketing of the drug for the proposed indication(s) under study. While the FDA's PDUFA 2021 Performance Report showed a continued increase in the percentage of first-cycle approval letters for new molecular entities rising from 56% for FY 2009 to preliminary reports of 100% for FY 2021, we cannot be certain that timely first-cycle approvals will be maintained by the FDA.</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time and cost of completing these steps and obtaining FDA approval can vary dramatically depending on the drug. However, to complete these steps for a novel drug can take many years and cost millions of dollars.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505(b) New Drug Applications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 NDA may be submitted under different methods, a 505(b)(1), 505(b)(2) or 505(j). Section 505(b) provides for the submission of an NDA to support the approval of a drug. Upon approval, a drug may be marketed only for the FDA-approved indication(s) in the approved dosage form. Further clinical trials may be necessary to gain approval for the use of the product for any additional indications or dosage forms.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FDA also requires post market safety surveillance reporting to monitor the side effects of the drug, which may result in withdrawal of approval after marketing begins if significant adverse safety findings are found.</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Section 505(b)(1) or the 'full' NDA is used for new chemical entities ("NCEs") and requires full clinical and nonclinical development of a compound. Marketing exclusivity assigned to a 505(b)(1) approval is five years. A 505(b)(2) NDA permits the submission of an NDA where at least some of the information required for approval comes from studies not conducted by or for the applicant using previously reported safety and efficacy data, and for which the applicant has not obtained a right of reference. Generally new studies are required to provide data on the proposed change.</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Some examples of products that may be allowed to follow a 505(b)(2) path to approval are drugs which have a new dosage form, strength, route of administration, formulation or indication or combination drugs. Marketing exclusivity for a 505(b)(2) submission is three years.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Both 505 (b)(1) and (b)(2) are eligible for seven years of exclusivity for orphan drugs and/or six months for pediatric exclusivity. Any marketing exclusivity is independent of patent exclusivity. We successfully secured FDA approvals for Acetadote in January 2004, for Caldolor in June 2009 and for RediTrex in 2019 pursuant to the 505(b)(2) pathway.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Orphan Drug Act of 1983 (the "Orphan Drug Act") encourages manufacturers to seek approval of products intended to treat “rare diseases and conditions” with a prevalence of fewer than 200,000 patients in the U.S. or for which there is no reasonable expectation of recovering the development costs for the product. For products that receive orphan drug designation by the FDA, the Orphan Drug Act provides tax credits for clinical research, FDA assistance with protocol design, eligibility for FDA grants to fund clinical studies, waiver of the FDA application fee, and a period of seven years of marketing exclusivity for the product following FDA marketing approval.</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Acetadote received Orphan Drug designation in October 2001 and in 2004 the FDA approved the product to prevent or lessen hepatic injury after ingestion of a potentially hepatotoxic quantity of acetaminophen. Acetadote was entitled to marketing exclusivity until January 2011 for the treatment of this approved 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Section 505(j) abbreviated new drug applications</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An ANDA is a type of NDA where approval of a generic drug is based on demonstrating comparability to an innovator drug product (the RLD or Reference Listed Drug). Applications are "abbreviated" because they generally don't include preclinical and clinical data to establish safety and effectiveness. Generics must demonstrate that the product is bioequivalent (i.e., performs in the same manner and is comparable to the 'innovator' product in active ingredient, dosage form, strength, route of administration, labeling, quality, performance characteristics and intended use).</w:t>
      </w:r>
    </w:p>
    <w:p>
      <w:pPr>
        <w:spacing w:after="0" w:line="7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Abbreviated applications may be submitted for drug products that are the same as a listed drug and must be identical in active ingredient(s), form, strength, route of administration, and identical in conditions of use (non-exclusive uses). Products are declared suitable based on a suitability petition to the FDA. If the petition is approved, the Sponsor may then submit the ANDA.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Hatch-Waxman Act</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Drug Price Competition and Patent Term Restoration Act, informally known as the "Hatch-Waxman Act", is a 1984 United States federal law which established the modern system of generic drugs.</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Hatch-Waxman amended the Federal Food, Drug, and Cosmetic Act. Section 505(j) 21 U.S.C. 355(j) sets forth the process by which would-be marketers of generic drugs can file ANDAs to seek FDA approval of the generic. Section 505(j)(2)(A)(vii)(IV), the so-called Paragraph IV, allows 180-day exclusivity to companies that are the "first-to-file" an ANDA against holders of patents for branded counterparts.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Hatch-Waxman amendments grant generic manufacturers the ability to mount a validity challenge without incurring the cost of entry or risking enormous damages flowing from any possible infringement. Hatch-Waxman essentially redistributes the relative risk assessments and explains the flow of settlement funds and their magnitude. Hatch-Waxman gives generics considerable leverage in patent litigation.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care legislation</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March 23, 2010, President Obama signed into law the Patient Protection and Affordable Care Act, or PPACA. On March 30, 2010, the Health Care and Education Reconciliation Act of 2010, or HCERA, was enacted into law, which modified the revenue provisions of the PPACA. The PPACA as amended by the HCERA constitutes the healthcare reform legislation. The following highlights certain provisions of the legislation that may affect us.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 xml:space="preserve">Pharmaceutical Industry Fee: </w:t>
      </w:r>
      <w:r>
        <w:rPr>
          <w:rFonts w:ascii="Arial" w:cs="Arial" w:eastAsia="Arial" w:hAnsi="Arial"/>
          <w:sz w:val="14"/>
          <w:szCs w:val="14"/>
          <w:color w:val="auto"/>
        </w:rPr>
        <w:t>Beginning in calendar-year 2011, an annual fee was imposed on pharmaceutical manufacturers and importers that sell branded prescription drugs to specified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government programs (e.g., Medicare Part D, Medicare Part B, Medicaid, Department of Veterans Affairs programs, Department of Defense programs and TRICARE).</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annual fee is allocated to companies based on their previous calendar-year market share using sales data that the government agencies that purchase the pharmaceuticals will provide to the Treasury Department. Although we participate in governmental programs that subject us to this fee, our sales volume in such programs is less than $10 million, with the first $5 million of sales being exempt from the fee. This fee has not had a material impact and is not expected to have a material impact on our results of operations.</w:t>
      </w:r>
    </w:p>
    <w:p>
      <w:pPr>
        <w:spacing w:after="0" w:line="89"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In addition, PDUFA imposes annual program fees. An applicant will be assessed annual prescription drug program fees for prescription drug products, incurring a fee for each strength of a drug product. An applicant may not be assessed more than five prescription drug program fees for a fiscal year for prescription drug products identified in a single approved application.</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Physician Payments Sunshine Act: </w:t>
      </w:r>
      <w:r>
        <w:rPr>
          <w:rFonts w:ascii="Arial" w:cs="Arial" w:eastAsia="Arial" w:hAnsi="Arial"/>
          <w:sz w:val="14"/>
          <w:szCs w:val="14"/>
          <w:color w:val="auto"/>
        </w:rPr>
        <w:t>The PPACA also includes provisions known as the Physician Payments Sunshine Act, or Sunshine Act, which require manufacturers of pharmaceuticals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medical devices covered under Medicare and Medicaid to record any transfers of value to physicians and teaching hospitals and to report this data to the Centers for Medicare and Medicaid Services, or CMS, for aggregation and subsequent public disclosure. Under the Sunshine Act, beginning August 1, 2013, we have collected data regarding reportable transfers of value and have reported such data to CMS. Failure to report appropriate data may result in civil or criminal fines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penalties. In addition to the Federal Sunshine Act, similar reporting requirements have also been enacted on the state level requiring transparency of interactions with health care professionals.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Medicaid Rebate Rate: </w:t>
      </w:r>
      <w:r>
        <w:rPr>
          <w:rFonts w:ascii="Arial" w:cs="Arial" w:eastAsia="Arial" w:hAnsi="Arial"/>
          <w:sz w:val="14"/>
          <w:szCs w:val="14"/>
          <w:color w:val="auto"/>
        </w:rPr>
        <w:t>Under the Medicaid Drig Rebate probram we currently are required to provide rebates for covered outpatient drugs that are dispensed to Medicaid beneficiaries. In addition,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also are required to participate in the Public Health Service's 340B drug pricing program, which requires us to agree to charge no more than a designated ceiling price for covered outpatient drugs that are dispensed to community health clinics and other entities that receive health services grants from the Public Health Service, as well as hospitals that serve a disproportionate share of low-income patients.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b w:val="1"/>
          <w:bCs w:val="1"/>
          <w:i w:val="1"/>
          <w:iCs w:val="1"/>
          <w:color w:val="auto"/>
        </w:rPr>
        <w:t xml:space="preserve">Product Serialization: </w:t>
      </w:r>
      <w:r>
        <w:rPr>
          <w:rFonts w:ascii="Arial" w:cs="Arial" w:eastAsia="Arial" w:hAnsi="Arial"/>
          <w:sz w:val="13"/>
          <w:szCs w:val="13"/>
          <w:color w:val="auto"/>
        </w:rPr>
        <w:t>In November of 2013, the FDA passed the Drug Supply Chain Security Act (DSCSA). The DSCSA was created to strengthen the security of the drug distribution supply chain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adding controls such as a national pharmaceutical track and trace system and establishing national standards for licensing of prescription drug wholesale distributors and third-party logistics providers. DSCSA requires trading partners, including manufacturers, repackagers, wholesale distributors and dispensers to provide transaction information to subsequent purchasers for certain prescription drugs. We have taken necessary steps to implement this program and are in compliance with all requirements by the November 2018 deadline.</w:t>
      </w:r>
    </w:p>
    <w:p>
      <w:pPr>
        <w:spacing w:after="0" w:line="73" w:lineRule="exact"/>
        <w:rPr>
          <w:sz w:val="20"/>
          <w:szCs w:val="20"/>
          <w:color w:val="auto"/>
        </w:rPr>
      </w:pPr>
    </w:p>
    <w:p>
      <w:pPr>
        <w:jc w:val="both"/>
        <w:spacing w:after="0"/>
        <w:rPr>
          <w:sz w:val="20"/>
          <w:szCs w:val="20"/>
          <w:color w:val="auto"/>
        </w:rPr>
      </w:pPr>
      <w:r>
        <w:rPr>
          <w:rFonts w:ascii="Arial" w:cs="Arial" w:eastAsia="Arial" w:hAnsi="Arial"/>
          <w:sz w:val="14"/>
          <w:szCs w:val="14"/>
          <w:b w:val="1"/>
          <w:bCs w:val="1"/>
          <w:i w:val="1"/>
          <w:iCs w:val="1"/>
          <w:color w:val="auto"/>
        </w:rPr>
        <w:t>21</w:t>
      </w:r>
      <w:r>
        <w:rPr>
          <w:rFonts w:ascii="Arial" w:cs="Arial" w:eastAsia="Arial" w:hAnsi="Arial"/>
          <w:sz w:val="18"/>
          <w:szCs w:val="18"/>
          <w:b w:val="1"/>
          <w:bCs w:val="1"/>
          <w:i w:val="1"/>
          <w:iCs w:val="1"/>
          <w:color w:val="auto"/>
          <w:vertAlign w:val="superscript"/>
        </w:rPr>
        <w:t>st</w:t>
      </w:r>
      <w:r>
        <w:rPr>
          <w:rFonts w:ascii="Arial" w:cs="Arial" w:eastAsia="Arial" w:hAnsi="Arial"/>
          <w:sz w:val="14"/>
          <w:szCs w:val="14"/>
          <w:b w:val="1"/>
          <w:bCs w:val="1"/>
          <w:i w:val="1"/>
          <w:iCs w:val="1"/>
          <w:color w:val="auto"/>
        </w:rPr>
        <w:t xml:space="preserve"> Century Cures Act: </w:t>
      </w:r>
      <w:r>
        <w:rPr>
          <w:rFonts w:ascii="Arial" w:cs="Arial" w:eastAsia="Arial" w:hAnsi="Arial"/>
          <w:sz w:val="14"/>
          <w:szCs w:val="14"/>
          <w:color w:val="auto"/>
        </w:rPr>
        <w:t>The 21st Century Cures Act (Cures Act), signed into law on December 13, 2016, is designed to help accelerate medical product development and bring new innovations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advances to patients who need them faster and more efficiently. The law builds on FDA's ongoing work to incorporate the perspectives of patients into the development of drugs, biological products, and devices in FDA's decision-making process. The Cures Act enhances FDA's ability to modernize clinical trial designs and clinical outcome assessments, which will speed the development and review of novel medical products, including medical countermeasures.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Specifically, the Cures Act enables us to work with FDA in the development of new biomarkers, clinical outcome assessments, surrogate endpoints, and patient reported outcomes. It allows for the use of data summaries rather than full clinical trials for approval and the use of real world evidence to support approval of new indications of approved medical products, or to help satisfy post-approval study requirements for marketed products.</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i w:val="1"/>
          <w:iCs w:val="1"/>
          <w:color w:val="auto"/>
        </w:rPr>
        <w:t xml:space="preserve">Build Back Better Act and Other Proposed Legislation: </w:t>
      </w:r>
      <w:r>
        <w:rPr>
          <w:rFonts w:ascii="Arial" w:cs="Arial" w:eastAsia="Arial" w:hAnsi="Arial"/>
          <w:sz w:val="13"/>
          <w:szCs w:val="13"/>
          <w:color w:val="auto"/>
        </w:rPr>
        <w:t>The Build Back Better Act ("BBBA") was introduced in the 117</w:t>
      </w:r>
      <w:r>
        <w:rPr>
          <w:rFonts w:ascii="Arial" w:cs="Arial" w:eastAsia="Arial" w:hAnsi="Arial"/>
          <w:sz w:val="17"/>
          <w:szCs w:val="17"/>
          <w:color w:val="auto"/>
          <w:vertAlign w:val="superscript"/>
        </w:rPr>
        <w:t>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Congress and included provisions that were intended to lower the price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prescription drugs, including granting the Medicare program the authority to negotiate prescription drug prices and imposing tax penalties on drug manufacturers if the price of drugs increase too rapidly. Ultimately the BBBA was not enacted, however, future legislative initiatives are likely to include provisions targeted at containing costs in the presccription drug market.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Post Approval Activities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Once a drug is on the U.S. market (following FDA approval of the NDA), the FDA continues to address drug production, distribution, and use. FDA activities are based on ensuring drug safety and effectiveness, and address product integrity, labeling, reporting of research and adverse events, surveillance, drug studies, risk management, information dissemination, off-label use, physician advertising and direct-to-consumer advertising.</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we amend the NDA for an FDA approved product, such as adding safety or efficacy labeling claims, promoting those new claims, making certain manufacturing changes or product enhancements, we will need FDA review and approval before the change can be implemented. While physicians may use products for indications that have not been approved by the FDA, we may not label or promote the product for an indication that has not been approved.</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Securing FDA approval for new indications, product enhancements, and manufacturing and labeling changes may require us to conduct additional clinical trials under FDA's IND regulations. Even if such studies are conducted, they are still subject to the same requirements and timelines as an original NDA.</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FDA continuously gathers information about possible adverse reactions to the products it has approved for use. The FDA requires all manufacturers to report adverse events. It also provides a procedure for consumers and physicians to voluntarily report their concerns about drugs. The agency collects those reports through MedWatch and uses its FDA Adverse Event Reporting System (FAERS) to store and analyze them. Because some events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occur after the use of a drug for reasons unrelated to the product, the FDA reviews the events to assess which ones may indicate a problem with that particular drug.</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They then use information gleaned from the surveillance data to determine a course of action. They might recommend a change in drug labeling to alert users to a potential problem, or, perhaps, to require the manufacturer to study the observed association between the drug and the adverse event.</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to these U.S. laws, we are subject to similar laws that govern our marketing practices and financial arrangements with heath care providers and otherwise are intended to prohibit illicit kickbacks and bribery, including the Foreign Corrupt Practices Act.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False Claims Act</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Federal false claims laws prohibit any person from knowingly presenting, or causing to be presented, a false claim for payment to the federal government, or knowingly making, or causing to be made, a false statement to have a false claim paid.</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number of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HIPAA and Other Data Protection Laws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the United States, we and our collaborators are subject to numerous federal and state privacy and security laws and regulations, including the Health Insurance Portability and Accountability Act of 1996. These laws include obligations related to protecting the privacy and security of health-related personal information, including information that we may obtain through the clinical trial process. In addition, similar laws and regulations exist in Europe and other jurisdictions, including the European Union's General Data Protection Regulation.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ICH - International Committee on Harmonization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Outside of the U.S., our ability to market our products will depend on receiving marketing authorizations from the appropriate regulatory authorities. The International Committee on Harmonization (ICH) provides a set of standards that most Regulatory Authorities adhere to (e.g. U.S., Europe, and Japan) allowing greater harmonization in the interpretation and application of technical guidelines and requirements for pharmaceutical product registration, thereby reducing or obviating duplication of testing carried out during the research and development of new human medicines. Regulatory harmonization offers many direct benefits to both regulatory authorities and the pharmaceutical industry with beneficial impact for the protection of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ENVIRONMENTAL MATTERS</w:t>
      </w:r>
    </w:p>
    <w:p>
      <w:pPr>
        <w:spacing w:after="0" w:line="11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We are subject to federal, state and local environmental laws and regulations and we believe that our operations comply with such regulations. We anticipate that the effects of compliance with federal, state and local laws and regulations relating to the discharge of materials into the environment will not have any material effect on our capital expenditures, earnings or competitive position.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There are no significant seasonal aspects to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Due to the relatively short lead-time required to fill orders for our products, backlog of orders is not considered material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2021, we had 83 employees. We believe that our future will depend in part on our continued ability to attract, hire, and retain qualified personnel, including hospital and field sales personnel in particular. To that end, we work with qualified search firms to identify talent, we measure and adjust compensation levels to remain competitive and we work closely with team members to support their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make statements in this Annual Report on Form 10-K that are “forward-looking statements” within the meaning of Section 27A of the Securities Act of 1933, as amended, and Section 21E of the Securities Exchange Act of 1934, as amended. All statements other than statement of historical facts may be forward-looking statements. In particular,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While forward-looking statements reflect our good-faith beliefs and best judgment based upon current information, they are not guarantees of future performance and are subject to known and unknown risks and uncertainties, including those mentioned in Item 1A, “Risk Factors,” Item 7, “Management’s Discussion and Analysis of Financial Condition and Results of Operations” and elsewhere in this Form 10-K.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spacing w:after="0" w:line="74" w:lineRule="exact"/>
        <w:rPr>
          <w:sz w:val="20"/>
          <w:szCs w:val="20"/>
          <w:color w:val="auto"/>
        </w:rPr>
      </w:pPr>
    </w:p>
    <w:p>
      <w:pPr>
        <w:ind w:left="760" w:hanging="250"/>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possible or assumed future results of operations, including the accuracy of our estimates regarding expenses, future revenues, capital requirements and needs for additional financing;</w:t>
      </w:r>
    </w:p>
    <w:p>
      <w:pPr>
        <w:spacing w:after="0" w:line="146" w:lineRule="exact"/>
        <w:rPr>
          <w:rFonts w:ascii="Arial" w:cs="Arial" w:eastAsia="Arial" w:hAnsi="Arial"/>
          <w:sz w:val="12"/>
          <w:szCs w:val="12"/>
          <w:color w:val="auto"/>
        </w:rPr>
      </w:pPr>
    </w:p>
    <w:p>
      <w:pPr>
        <w:ind w:left="760" w:hanging="250"/>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national or regional economic conditions, including changes in interest rates and the availability and the cost of capital to us;</w:t>
      </w:r>
    </w:p>
    <w:p>
      <w:pPr>
        <w:spacing w:after="0" w:line="155" w:lineRule="exact"/>
        <w:rPr>
          <w:rFonts w:ascii="Arial" w:cs="Arial" w:eastAsia="Arial" w:hAnsi="Arial"/>
          <w:sz w:val="14"/>
          <w:szCs w:val="14"/>
          <w:color w:val="auto"/>
        </w:rPr>
      </w:pPr>
    </w:p>
    <w:p>
      <w:pPr>
        <w:ind w:left="760" w:hanging="250"/>
        <w:spacing w:after="0" w:line="263" w:lineRule="auto"/>
        <w:tabs>
          <w:tab w:leader="none" w:pos="756" w:val="left"/>
        </w:tabs>
        <w:numPr>
          <w:ilvl w:val="0"/>
          <w:numId w:val="12"/>
        </w:numPr>
        <w:rPr>
          <w:rFonts w:ascii="Arial" w:cs="Arial" w:eastAsia="Arial" w:hAnsi="Arial"/>
          <w:sz w:val="16"/>
          <w:szCs w:val="16"/>
          <w:color w:val="auto"/>
        </w:rPr>
      </w:pPr>
      <w:r>
        <w:rPr>
          <w:rFonts w:ascii="Arial" w:cs="Arial" w:eastAsia="Arial" w:hAnsi="Arial"/>
          <w:sz w:val="13"/>
          <w:szCs w:val="13"/>
          <w:color w:val="auto"/>
        </w:rPr>
        <w:t>The extent of the impact of the novel coronavirus (COVID-19) pandemic, including the duration and any recurrence of the COVID-19 pandemic, the duration and scope of related government orders and restrictions, the impact on our employees, and the extent of the impact of the COVID-19 pandemic on overall demand for our key products;</w:t>
      </w:r>
    </w:p>
    <w:p>
      <w:pPr>
        <w:spacing w:after="0" w:line="92" w:lineRule="exact"/>
        <w:rPr>
          <w:rFonts w:ascii="Arial" w:cs="Arial" w:eastAsia="Arial" w:hAnsi="Arial"/>
          <w:sz w:val="16"/>
          <w:szCs w:val="16"/>
          <w:color w:val="auto"/>
        </w:rPr>
      </w:pPr>
    </w:p>
    <w:p>
      <w:pPr>
        <w:ind w:left="760" w:hanging="250"/>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4"/>
          <w:szCs w:val="14"/>
          <w:color w:val="auto"/>
        </w:rPr>
        <w:t>The impact of the COVID-19 pandemic on our suppliers, including any disruptions and inefficiencies in the supply chain for our products;</w:t>
      </w:r>
    </w:p>
    <w:p>
      <w:pPr>
        <w:spacing w:after="0" w:line="105" w:lineRule="exact"/>
        <w:rPr>
          <w:rFonts w:ascii="Arial" w:cs="Arial" w:eastAsia="Arial" w:hAnsi="Arial"/>
          <w:sz w:val="17"/>
          <w:szCs w:val="17"/>
          <w:color w:val="auto"/>
        </w:rPr>
      </w:pPr>
    </w:p>
    <w:p>
      <w:pPr>
        <w:ind w:left="760" w:hanging="250"/>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competitive position and competitors, including the size and growth potential of the markets for our products and product candidates;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success, cost and timing of our product acquisition and development activities and clinical trials; and our ability to successfully commercialize our product candidates;</w:t>
      </w:r>
    </w:p>
    <w:p>
      <w:pPr>
        <w:spacing w:after="0" w:line="113"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Product efficacy or safety concerns, whether or not based on scientific evidence, resulting in product withdrawals, recalls, regulatory action on the part of the FDA (or international counterparts) or declining sales;</w:t>
      </w:r>
    </w:p>
    <w:p>
      <w:pPr>
        <w:spacing w:after="0" w:line="80"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performance of our third-party suppliers and manufacturers which impacts our supply chain and could create business shutdowns or product shortages; and the retention of key scientific and management personnel;</w:t>
      </w:r>
    </w:p>
    <w:p>
      <w:pPr>
        <w:spacing w:after="0" w:line="80"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spacing w:after="0" w:line="69" w:lineRule="exact"/>
        <w:rPr>
          <w:rFonts w:ascii="Arial" w:cs="Arial" w:eastAsia="Arial" w:hAnsi="Arial"/>
          <w:sz w:val="14"/>
          <w:szCs w:val="14"/>
          <w:color w:val="auto"/>
        </w:rPr>
      </w:pPr>
    </w:p>
    <w:p>
      <w:pPr>
        <w:ind w:left="760" w:hanging="250"/>
        <w:spacing w:after="0" w:line="318" w:lineRule="auto"/>
        <w:tabs>
          <w:tab w:leader="none" w:pos="756"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57" w:lineRule="exact"/>
        <w:rPr>
          <w:rFonts w:ascii="Arial" w:cs="Arial" w:eastAsia="Arial" w:hAnsi="Arial"/>
          <w:sz w:val="13"/>
          <w:szCs w:val="13"/>
          <w:color w:val="auto"/>
        </w:rPr>
      </w:pPr>
    </w:p>
    <w:p>
      <w:pPr>
        <w:ind w:left="760" w:hanging="250"/>
        <w:spacing w:after="0" w:line="278"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36" w:name="page37"/>
    <w:bookmarkEnd w:id="36"/>
    <w:p>
      <w:pPr>
        <w:ind w:left="760"/>
        <w:spacing w:after="0"/>
        <w:rPr>
          <w:sz w:val="20"/>
          <w:szCs w:val="20"/>
          <w:color w:val="auto"/>
        </w:rPr>
      </w:pPr>
      <w:r>
        <w:rPr>
          <w:rFonts w:ascii="Arial" w:cs="Arial" w:eastAsia="Arial" w:hAnsi="Arial"/>
          <w:sz w:val="14"/>
          <w:szCs w:val="14"/>
          <w:color w:val="auto"/>
        </w:rPr>
        <w:t>other misappropriation of assets, or otherwise compromise privacy of sensitive information belonging to us, our customers or other business partners; and</w:t>
      </w:r>
    </w:p>
    <w:p>
      <w:pPr>
        <w:spacing w:after="0" w:line="113" w:lineRule="exact"/>
        <w:rPr>
          <w:sz w:val="20"/>
          <w:szCs w:val="20"/>
          <w:color w:val="auto"/>
        </w:rPr>
      </w:pPr>
    </w:p>
    <w:p>
      <w:pPr>
        <w:ind w:left="760" w:hanging="250"/>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Issuance of new or revised accounting standards by the Financial Accounting Standards Board and the Securities and Exchange Commission.</w:t>
      </w:r>
    </w:p>
    <w:p>
      <w:pPr>
        <w:spacing w:after="0" w:line="124" w:lineRule="exact"/>
        <w:rPr>
          <w:sz w:val="20"/>
          <w:szCs w:val="20"/>
          <w:color w:val="auto"/>
        </w:rPr>
      </w:pPr>
    </w:p>
    <w:p>
      <w:pPr>
        <w:jc w:val="both"/>
        <w:ind w:firstLine="506"/>
        <w:spacing w:after="0" w:line="265" w:lineRule="auto"/>
        <w:rPr>
          <w:sz w:val="20"/>
          <w:szCs w:val="20"/>
          <w:color w:val="auto"/>
        </w:rPr>
      </w:pPr>
      <w:r>
        <w:rPr>
          <w:rFonts w:ascii="Arial" w:cs="Arial" w:eastAsia="Arial" w:hAnsi="Arial"/>
          <w:sz w:val="14"/>
          <w:szCs w:val="14"/>
          <w:color w:val="auto"/>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For more information about the risks, uncertainties, and other factors that could affect our future results, please refer to Item 1A, Risk Factors,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auto"/>
        </w:rPr>
        <w:t>Item 1A. Risk Factors.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Risk Factor Summary</w:t>
      </w:r>
    </w:p>
    <w:p>
      <w:pPr>
        <w:spacing w:after="0" w:line="29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Investing in our common stock involves a high degree of risk. You should carefully consider all information in this Annual Report on Form 10-K prior to investing in our common stock. These risks are discussed more fully in the section titled “Risk Factors.” These risks and uncertainties include, but are not limited to, the following:</w:t>
      </w:r>
    </w:p>
    <w:p>
      <w:pPr>
        <w:spacing w:after="0" w:line="80" w:lineRule="exact"/>
        <w:rPr>
          <w:sz w:val="20"/>
          <w:szCs w:val="20"/>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General economic conditions can have a material adverse effect on our business, financial conditions and result of operations.</w:t>
      </w:r>
    </w:p>
    <w:p>
      <w:pPr>
        <w:spacing w:after="0" w:line="123"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ongoing COVID-19 pandemic may adversely affect our revenues, results of operations and financial condition.</w:t>
      </w:r>
    </w:p>
    <w:p>
      <w:pPr>
        <w:spacing w:after="0" w:line="113"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Failure to implement strategies to enhance our performance could have a material adverse effect on our business, results of operations and financial conditions.</w:t>
      </w:r>
    </w:p>
    <w:p>
      <w:pPr>
        <w:spacing w:after="0" w:line="123" w:lineRule="exact"/>
        <w:rPr>
          <w:rFonts w:ascii="Arial" w:cs="Arial" w:eastAsia="Arial" w:hAnsi="Arial"/>
          <w:sz w:val="14"/>
          <w:szCs w:val="14"/>
          <w:color w:val="auto"/>
        </w:rPr>
      </w:pPr>
    </w:p>
    <w:p>
      <w:pPr>
        <w:ind w:left="520" w:hanging="263"/>
        <w:spacing w:after="0" w:line="278"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perform depends on keeping and hiring exceptionally talented management and employees, and our failure to do so could have a material adverse effect on our business, revenues, results of operations and financial condition.</w:t>
      </w:r>
    </w:p>
    <w:p>
      <w:pPr>
        <w:spacing w:after="0" w:line="80" w:lineRule="exact"/>
        <w:rPr>
          <w:rFonts w:ascii="Arial" w:cs="Arial" w:eastAsia="Arial" w:hAnsi="Arial"/>
          <w:sz w:val="14"/>
          <w:szCs w:val="14"/>
          <w:color w:val="auto"/>
        </w:rPr>
      </w:pPr>
    </w:p>
    <w:p>
      <w:pPr>
        <w:ind w:left="520" w:hanging="263"/>
        <w:spacing w:after="0" w:line="278"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success depends, in part, on our ability to successfully obtain or retain high-performing third-party performers on commercially acceptable terms, and the failure to do so can have a material adverse effect on our business, financial conditions and results of operations.</w:t>
      </w:r>
    </w:p>
    <w:p>
      <w:pPr>
        <w:spacing w:after="0" w:line="69"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is subject to stringent government regulations, it must adhere to numerous complex pieces of legislation, and all of our products face regulatory challenges.</w:t>
      </w:r>
    </w:p>
    <w:p>
      <w:pPr>
        <w:spacing w:after="0" w:line="123" w:lineRule="exact"/>
        <w:rPr>
          <w:rFonts w:ascii="Arial" w:cs="Arial" w:eastAsia="Arial" w:hAnsi="Arial"/>
          <w:sz w:val="14"/>
          <w:szCs w:val="14"/>
          <w:color w:val="auto"/>
        </w:rPr>
      </w:pPr>
    </w:p>
    <w:p>
      <w:pPr>
        <w:ind w:left="520" w:hanging="263"/>
        <w:spacing w:after="0" w:line="278"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depends on the successful protection of our intellectual property rights and our product candidates becoming approved by regulatory agencies, commercially viable, and accepted by the market.</w:t>
      </w:r>
    </w:p>
    <w:p>
      <w:pPr>
        <w:spacing w:after="0" w:line="80" w:lineRule="exact"/>
        <w:rPr>
          <w:rFonts w:ascii="Arial" w:cs="Arial" w:eastAsia="Arial" w:hAnsi="Arial"/>
          <w:sz w:val="14"/>
          <w:szCs w:val="14"/>
          <w:color w:val="auto"/>
        </w:rPr>
      </w:pPr>
    </w:p>
    <w:p>
      <w:pPr>
        <w:ind w:left="520" w:hanging="263"/>
        <w:spacing w:after="0" w:line="278"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faces a serious financial risk if generic products that compete with any of our branded pharmaceutical products are approved and sold because sales of our products will be adversely-affected and our business may not recover the capital costs of bringing that product to market.</w:t>
      </w:r>
    </w:p>
    <w:p>
      <w:pPr>
        <w:spacing w:after="0" w:line="69" w:lineRule="exact"/>
        <w:rPr>
          <w:rFonts w:ascii="Arial" w:cs="Arial" w:eastAsia="Arial" w:hAnsi="Arial"/>
          <w:sz w:val="14"/>
          <w:szCs w:val="14"/>
          <w:color w:val="auto"/>
        </w:rPr>
      </w:pPr>
    </w:p>
    <w:p>
      <w:pPr>
        <w:ind w:left="520" w:hanging="263"/>
        <w:spacing w:after="0" w:line="278"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faces an inherent risk of product liability lawsuits related to the testing of our product candidates and the commercial sale of our products, and if we cannot successfully defend ourselves against the product liability claim, we may incur substantial liabilities.</w:t>
      </w:r>
    </w:p>
    <w:p>
      <w:pPr>
        <w:spacing w:after="0" w:line="80" w:lineRule="exact"/>
        <w:rPr>
          <w:rFonts w:ascii="Arial" w:cs="Arial" w:eastAsia="Arial" w:hAnsi="Arial"/>
          <w:sz w:val="14"/>
          <w:szCs w:val="14"/>
          <w:color w:val="auto"/>
        </w:rPr>
      </w:pPr>
    </w:p>
    <w:p>
      <w:pPr>
        <w:ind w:left="520" w:hanging="263"/>
        <w:spacing w:after="0" w:line="278"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attempt to develop internationally and license our products globally, as well as invest in other businesses or joint ventures, all of which may be unsuccessful, divert our management’s attention and harm our operating results and prospects.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the COVID-19 pandemic, natural disasters, public health epidemics, and other events beyond our control.</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Our business has been adversely impacted by the COVID-19 pandemic which has affected more than 200 countries and has significantly disrupted the day-to-day activities of both individuals and companies. We rely on individuals and third-party organizations around the world to supply components, manufacture and distribute our products, and execute our clinical trials. We have and may continue to experience revenue loss, supply interruptions, time delays and incur unplanned expenses as a result of the impact of the ongoing COVID-19 pandemic.</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COVID-19 pandemic’s impact on global markets could affect our future access to liquidity and materially adversely affect our results of operations and financial condition.</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ongoing COVID-19 pandemic, and restrictions intended to prevent its spread, have had a significant adverse impact on economic and market conditions around the world, including the United States. The impact of the COVID-19 pandemic continues to evolve. While the economic impact brought by, and the duration of, COVID-19 is difficult to assess or predict, the COVID-19 pandemic could result in additional disruption of global financial markets, reducing our ability to access capital in the future, which could negatively affect our liquidity in the future and in ways that cannot be predicted potentially including a prolonged recessionary environment in the United States. In the longer term, there could be significant new regulatory actions and other events that could limit our activities and investment opportunities or change the functioning of the capital markets, and there is the possibility of a severe worldwide economic downturn. Consequently, we may not be capable of, or successful at, generating positive investment returns or effectively managing risks. Accordingly, we cannot predict the extent to which our results of operations, financial condition and cash flows will be affected.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adverse development regarding our products could have a material and adverse impact on our future revenues and profitability.</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product portfolio currently includes eight brands: Acetadote, Caldolor, Kristalose, Vaprisol, Omeclamox-Pak, Vibativ, RediTrex and Sancuso. A product contamination or other safety or regulatory issues, such as a failure to meet certain FDA reporting requirements involving our products, could negatively impact us and possibly lead to a product recall. In addition, changes impacting any of our products in areas such as competition, lack of market acceptance or demand, government regulation, intellectual property, reimbursement and manufacturing could have an adverse impact on our future revenues and profitability including:</w:t>
      </w:r>
    </w:p>
    <w:p>
      <w:pPr>
        <w:spacing w:after="0" w:line="82" w:lineRule="exact"/>
        <w:rPr>
          <w:sz w:val="20"/>
          <w:szCs w:val="20"/>
          <w:color w:val="auto"/>
        </w:rPr>
      </w:pPr>
    </w:p>
    <w:p>
      <w:pPr>
        <w:ind w:left="760" w:hanging="25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intellectual property protection available for our products or competing treatments;</w:t>
      </w:r>
    </w:p>
    <w:p>
      <w:pPr>
        <w:spacing w:after="0" w:line="123"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unfavorable publicity concerning us, our products, or the markets for these products such as information concerning product contamination or other safety issues in any of our product markets, whether or not directly involving our products;</w:t>
      </w:r>
    </w:p>
    <w:p>
      <w:pPr>
        <w:spacing w:after="0" w:line="80" w:lineRule="exact"/>
        <w:rPr>
          <w:rFonts w:ascii="Arial" w:cs="Arial" w:eastAsia="Arial" w:hAnsi="Arial"/>
          <w:sz w:val="14"/>
          <w:szCs w:val="14"/>
          <w:color w:val="auto"/>
        </w:rPr>
      </w:pPr>
    </w:p>
    <w:p>
      <w:pPr>
        <w:ind w:left="760" w:hanging="25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Perception by physicians and other members of the healthcare community of the safety or efficacy of our products or competing products;</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developments related to our marketing and promotional practices or the manufacture or continued use of our products;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prices of our products relative to other drugs or competing treatments;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current or additional generic competitors;</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availability and level of third-party reimbursement for sales of our products;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continued availability of adequate supplies of our products to meet demand:</w:t>
      </w:r>
    </w:p>
    <w:p>
      <w:pPr>
        <w:spacing w:after="0" w:line="138" w:lineRule="exact"/>
        <w:rPr>
          <w:rFonts w:ascii="Arial" w:cs="Arial" w:eastAsia="Arial" w:hAnsi="Arial"/>
          <w:sz w:val="14"/>
          <w:szCs w:val="14"/>
          <w:color w:val="auto"/>
        </w:rPr>
      </w:pPr>
    </w:p>
    <w:p>
      <w:pPr>
        <w:ind w:left="760" w:hanging="25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4"/>
          <w:szCs w:val="14"/>
          <w:color w:val="auto"/>
        </w:rPr>
        <w:t>Weakened demand for our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39" w:name="page40"/>
    <w:bookmarkEnd w:id="39"/>
    <w:p>
      <w:pPr>
        <w:ind w:left="760" w:hanging="250"/>
        <w:spacing w:after="0"/>
        <w:tabs>
          <w:tab w:leader="none" w:pos="760" w:val="left"/>
        </w:tabs>
        <w:numPr>
          <w:ilvl w:val="0"/>
          <w:numId w:val="16"/>
        </w:numPr>
        <w:rPr>
          <w:rFonts w:ascii="Arial" w:cs="Arial" w:eastAsia="Arial" w:hAnsi="Arial"/>
          <w:sz w:val="15"/>
          <w:szCs w:val="15"/>
          <w:color w:val="auto"/>
        </w:rPr>
      </w:pPr>
      <w:r>
        <w:rPr>
          <w:rFonts w:ascii="Arial" w:cs="Arial" w:eastAsia="Arial" w:hAnsi="Arial"/>
          <w:sz w:val="14"/>
          <w:szCs w:val="14"/>
          <w:color w:val="auto"/>
        </w:rPr>
        <w:t>Unforeseen or serious adverse effects outside of those specified in current product labeling being attributed to any of our approved products.</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Acetadote may be used to treat acetaminophen overdosess. The FDA has previously requested prescribers and manufacturers of prescription combination products that contain acetaminophen to limit the amount of acetaminophen to no more than 325 milligrams (mg) in each tablet or capsule. The FDA requested this action to protect consumers from the risk of severe liver damage which can result from excess acetaminophen which may reduce the number of acetaminophen overdoses which could result in a lower demand for Acetadote. If the demand for Acetadote decreases, it could have an adverse impact on our future revenues and profitability.</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commercial success of Caldolor is dependent on many third-parties, including physicians, pharmacists, hospital pharmacy and therapeutics committees, or P&amp;T committees, suppliers and distributors, all of whom we have little or no control over. We expect Caldolor to continue to be administered primarily to hospital and surgery center patients who are unable to receive oral therapies for the treatment of pain or fever. Before we can distribute Caldolor to any new hospital customers, Caldolor must be approved for addition to the hospitals’ formulary lists by their P&amp;T committees. A hospital’s P&amp;T committee generally governs all matters pertaining to the use of medications within the institution, including review of medication formulary data and recommendations of drugs to the medical staff. We cannot guarantee that we will be successful in getting the approvals we need from enough P&amp;T committees to be able to optimize hospital sales of Caldolor. Even if we obtain hospital approval for Caldolor, we must still convince individual hospital physicians to prescribe Caldolor repeatedly. The commercial success of Caldolor also depends on our ability to coordinate supply, distribution, marketing, sales and education efforts. As with our other products, if Caldolor is not accepted in the marketplace, it could have an adverse impact on our future revenues and profitability.</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Disruptions at the FDA and other government agencies caused by funding shortages or global health concerns could hinder their ability to review and approve new products and otherwise affect the FDA’s ability to perform routine functions. Disruptions at the FDA and other agencies may also slow the time necessary for new drugs or modifications to approved drugs to be reviewed and/or approved by necessary government agencies, which would adversely affect our business.</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Separately, in response to the continuing COVID-19 pandemic and the spread of the Omicron variant, on December 29, 2021, the FDA announced its intention to again postpone surveillance inspections of most foreign and domestic manufacturing facilities with no definitive target date for resuming routine inspection activities. Regulatory authorities outside the United States may adopt similar restrictions or other policy measures in response to the COVID-19 pandemic and emerging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1"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b w:val="1"/>
          <w:bCs w:val="1"/>
          <w:i w:val="1"/>
          <w:iCs w:val="1"/>
          <w:color w:val="auto"/>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the distribution, marketing and subsequent sales of these products could be adversely affected. A long-term inability to meet demand for our products could result in impairment of our brands overall future and the carrying value of the assets associated with our brands. The recent COVID-19 pandemic has and may continue to create issues for our third party-manufacturers and introduce delays in our manufacturing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7" w:right="319" w:bottom="1440" w:gutter="0" w:footer="0" w:header="0"/>
        </w:sectPr>
      </w:pPr>
    </w:p>
    <w:bookmarkStart w:id="40" w:name="page41"/>
    <w:bookmarkEnd w:id="40"/>
    <w:p>
      <w:pPr>
        <w:jc w:val="both"/>
        <w:spacing w:after="0" w:line="278" w:lineRule="auto"/>
        <w:rPr>
          <w:sz w:val="20"/>
          <w:szCs w:val="20"/>
          <w:color w:val="auto"/>
        </w:rPr>
      </w:pPr>
      <w:r>
        <w:rPr>
          <w:rFonts w:ascii="Arial" w:cs="Arial" w:eastAsia="Arial" w:hAnsi="Arial"/>
          <w:sz w:val="14"/>
          <w:szCs w:val="14"/>
          <w:i w:val="1"/>
          <w:iCs w:val="1"/>
          <w:color w:val="auto"/>
        </w:rPr>
        <w:t xml:space="preserve">Acetadote: </w:t>
      </w:r>
      <w:r>
        <w:rPr>
          <w:rFonts w:ascii="Arial" w:cs="Arial" w:eastAsia="Arial" w:hAnsi="Arial"/>
          <w:sz w:val="14"/>
          <w:szCs w:val="14"/>
          <w:color w:val="auto"/>
        </w:rPr>
        <w:t>We have an agreement with one manufacturer to provide commercial supply of Acetadote. If this manufacturer is unable to produce marketable inventory in sufficient quantities,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agreed upon time period, we could suffer an inability to meet demand for Acetadote.</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Caldolor: </w:t>
      </w:r>
      <w:r>
        <w:rPr>
          <w:rFonts w:ascii="Arial" w:cs="Arial" w:eastAsia="Arial" w:hAnsi="Arial"/>
          <w:sz w:val="14"/>
          <w:szCs w:val="14"/>
          <w:color w:val="auto"/>
        </w:rPr>
        <w:t>We have agreements with multiple manufacturers for the supply of Caldolor and during 2021 we obtained commercial supplies from three of these manufacturers for our international and</w:t>
      </w:r>
      <w:r>
        <w:rPr>
          <w:rFonts w:ascii="Arial" w:cs="Arial" w:eastAsia="Arial" w:hAnsi="Arial"/>
          <w:sz w:val="14"/>
          <w:szCs w:val="14"/>
          <w:i w:val="1"/>
          <w:iCs w:val="1"/>
          <w:color w:val="auto"/>
        </w:rPr>
        <w:t xml:space="preserve"> </w:t>
      </w:r>
      <w:r>
        <w:rPr>
          <w:rFonts w:ascii="Arial" w:cs="Arial" w:eastAsia="Arial" w:hAnsi="Arial"/>
          <w:sz w:val="14"/>
          <w:szCs w:val="14"/>
          <w:color w:val="auto"/>
        </w:rPr>
        <w:t>domestic Caldolor requirements. If the manufacturers of Caldolor are unable to produce marketable inventory in sufficient quantities, in the agreed upon time period, we could suffer an inability to meet demand for Caldolor.</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i w:val="1"/>
          <w:iCs w:val="1"/>
          <w:color w:val="auto"/>
        </w:rPr>
        <w:t xml:space="preserve">Kristalose: </w:t>
      </w:r>
      <w:r>
        <w:rPr>
          <w:rFonts w:ascii="Arial" w:cs="Arial" w:eastAsia="Arial" w:hAnsi="Arial"/>
          <w:sz w:val="13"/>
          <w:szCs w:val="13"/>
          <w:color w:val="auto"/>
        </w:rPr>
        <w:t>The active pharmaceutical ingredient for Kristalose is manufactured at a single facility through a complex process. It would be particularly difficult to find a new manufacturer of the</w:t>
      </w:r>
      <w:r>
        <w:rPr>
          <w:rFonts w:ascii="Arial" w:cs="Arial" w:eastAsia="Arial" w:hAnsi="Arial"/>
          <w:sz w:val="13"/>
          <w:szCs w:val="13"/>
          <w:i w:val="1"/>
          <w:iCs w:val="1"/>
          <w:color w:val="auto"/>
        </w:rPr>
        <w:t xml:space="preserve"> </w:t>
      </w:r>
      <w:r>
        <w:rPr>
          <w:rFonts w:ascii="Arial" w:cs="Arial" w:eastAsia="Arial" w:hAnsi="Arial"/>
          <w:sz w:val="13"/>
          <w:szCs w:val="13"/>
          <w:color w:val="auto"/>
        </w:rPr>
        <w:t>Kristalose active pharmaceutical ingredient on an expedited basis. We also have manufacturing relationships with two packagers who provided finished supplies of Kristalose for commercial and sampling purposes during 2021. We will be continuing the packaging of Kristalose with one of those packagers going forward. If the manufacturing or packaging facilities are unable to produce useable or marketable inventory in sufficient quantities, in the agreed upon time period, we could suffer an inablty to meet demand for Kristalose.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Omeclamox-Pak: </w:t>
      </w:r>
      <w:r>
        <w:rPr>
          <w:rFonts w:ascii="Arial" w:cs="Arial" w:eastAsia="Arial" w:hAnsi="Arial"/>
          <w:sz w:val="14"/>
          <w:szCs w:val="14"/>
          <w:color w:val="auto"/>
        </w:rPr>
        <w:t>Our packager for Omeclamox-Pak encountered financial difficulties due to the impact of COVID-19, and their operations are currently suspended. Cumberland is awaiting</w:t>
      </w:r>
      <w:r>
        <w:rPr>
          <w:rFonts w:ascii="Arial" w:cs="Arial" w:eastAsia="Arial" w:hAnsi="Arial"/>
          <w:sz w:val="14"/>
          <w:szCs w:val="14"/>
          <w:i w:val="1"/>
          <w:iCs w:val="1"/>
          <w:color w:val="auto"/>
        </w:rPr>
        <w:t xml:space="preserve"> </w:t>
      </w:r>
      <w:r>
        <w:rPr>
          <w:rFonts w:ascii="Arial" w:cs="Arial" w:eastAsia="Arial" w:hAnsi="Arial"/>
          <w:sz w:val="14"/>
          <w:szCs w:val="14"/>
          <w:color w:val="auto"/>
        </w:rPr>
        <w:t>resumption of those operations while also exploring other alternatives to restart the product’s packaging. In October 2020, we informed the FDA of a shortage of the Omeclamox-Pak which continues. If we are unable to obtain marketable inventory in the future, we could suffer an inability to meet demand for Omeclamox-Pak.</w:t>
      </w:r>
    </w:p>
    <w:p>
      <w:pPr>
        <w:spacing w:after="0" w:line="7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i w:val="1"/>
          <w:iCs w:val="1"/>
          <w:color w:val="auto"/>
        </w:rPr>
        <w:t xml:space="preserve">Vaprisol: </w:t>
      </w:r>
      <w:r>
        <w:rPr>
          <w:rFonts w:ascii="Arial" w:cs="Arial" w:eastAsia="Arial" w:hAnsi="Arial"/>
          <w:sz w:val="13"/>
          <w:szCs w:val="13"/>
          <w:color w:val="auto"/>
        </w:rPr>
        <w:t>In 2018, the manufacturer of Vaprisol informed us that they would no longer be able to provide the product following the manufacturing of one final batch which is providing us with a multi-year supply. We are currently working with a new manufacturer to provide us with long term supplies of the product. In February 2022, we notified the FDA of a shortage of Vaprisol If we are unable to produce additional marketable inventory in sufficient quantities, in the required time frame, we could suffer an inability to meet demand for Vaprisol.</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Vibativ: </w:t>
      </w:r>
      <w:r>
        <w:rPr>
          <w:rFonts w:ascii="Arial" w:cs="Arial" w:eastAsia="Arial" w:hAnsi="Arial"/>
          <w:sz w:val="14"/>
          <w:szCs w:val="14"/>
          <w:color w:val="auto"/>
        </w:rPr>
        <w:t>Through our acquisition of Vibativ, we acquired a multi-year supply of raw material, work in process and finished goods inventory. In 2020, we completed the transfer of Vibativ</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manufacturing activities to a new supplier. If we are unable to continue to obtain marketable inventory in sufficient quantities, in the agreed upon time period, we could suffer an inability to meet demand for Vibativ.</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i w:val="1"/>
          <w:iCs w:val="1"/>
          <w:color w:val="auto"/>
        </w:rPr>
        <w:t xml:space="preserve">RediTrex: </w:t>
      </w:r>
      <w:r>
        <w:rPr>
          <w:rFonts w:ascii="Arial" w:cs="Arial" w:eastAsia="Arial" w:hAnsi="Arial"/>
          <w:sz w:val="14"/>
          <w:szCs w:val="14"/>
          <w:color w:val="auto"/>
        </w:rPr>
        <w:t>Under our licensing and distribution agreement for the product, our licensor is responsible for providing us the packaged and labeled commercial supply of the RediTrex product. If we are</w:t>
      </w:r>
      <w:r>
        <w:rPr>
          <w:rFonts w:ascii="Arial" w:cs="Arial" w:eastAsia="Arial" w:hAnsi="Arial"/>
          <w:sz w:val="14"/>
          <w:szCs w:val="14"/>
          <w:i w:val="1"/>
          <w:iCs w:val="1"/>
          <w:color w:val="auto"/>
        </w:rPr>
        <w:t xml:space="preserve"> </w:t>
      </w:r>
      <w:r>
        <w:rPr>
          <w:rFonts w:ascii="Arial" w:cs="Arial" w:eastAsia="Arial" w:hAnsi="Arial"/>
          <w:sz w:val="14"/>
          <w:szCs w:val="14"/>
          <w:color w:val="auto"/>
        </w:rPr>
        <w:t>unable to obtain marketable inventory in sufficient quantities, in the agreed upon time period, we could suffer an inability to meet demand for RediTrex.</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Sancuso</w:t>
      </w:r>
      <w:r>
        <w:rPr>
          <w:rFonts w:ascii="Arial" w:cs="Arial" w:eastAsia="Arial" w:hAnsi="Arial"/>
          <w:sz w:val="14"/>
          <w:szCs w:val="14"/>
          <w:color w:val="auto"/>
        </w:rPr>
        <w:t>: As part of the acquisition of Sancuso in January 2022, we obtained an initial supply of finished goods inventory and work in progress. The continued production of Sancuso is in the process</w:t>
      </w:r>
      <w:r>
        <w:rPr>
          <w:rFonts w:ascii="Arial" w:cs="Arial" w:eastAsia="Arial" w:hAnsi="Arial"/>
          <w:sz w:val="14"/>
          <w:szCs w:val="14"/>
          <w:i w:val="1"/>
          <w:iCs w:val="1"/>
          <w:color w:val="auto"/>
        </w:rPr>
        <w:t xml:space="preserve"> </w:t>
      </w:r>
      <w:r>
        <w:rPr>
          <w:rFonts w:ascii="Arial" w:cs="Arial" w:eastAsia="Arial" w:hAnsi="Arial"/>
          <w:sz w:val="14"/>
          <w:szCs w:val="14"/>
          <w:color w:val="auto"/>
        </w:rPr>
        <w:t>of being moved to one of the current manufacturer’s other facilities. Data is being developed to support the transfer which will require FDA approval. If the FDA does not approve the new facility and we are unable to obtain marketable inventory n sufficient quantities, we could suffer an inability to meet demand for Sancuso.</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must be unable to comply with GMP requirements and with other FDA, state, and foreign regulatory requirements.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no control over our manufacturers’ compliance with these regulations and standards. If our third-party manufacturers do not comply with these requirements, we could be subject to Fines and civil penalties; suspension of production or distribution; suspension or delay in product approval; product seizure or recall; and withdrawal of product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88"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i w:val="1"/>
          <w:iCs w:val="1"/>
          <w:color w:val="auto"/>
        </w:rPr>
        <w:t>We are dependent on a variety of other third parties. If these third parties fail to perform as we expect, our operations could be disrupted and our financial results could suffer.</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a relatively small internal infrastructure. We rely on a variety of third parties, in addition to our manufacturers, to help us operate our business. 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pressures could reduce our revenues and profits.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pharmaceutical industry is intensely competitive. Our strategy is to target differentiated products in specialized markets. However, this strategy does not relieve us from competitive pressures and can entail distinct competitive risks. Certain of our competitors do not aggressively promote their products in our markets. An increase in promotional activity in our markets could result in large shifts in market share, adversely impacting us.</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competitors may sell or develop drugs that are more effective and useful or less costly than ours, and they may be more successful in manufacturing and marketing their products. Many of our competitors have significantly greater financial and marketing resources than we do. Additional competitors may enter our markets.</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pharmaceutical industry is characterized by constant and significant investment in new product development, which can result in rapid technological change. The introduction of new products could substantially reduce our market share or render our products obsolete. The selling prices of pharmaceutical products tend to decline as competition increases, through new product introduction or otherwise, which could reduce our revenues and profitability.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generic products that compete with any of our branded pharmaceutical products are approved and sold, sales of our products will be adversely affected.</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Generic equivalents for branded pharmaceutical products are typically sold at lower costs than the branded products. The regulatory approval process in the United States exempts generic products from costly and time-consuming clinical trials to demonstrate their safety and efficacy and rely instead on the safety and efficacy of prior products, manufacturers of generic products can invest far less in research and development. After the introduction of a competing generic product, a significant percentage of the prescriptions previously written for the branded product are often written for the generic version. In addition, legislation enacted in most U.S. states allows or, in some instances mandates, that a pharmacist dispense an available generic equivalent when filling a prescription for a branded product, in the absence of specific instructions from the prescribing physician. Governmental and private healthcare payors also emphasize substitution of branded pharmaceuticals with less expensive generic equivalents. Pursuant to the provisions of the Hatch-Waxman Act, manufacturers of branded products often bring lawsuits to enforce their patent rights against generic products released prior to the expiration of branded products’ patents, but it is possible for generic manufacturers to offer generic products while such litigation is pending. As a result, branded products typically experience a significant loss in revenues following the introduction of a competing generic product, even if subject to an existing patent. Our branded pharmaceutical products are or may become subject to competition from generic equivalents because there is no proprietary protection for some of the branded pharmaceutical products we sell, because our patent protection expires or because our patent protection is not sufficiently broad or enforceable. In addition, we may not be successful in our efforts to extend the proprietary protection afforded our branded products through the development and commercialization of proprietary product improvements. Competition from generic equivalents could result in a decrease in revenues of our branded pharmaceuticals or result in a material impairment of our intangible assets or the acceleration of amortization on our non-impaired intangible assets and may have a material adverse impact on our revenues,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attempt by us to expand the potential market for any of our products is subject to limitations.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Expansion of the market for our products may be subject to certain limitations. In the past, these limitations have included FDA required Phase IV commitments. We may also experience delays associated with future required Phase IV clinical studies potentially resulting from, among other factors, difficulty enrolling patients. Such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could impact our ability to explore opportunities for label expansion and limit our ability to bring our products to new patient populations.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we have largely obtained regulatory approval to market our products in the United States. Not all foreign jurisdictions may represent attractive opportunities for our products due to pricing, competitive, regulatory or other factors. In certain foreign jurisdictions, we have licensed the right to market some of our products to third parties. These third parties are responsible for seeking and maintaining regulatory approval for the products in their respective jurisdictions. We have no control over these third parties and cannot be sure that marketing approval for our products will be obtained outside the United States.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growth depends on our ability to identify and acquire rights to products. If we do not successfully identify and acquire rights to products, our growth opportunities may be limited.</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added six products to our portfolio of brands through acquisitions. Our business strategy is to continue to acquire rights to FDA-approved products as well as pharmaceutical product candidates in the late stages of development. We do not plan to conduct basic research or preclinical product development, except to the extent of our investment in CET. As compared to large multi-national pharmaceutical companies, we have limited resources to acquire third-party products, businesses and technologies and integrate them into our current infrastructure. Many acquisition opportunities involve competition among several potential purchasers including large multi-national pharmaceutical companies and other competitors that have access to greater financial resources than we do. With future acquisitions, we may face financial and operational risks and uncertainties. We may not be able to engage in future product acquisitions, and those we do complete may not be beneficial to us in the long term.</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Furthermore, other products in development may encounter unforeseen issues during their clinical trials. Any unforeseen issues or lack of FDA approval will negatively affect marketing and development plans for those products.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Our future growth depends on our ability to successfully integrate acquired product brands into our operations. If we do not successfully integrate acquired product brands into our operations, our growth opportunities may be limited.</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we are unable to successfully integrate the marketing, sale and distribution of any other potential products into our current infrastructure or if they require significantly greater resources than originally anticipated, we may face financial and operational risks and uncertainties. If we are unable to successfully integrate any acquired brands, both current and future, these product acquisitions may not be beneficial to us in the long term.</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ifetoban product candidates have not been approved for sale and may never be successfully commercialized.</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anticipate that a portion of our future revenue growth may come from sales of our ifetroban product candidates. However, none of these products have been approved by the FDA for marketing, and these product candidates are still subject to risks associated with their development. Drug development is a long, expensive and inherently uncertain process with a high risk of failure at every stage of development, and results of earlier studies and trials may not be predictive of future trial results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FDA has cleared our IND's for the ifetroban product candidates as we evaluate them as treatments for these conditions. Delays in the enrollment and completion of the clinical studies could significantly delay commercial launch and affect our product development costs. Moreover, results from the clinical studies may not be favorable.</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Even if they are eventually developed and approved by the FDA, they may never gain significant acceptance in the marketplace and therefore never generate substantial revenue or profits for us. Physicians may determine that existing drugs are adequate to address patients' needs. The extent to which these product candidates will be reimbursed by the U.S. government or third-party payors is also currently unknown.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the foregoing and other factors, we do not know the extent to which our product candidates will contribute to our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i w:val="1"/>
          <w:iCs w:val="1"/>
          <w:color w:val="auto"/>
        </w:rPr>
        <w:t>If we are unable to maintain, train and build an effective sales and marketing infrastructure, we will not be able to commercialize and grow our products and product candidates successfully.</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As we grow, we may not be able to secure sales personnel or organizations that are adequate in number or expertise to successfully market and sell our products. This risk would be accentuated if we acquire products in areas outside of our current focus areas since our sales forces specialize in our existing areas. If we are unable to expand our sales and marketing capability, train our sales force effectively or provide any other capabilities necessary to commercialize our products and product candidates, we will need to contract with third parties to market and sell our products. We must train our employees on proper regulatory compliance, including, but not limited to, “fair balance” promotion of our products and anti-kickback laws. If we are unable to establish and maintain compliant and adequate sales and marketing capabilities, we may not be able to increase our product revenue, may generate increased expenses and may experience regulatory compliance issues.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governmental or third-party payors do not provide adequate reimbursement for our products, our revenue and prospects for profitability may be limited.</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Our financial success depends, in part, on the availability of adequate reimbursement from third-party healthcare payors. Such third-party payors include governmental health programs such as Medicare and Medicaid, managed care providers and private health insurers. Third-party payors are increasingly challenging the pricing of medical products and services, while governments continue to propose and pass legislation designed to reduce the cost of healthcare. Adoption of such legislation could further limit reimbursement for pharmaceuticals. In addition, as part of the Build Back Better Act (“BBBA”) proposed legislation, provisions intended to lower the price of prescription drugs, including permitting Medicare to negotiate the price of prescription drugs once they have been on the market for a fixed number of years, and imposing a tax penalty on drug manufacturers if the price of their drugs increase faster than the rate of inflation are possible At this time no assurances can be given that these measures, or subsequent legislative proposals, will not have an adverse effect on our revenues in the future. Future cost control initiatives, legislation, and regulations could decrease the price that we receive for our products, which would limit our revenue and profitability.</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Also, reimbursement practices of third-party payors might preclude us from achieving market acceptance for our products or maintaining price levels sufficient to realize an appropriate return on our investment in product acquisition and development. If we cannot obtain adequate reimbursement levels, our business, financial condition and results of operations would be materially and adversely affected.</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employees have been trained to submit accurate and correct pricing information to payors. If, despite the training, our employees provide incorrect or fraudulent information, then we will be subject to various administrative and judicial investigations and litigation.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“Formulary” practices of third-party payors could adversely affect our competitive position.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Many managed healthcare organizations control the pharmaceutical products included on their formulary lists. Having products listed on these formulary lists creates competition among pharmaceutical companies which, in turn, has created a trend of downward pricing pressure in our industry. In addition, many managed care organizations are pursuing various ways to reduce pharmaceutical costs and are considering formulary contracts primarily with those pharmaceutical companies that can offer a full line of products for a given therapy sector or disease state. Our products might not be included on the formulary lists of managed care organizations, and downward pricing pressure in our industry generally could negatively impact our operations.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Continued consolidation of distributor networks in the pharmaceutical industry as well as increases in retailer concentration may limit our ability to profitably sell our products.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sell most of our products to large pharmaceutical wholesalers, who in turn sell to hospitals, surgery centers and retail pharmacies. The distribution network for pharmaceutical products has become increasingly consolidated in recent years. Further consolidation or financial difficulties could also cause our customers to reduce the amounts of our products that they purchase, adversely impacting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color w:val="auto"/>
        </w:rPr>
        <w:t>Our CET joint initiative may not result in our gaining access to commercially viable products.</w:t>
      </w:r>
    </w:p>
    <w:p>
      <w:pPr>
        <w:spacing w:after="0" w:line="113"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spacing w:after="0" w:line="80" w:lineRule="exact"/>
        <w:rPr>
          <w:sz w:val="20"/>
          <w:szCs w:val="20"/>
          <w:color w:val="auto"/>
        </w:rPr>
      </w:pPr>
    </w:p>
    <w:p>
      <w:pPr>
        <w:ind w:left="760" w:hanging="250"/>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CET investigates early-stage products, which have risk of failure prior to FDA approval and commercialization;</w:t>
      </w:r>
    </w:p>
    <w:p>
      <w:pPr>
        <w:spacing w:after="0" w:line="123"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some programs, we do not have pre-set rights to product candidates developed by CET. We would need to agree with CET and its collaborators on the terms of any product licensed or acquired by us;</w:t>
      </w:r>
    </w:p>
    <w:p>
      <w:pPr>
        <w:spacing w:after="0" w:line="69"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rely principally on government grants to fund CET’s research and development programs. If these grants were no longer available, we or our co-owners might be unable or unwilling to fund CET operations at current levels or at all;</w:t>
      </w:r>
    </w:p>
    <w:p>
      <w:pPr>
        <w:spacing w:after="0" w:line="80"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become involved in disputes with our co-owners regarding CET policy or operations, such as how best to deploy CET assets or which product opportunities to pursue. Disagreement could disrupt or halt product development; and</w:t>
      </w:r>
    </w:p>
    <w:p>
      <w:pPr>
        <w:spacing w:after="0" w:line="80" w:lineRule="exact"/>
        <w:rPr>
          <w:rFonts w:ascii="Arial" w:cs="Arial" w:eastAsia="Arial" w:hAnsi="Arial"/>
          <w:sz w:val="14"/>
          <w:szCs w:val="14"/>
          <w:color w:val="auto"/>
        </w:rPr>
      </w:pPr>
    </w:p>
    <w:p>
      <w:pPr>
        <w:ind w:left="760" w:hanging="250"/>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CET may disagree with one of the various universities with which CET is collaborating on research. A disagreement could disrupt or halt product development.</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We depend on our key personnel, the loss of whom would adversely affect our operations. If we fail to attract and retain the talent required for our business, our business will be materially harmed.</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 The recent COVID-19 pandemic has introduced additional challenges in the retention and hiring of key personnel.</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size of our organization and our potential growth may lead to difficulties in managing operations.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December 31, 2021, we had 83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5" w:name="page46"/>
    <w:bookmarkEnd w:id="45"/>
    <w:p>
      <w:pPr>
        <w:jc w:val="both"/>
        <w:spacing w:after="0" w:line="278" w:lineRule="auto"/>
        <w:rPr>
          <w:sz w:val="20"/>
          <w:szCs w:val="20"/>
          <w:color w:val="auto"/>
        </w:rPr>
      </w:pPr>
      <w:r>
        <w:rPr>
          <w:rFonts w:ascii="Arial" w:cs="Arial" w:eastAsia="Arial" w:hAnsi="Arial"/>
          <w:sz w:val="14"/>
          <w:szCs w:val="14"/>
          <w:b w:val="1"/>
          <w:bCs w:val="1"/>
          <w:i w:val="1"/>
          <w:iCs w:val="1"/>
          <w:color w:val="auto"/>
        </w:rPr>
        <w:t>We face potential product liability exposure, and if successful claims are brought against us, we may incur substantial liability for a product or product candidate and may have to limit its commercialization.</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Liability claims may result in decreased demand for our products; injury to our reputation; withdrawal of clinical trial participants; significant litigation costs; substantial monetary awards to or costly settlement with patients; product recalls; loss of revenue; and the inability to commercialize our product candidates.</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product liability insurance that covers our clinical trials, the marketing and sale of our products up to a $10 million annual aggregate limit, subject to specified deductibles. Our current or future insurance coverage may prove insufficient to cover any liability claims brought against us.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Because of the increasing costs of insurance coverage, we may not be able to maintain insurance coverage at a reasonable cost or obtain insurance coverage that will be adequate to satisfy any liability that may arise.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Regulatory approval for any approved product is limited by the FDA to those specific indications and conditions for which clinical safety and efficacy have been demonstrated.</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regulatory approval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our ability to effectively market and sell our products may be reduced and our business may be adversely affected.</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failure to follow FDA rules and guidelines relating to promotion and advertising may cause the FDA to suspend or withdraw an approved product from the market, require a recall or payment of fines, or could result in disgorgement of money, operating restrictions, injunctions or criminal prosecution, any of which could harm our business.</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Our business and operations would suffer in the event of system failures, security breaches, including any cybersecurity incidents, adverse events or other disruptions within our information technology infrastructure at our corporate headquarters; or in the event of intellectual property infringement.</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business depends on effective, secure and operational information systems which include systems provided by external contractors and other service providers. Despite the implementation of security measures, our computer systems and information technology infrastructure, including those resources at our corporate headquarters, are vulnerable to damage from cyber-attacks, computer viruses, unauthorized access, natural disasters, terrorism, war and telecommunication and electrical failures. Our business is at risk from and may be impacted by information security incidents, including ransomware, malware, phishing, social engineering, and other security events. Such incidents can range from individual attempts to gain unauthorized access to information technology systems to more sophisticated security threats. These events can also result from internal compromises, such as human error or malicious acts. These events can occur on our systems or on the systems of our partners and subcontractors.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Problems with, or the failure of, our technology and systems or any system upgrades or programming changes associated with such technology and systems would have a substantial and material negative effect on our operations. Furthermore, any system failure, accident or security breach that causes interruptions in our operations could result in a material disruption of our drug development programs.</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6" w:name="page47"/>
    <w:bookmarkEnd w:id="46"/>
    <w:p>
      <w:pPr>
        <w:jc w:val="both"/>
        <w:spacing w:after="0" w:line="256" w:lineRule="auto"/>
        <w:rPr>
          <w:sz w:val="20"/>
          <w:szCs w:val="20"/>
          <w:color w:val="auto"/>
        </w:rPr>
      </w:pPr>
      <w:r>
        <w:rPr>
          <w:rFonts w:ascii="Arial" w:cs="Arial" w:eastAsia="Arial" w:hAnsi="Arial"/>
          <w:sz w:val="14"/>
          <w:szCs w:val="14"/>
          <w:color w:val="auto"/>
        </w:rPr>
        <w:t>publicly disclosed, lost or stolen. If we are subject to cyber-attacks or security breaches, this could result in business interruptions and delays; the loss, misappropriation, corruption or unauthorized access of data; litigation and potential liability under privacy, security and consumer protection laws or other applicable laws; reputational damage and federal and state governmental inquiries. Any such problems or failures and the costs incurred in correcting any such problems or failures, could have a material adverse effect on our business and financial condition, results of operations and cash flows.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 A failure to restore our information systems after the occurrence of any of these events could have a material adverse effect on our business and financial condition, results of operations and cash flows.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information systems and applications also require maintenance, upgrading and enhancement to meet our operational needs. We regularly upgrade and expand our information systems’ capabilities.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As cyber threats continue to evolve, we may be required to expend significant capital and other resources to protect against the threat of security breaches or to mitigate and alleviate problems caused by breaches, including unauthorized access to proprietary information and personally identifiable information stored in our information systems, and the introduction of computer viruses or other malicious software programs to our systems. Our security measures may be inadequate to prevent security breaches and our business operations could be materially adversely affected by federal and state fines and penalties, legal claims or proceedings, cancellation of contracts and loss of customers if security breaches are not prevented.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believe that our subcontractors and vendors take precautionary measures to prevent problems that could affect our business operations as a result of failure or disruption to their information systems. However, there is no guarantee such efforts will be successful in preventing a disruption, and it is possible that we may be impacted by information system failures. The occurrence of any information system failures could result in interruptions, delays, loss or corruption of data and cessations or interruptions in the availability of these systems. All of these events or circumstances, among others, could have an adverse effect on our business, results of operations, financial position and cash flows, and they could harm our business reputation.</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believe we have all the necessary licenses from third parties to use technology and software that we do not own. A third party could, however, allege that we are infringing its rights, which may deter our ability to obtain licenses on commercially reasonable terms from the third party, if at all, or cause the third party to commence litigation against us. In addition, we may find it necessary to initiate litigation to protect our trade secrets, to enforce our intellectual property rights and to determine the scope and validity of any proprietary rights of others. Any such litigation, or the failure to obtain any necessary licenses or other rights, could materially and adversely affect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license our products globally; therefore, we may have exposure to foreign regulatory requirements and fluctuations in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Continued foreign licensure inherently subjects us to a number of risks and uncertainties, including:</w:t>
      </w:r>
    </w:p>
    <w:p>
      <w:pPr>
        <w:spacing w:after="0" w:line="113" w:lineRule="exact"/>
        <w:rPr>
          <w:sz w:val="20"/>
          <w:szCs w:val="20"/>
          <w:color w:val="auto"/>
        </w:rPr>
      </w:pPr>
    </w:p>
    <w:p>
      <w:pPr>
        <w:ind w:left="820" w:hanging="246"/>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longer payment cycles and difficulties in enforcing agreements and collecting receivables through certain foreign legal systems;</w:t>
      </w:r>
    </w:p>
    <w:p>
      <w:pPr>
        <w:spacing w:after="0" w:line="123" w:lineRule="exact"/>
        <w:rPr>
          <w:rFonts w:ascii="Arial" w:cs="Arial" w:eastAsia="Arial" w:hAnsi="Arial"/>
          <w:sz w:val="14"/>
          <w:szCs w:val="14"/>
          <w:color w:val="auto"/>
        </w:rPr>
      </w:pPr>
    </w:p>
    <w:p>
      <w:pPr>
        <w:ind w:left="820" w:hanging="246"/>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political and economic instability or sanctions in areas in which we operate;</w:t>
      </w:r>
    </w:p>
    <w:p>
      <w:pPr>
        <w:spacing w:after="0" w:line="123" w:lineRule="exact"/>
        <w:rPr>
          <w:rFonts w:ascii="Arial" w:cs="Arial" w:eastAsia="Arial" w:hAnsi="Arial"/>
          <w:sz w:val="14"/>
          <w:szCs w:val="14"/>
          <w:color w:val="auto"/>
        </w:rPr>
      </w:pPr>
    </w:p>
    <w:p>
      <w:pPr>
        <w:ind w:left="820" w:hanging="246"/>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potentially adverse tax consequences, tariffs, customs charges, bureaucratic requirements and other trade barriers;</w:t>
      </w:r>
    </w:p>
    <w:p>
      <w:pPr>
        <w:spacing w:after="0" w:line="113" w:lineRule="exact"/>
        <w:rPr>
          <w:rFonts w:ascii="Arial" w:cs="Arial" w:eastAsia="Arial" w:hAnsi="Arial"/>
          <w:sz w:val="14"/>
          <w:szCs w:val="14"/>
          <w:color w:val="auto"/>
        </w:rPr>
      </w:pPr>
    </w:p>
    <w:p>
      <w:pPr>
        <w:ind w:left="820" w:hanging="246"/>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regulations related to customs and import/export matters (including sanctions);</w:t>
      </w:r>
    </w:p>
    <w:p>
      <w:pPr>
        <w:spacing w:after="0" w:line="123" w:lineRule="exact"/>
        <w:rPr>
          <w:rFonts w:ascii="Arial" w:cs="Arial" w:eastAsia="Arial" w:hAnsi="Arial"/>
          <w:sz w:val="14"/>
          <w:szCs w:val="14"/>
          <w:color w:val="auto"/>
        </w:rPr>
      </w:pPr>
    </w:p>
    <w:p>
      <w:pPr>
        <w:ind w:left="820" w:hanging="246"/>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tax issues, such as tax law changes and variations in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7" w:name="page48"/>
    <w:bookmarkEnd w:id="47"/>
    <w:p>
      <w:pPr>
        <w:ind w:left="820" w:hanging="24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challenges in collecting accounts receivable from customers in the jurisdictions in which we operate;</w:t>
      </w:r>
    </w:p>
    <w:p>
      <w:pPr>
        <w:spacing w:after="0" w:line="113" w:lineRule="exact"/>
        <w:rPr>
          <w:rFonts w:ascii="Arial" w:cs="Arial" w:eastAsia="Arial" w:hAnsi="Arial"/>
          <w:sz w:val="14"/>
          <w:szCs w:val="14"/>
          <w:color w:val="auto"/>
        </w:rPr>
      </w:pPr>
    </w:p>
    <w:p>
      <w:pPr>
        <w:ind w:left="820" w:hanging="246"/>
        <w:spacing w:after="0"/>
        <w:tabs>
          <w:tab w:leader="none" w:pos="8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complying with laws, rules and regulations relating to the manufacturing, marketing, distribution and sale of pharmaceutical products in the jurisdictions in which we do or will operate;</w:t>
      </w:r>
    </w:p>
    <w:p>
      <w:pPr>
        <w:spacing w:after="0" w:line="135" w:lineRule="exact"/>
        <w:rPr>
          <w:rFonts w:ascii="Arial" w:cs="Arial" w:eastAsia="Arial" w:hAnsi="Arial"/>
          <w:sz w:val="13"/>
          <w:szCs w:val="13"/>
          <w:color w:val="auto"/>
        </w:rPr>
      </w:pPr>
    </w:p>
    <w:p>
      <w:pPr>
        <w:ind w:left="820" w:hanging="24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operating under regulations in jurisdictions related to obtaining eligibility for government or private payor reimbursement for our products at the wholesale/retail level;</w:t>
      </w:r>
    </w:p>
    <w:p>
      <w:pPr>
        <w:spacing w:after="0" w:line="123" w:lineRule="exact"/>
        <w:rPr>
          <w:rFonts w:ascii="Arial" w:cs="Arial" w:eastAsia="Arial" w:hAnsi="Arial"/>
          <w:sz w:val="14"/>
          <w:szCs w:val="14"/>
          <w:color w:val="auto"/>
        </w:rPr>
      </w:pPr>
    </w:p>
    <w:p>
      <w:pPr>
        <w:ind w:left="820" w:hanging="24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competition from local, regional and international competitors;</w:t>
      </w:r>
    </w:p>
    <w:p>
      <w:pPr>
        <w:spacing w:after="0" w:line="113" w:lineRule="exact"/>
        <w:rPr>
          <w:rFonts w:ascii="Arial" w:cs="Arial" w:eastAsia="Arial" w:hAnsi="Arial"/>
          <w:sz w:val="14"/>
          <w:szCs w:val="14"/>
          <w:color w:val="auto"/>
        </w:rPr>
      </w:pPr>
    </w:p>
    <w:p>
      <w:pPr>
        <w:ind w:left="820" w:hanging="246"/>
        <w:spacing w:after="0" w:line="278" w:lineRule="auto"/>
        <w:tabs>
          <w:tab w:leader="none" w:pos="8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difficulties and costs of staffing and managing foreign operations, including cultural and language differences and additional employment regulations, union workforce negotiations and potential disputes in the jurisdictions in which we operate;</w:t>
      </w:r>
    </w:p>
    <w:p>
      <w:pPr>
        <w:spacing w:after="0" w:line="80" w:lineRule="exact"/>
        <w:rPr>
          <w:rFonts w:ascii="Arial" w:cs="Arial" w:eastAsia="Arial" w:hAnsi="Arial"/>
          <w:sz w:val="14"/>
          <w:szCs w:val="14"/>
          <w:color w:val="auto"/>
        </w:rPr>
      </w:pPr>
    </w:p>
    <w:p>
      <w:pPr>
        <w:ind w:left="820" w:hanging="24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difficulties associated with compliance with a variety of laws and regulations governing international trade, including the Foreign Corrupt Practices Act;</w:t>
      </w:r>
    </w:p>
    <w:p>
      <w:pPr>
        <w:spacing w:after="0" w:line="123" w:lineRule="exact"/>
        <w:rPr>
          <w:rFonts w:ascii="Arial" w:cs="Arial" w:eastAsia="Arial" w:hAnsi="Arial"/>
          <w:sz w:val="14"/>
          <w:szCs w:val="14"/>
          <w:color w:val="auto"/>
        </w:rPr>
      </w:pPr>
    </w:p>
    <w:p>
      <w:pPr>
        <w:ind w:left="820" w:hanging="24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difficulties protecting or procuring intellectual property rights; and</w:t>
      </w:r>
    </w:p>
    <w:p>
      <w:pPr>
        <w:spacing w:after="0" w:line="113" w:lineRule="exact"/>
        <w:rPr>
          <w:rFonts w:ascii="Arial" w:cs="Arial" w:eastAsia="Arial" w:hAnsi="Arial"/>
          <w:sz w:val="14"/>
          <w:szCs w:val="14"/>
          <w:color w:val="auto"/>
        </w:rPr>
      </w:pPr>
    </w:p>
    <w:p>
      <w:pPr>
        <w:ind w:left="820" w:hanging="24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foreign currency exchange rates.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Any of these factors may, individually or as a group, have a material adverse effect on our business and results of operations. These or other similar risks could adversely affect our revenue and profitability. As we continue to develop internationally, our exposure to these factors will increase.</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We may decide not to commercialize one of our drug candidates once it obtains regulatory approval if we determine that commercialization of that product would require more capital and time than we are willing to invest.</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Even if any of our drug candidates receives regulatory approval, it could be subject to matters such as post-regulatory surveillance, additional clinical trials or testing, reformulation, changes in labeling, warnings to the public, recall, competition from similar or superior products, and lack of sufficient payor reimbursement by insurance companies or Medicare. As a result, we may not commercialize or continue to commercialize a product that has obtained regulatory approval.</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approved drug product that we bring to the market may not gain market acceptance by physicians, patients, healthcare payors and others in the medical community.</w:t>
      </w:r>
    </w:p>
    <w:p>
      <w:pPr>
        <w:spacing w:after="0" w:line="135"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Market acceptance of our drug products, if approved for commercial sale, will depend on a number of factors, including:</w:t>
      </w:r>
    </w:p>
    <w:p>
      <w:pPr>
        <w:spacing w:after="0" w:line="124" w:lineRule="exact"/>
        <w:rPr>
          <w:sz w:val="20"/>
          <w:szCs w:val="20"/>
          <w:color w:val="auto"/>
        </w:rPr>
      </w:pPr>
    </w:p>
    <w:p>
      <w:pPr>
        <w:ind w:left="760" w:hanging="250"/>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willingness and ability of patients and the healthcare community to use our drug products;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ability to manufacture our drug products in sufficient quantities with acceptable quality and to offer our drug products for sale at competitive prices;</w:t>
      </w:r>
    </w:p>
    <w:p>
      <w:pPr>
        <w:spacing w:after="0" w:line="113" w:lineRule="exact"/>
        <w:rPr>
          <w:rFonts w:ascii="Arial" w:cs="Arial" w:eastAsia="Arial" w:hAnsi="Arial"/>
          <w:sz w:val="14"/>
          <w:szCs w:val="14"/>
          <w:color w:val="auto"/>
        </w:rPr>
      </w:pPr>
    </w:p>
    <w:p>
      <w:pPr>
        <w:ind w:left="760" w:hanging="250"/>
        <w:spacing w:after="0" w:line="278"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perception of patients and the healthcare community, including third-party payors, regarding the safety, efficacy and benefits of our drug products compared to those of competing products or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8" w:name="page49"/>
    <w:bookmarkEnd w:id="48"/>
    <w:p>
      <w:pPr>
        <w:ind w:left="760" w:hanging="250"/>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label and promotional claims allowed by the FDA; and</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pricing and reimbursement of our drug products relative to existing treatments.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The acquisitions we have made or make in the future may make us the subject of lawsuits from either an acquired company’s shareholders, an acquired company’s previous shareholders, or our current shareholders.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may be the subject of lawsuits from either an acquired company’s shareholders, an acquired company’s previous shareholders, or our current shareholders. These lawsuits could result from the actions of the acquisition target prior to the date of the acquisition, from the acquisition transaction itself, or from actions after the acquisition. Defending potential lawsuits could cost us significant expense and distract management’s attention from the operation of the business. Additionally, these lawsuits could result in the cancellation of, or the inability to renew, certain insurance coverage that would be necessary to protect our assets.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required to modify our business practices, pay fines and significant expenses or experience other losses due to governmental investigations or other enforcement activities.</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While the ultimate outcomes of investigations and legal proceedings are difficult to predict, adverse resolutions or settlements of those matters could result in, among other things:</w:t>
      </w:r>
    </w:p>
    <w:p>
      <w:pPr>
        <w:spacing w:after="0" w:line="124" w:lineRule="exact"/>
        <w:rPr>
          <w:sz w:val="20"/>
          <w:szCs w:val="20"/>
          <w:color w:val="auto"/>
        </w:rPr>
      </w:pPr>
    </w:p>
    <w:p>
      <w:pPr>
        <w:ind w:left="760" w:hanging="250"/>
        <w:spacing w:after="0" w:line="278"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significant damage awards, fines, penalties or other payments, and administrative remedies, such as exclusion and/or debarment from government programs, or other rulings that preclude us from operating our business in a certain manner;</w:t>
      </w:r>
    </w:p>
    <w:p>
      <w:pPr>
        <w:spacing w:after="0" w:line="69" w:lineRule="exact"/>
        <w:rPr>
          <w:rFonts w:ascii="Arial" w:cs="Arial" w:eastAsia="Arial" w:hAnsi="Arial"/>
          <w:sz w:val="14"/>
          <w:szCs w:val="14"/>
          <w:color w:val="auto"/>
        </w:rPr>
      </w:pPr>
    </w:p>
    <w:p>
      <w:pPr>
        <w:ind w:left="760" w:hanging="250"/>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and additional costs to our business operations to avoid risks associated with such litigation or investigations;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product recalls;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reputational damage and decreased demand for our products; and</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expenditure of significant time and resources that would otherwise be available for operating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RISKS RELATING TO GOVERNMENT REGULATION</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 For more information, see “ </w:t>
      </w:r>
      <w:r>
        <w:rPr>
          <w:rFonts w:ascii="Arial" w:cs="Arial" w:eastAsia="Arial" w:hAnsi="Arial"/>
          <w:sz w:val="14"/>
          <w:szCs w:val="14"/>
          <w:i w:val="1"/>
          <w:iCs w:val="1"/>
          <w:color w:val="auto"/>
        </w:rPr>
        <w:t>Business—Government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Regulation" </w:t>
      </w:r>
      <w:r>
        <w:rPr>
          <w:rFonts w:ascii="Arial" w:cs="Arial" w:eastAsia="Arial" w:hAnsi="Arial"/>
          <w:sz w:val="14"/>
          <w:szCs w:val="14"/>
          <w:color w:val="auto"/>
        </w:rPr>
        <w:t>in Part I, Item 1 of this Form 10-K.</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Like all pharmaceutical manufacturers, we are subject to regulation by the FDA under the Federal Food, Drug and Cosmetic Act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Even after regulatory approval, certain developments may decrease demand for our products, including the following:</w:t>
      </w:r>
    </w:p>
    <w:p>
      <w:pPr>
        <w:spacing w:after="0" w:line="124" w:lineRule="exact"/>
        <w:rPr>
          <w:sz w:val="20"/>
          <w:szCs w:val="20"/>
          <w:color w:val="auto"/>
        </w:rPr>
      </w:pPr>
    </w:p>
    <w:p>
      <w:pPr>
        <w:ind w:left="760" w:hanging="25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4"/>
          <w:szCs w:val="14"/>
          <w:color w:val="auto"/>
        </w:rPr>
        <w:t>the re-review of products that are already marketed;</w:t>
      </w:r>
    </w:p>
    <w:p>
      <w:pPr>
        <w:spacing w:after="0" w:line="122" w:lineRule="exact"/>
        <w:rPr>
          <w:rFonts w:ascii="Arial" w:cs="Arial" w:eastAsia="Arial" w:hAnsi="Arial"/>
          <w:sz w:val="15"/>
          <w:szCs w:val="15"/>
          <w:color w:val="auto"/>
        </w:rPr>
      </w:pPr>
    </w:p>
    <w:p>
      <w:pPr>
        <w:ind w:left="760" w:hanging="25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4"/>
          <w:szCs w:val="14"/>
          <w:color w:val="auto"/>
        </w:rPr>
        <w:t>new scientific information and evolution of scientific theories;</w:t>
      </w:r>
    </w:p>
    <w:p>
      <w:pPr>
        <w:spacing w:after="0" w:line="122" w:lineRule="exact"/>
        <w:rPr>
          <w:rFonts w:ascii="Arial" w:cs="Arial" w:eastAsia="Arial" w:hAnsi="Arial"/>
          <w:sz w:val="15"/>
          <w:szCs w:val="15"/>
          <w:color w:val="auto"/>
        </w:rPr>
      </w:pPr>
    </w:p>
    <w:p>
      <w:pPr>
        <w:ind w:left="760" w:hanging="25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4"/>
          <w:szCs w:val="14"/>
          <w:color w:val="auto"/>
        </w:rPr>
        <w:t>the recall or loss of marketing approval of products that are already marketed;</w:t>
      </w:r>
    </w:p>
    <w:p>
      <w:pPr>
        <w:spacing w:after="0" w:line="112" w:lineRule="exact"/>
        <w:rPr>
          <w:rFonts w:ascii="Arial" w:cs="Arial" w:eastAsia="Arial" w:hAnsi="Arial"/>
          <w:sz w:val="15"/>
          <w:szCs w:val="15"/>
          <w:color w:val="auto"/>
        </w:rPr>
      </w:pPr>
    </w:p>
    <w:p>
      <w:pPr>
        <w:ind w:left="760" w:hanging="25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4"/>
          <w:szCs w:val="14"/>
          <w:color w:val="auto"/>
        </w:rPr>
        <w:t>changing government standards or public expectations regarding safety, efficacy or labeling changes; and</w:t>
      </w:r>
    </w:p>
    <w:p>
      <w:pPr>
        <w:spacing w:after="0" w:line="122" w:lineRule="exact"/>
        <w:rPr>
          <w:rFonts w:ascii="Arial" w:cs="Arial" w:eastAsia="Arial" w:hAnsi="Arial"/>
          <w:sz w:val="15"/>
          <w:szCs w:val="15"/>
          <w:color w:val="auto"/>
        </w:rPr>
      </w:pPr>
    </w:p>
    <w:p>
      <w:pPr>
        <w:ind w:left="760" w:hanging="250"/>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4"/>
          <w:szCs w:val="14"/>
          <w:color w:val="auto"/>
        </w:rPr>
        <w:t>greater scrutiny in advertising and promotion.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Certain regulatory changes or decisions could make it more difficult for us to sell our products and could have a material adverse effect on our business, results of operations, financial condition and cash flows. Manufacturers of 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or violate healthcare laws, a regulatory agency may take the following actions, among others:</w:t>
      </w:r>
    </w:p>
    <w:p>
      <w:pPr>
        <w:spacing w:after="0" w:line="98" w:lineRule="exact"/>
        <w:rPr>
          <w:sz w:val="20"/>
          <w:szCs w:val="20"/>
          <w:color w:val="auto"/>
        </w:rPr>
      </w:pPr>
    </w:p>
    <w:p>
      <w:pPr>
        <w:ind w:left="760" w:hanging="250"/>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4"/>
          <w:szCs w:val="14"/>
          <w:color w:val="auto"/>
        </w:rPr>
        <w:t>issue warning letters or untitled letters;</w:t>
      </w:r>
    </w:p>
    <w:p>
      <w:pPr>
        <w:spacing w:after="0" w:line="122" w:lineRule="exact"/>
        <w:rPr>
          <w:rFonts w:ascii="Arial" w:cs="Arial" w:eastAsia="Arial" w:hAnsi="Arial"/>
          <w:sz w:val="15"/>
          <w:szCs w:val="15"/>
          <w:color w:val="auto"/>
        </w:rPr>
      </w:pPr>
    </w:p>
    <w:p>
      <w:pPr>
        <w:ind w:left="760" w:hanging="250"/>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4"/>
          <w:szCs w:val="14"/>
          <w:color w:val="auto"/>
        </w:rPr>
        <w:t>impose civil or criminal penalties</w:t>
      </w:r>
    </w:p>
    <w:p>
      <w:pPr>
        <w:spacing w:after="0" w:line="122" w:lineRule="exact"/>
        <w:rPr>
          <w:rFonts w:ascii="Arial" w:cs="Arial" w:eastAsia="Arial" w:hAnsi="Arial"/>
          <w:sz w:val="15"/>
          <w:szCs w:val="15"/>
          <w:color w:val="auto"/>
        </w:rPr>
      </w:pPr>
    </w:p>
    <w:p>
      <w:pPr>
        <w:ind w:left="760" w:hanging="250"/>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4"/>
          <w:szCs w:val="14"/>
          <w:color w:val="auto"/>
        </w:rPr>
        <w:t>suspend or withdraw regulatory approval;</w:t>
      </w:r>
    </w:p>
    <w:p>
      <w:pPr>
        <w:spacing w:after="0" w:line="112" w:lineRule="exact"/>
        <w:rPr>
          <w:rFonts w:ascii="Arial" w:cs="Arial" w:eastAsia="Arial" w:hAnsi="Arial"/>
          <w:sz w:val="15"/>
          <w:szCs w:val="15"/>
          <w:color w:val="auto"/>
        </w:rPr>
      </w:pPr>
    </w:p>
    <w:p>
      <w:pPr>
        <w:ind w:left="760" w:hanging="250"/>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4"/>
          <w:szCs w:val="14"/>
          <w:color w:val="auto"/>
        </w:rPr>
        <w:t>suspend any ongoing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50" w:name="page51"/>
    <w:bookmarkEnd w:id="50"/>
    <w:p>
      <w:pPr>
        <w:ind w:left="760" w:hanging="250"/>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4"/>
          <w:szCs w:val="14"/>
          <w:color w:val="auto"/>
        </w:rPr>
        <w:t>refuse to approve pending applications or supplements to applications submitted by us;</w:t>
      </w:r>
    </w:p>
    <w:p>
      <w:pPr>
        <w:spacing w:after="0" w:line="112" w:lineRule="exact"/>
        <w:rPr>
          <w:rFonts w:ascii="Arial" w:cs="Arial" w:eastAsia="Arial" w:hAnsi="Arial"/>
          <w:sz w:val="15"/>
          <w:szCs w:val="15"/>
          <w:color w:val="auto"/>
        </w:rPr>
      </w:pPr>
    </w:p>
    <w:p>
      <w:pPr>
        <w:ind w:left="760" w:hanging="250"/>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4"/>
          <w:szCs w:val="14"/>
          <w:color w:val="auto"/>
        </w:rPr>
        <w:t>impose restrictions on operations, including costly new manufacturing requirements; or</w:t>
      </w:r>
    </w:p>
    <w:p>
      <w:pPr>
        <w:spacing w:after="0" w:line="122" w:lineRule="exact"/>
        <w:rPr>
          <w:rFonts w:ascii="Arial" w:cs="Arial" w:eastAsia="Arial" w:hAnsi="Arial"/>
          <w:sz w:val="15"/>
          <w:szCs w:val="15"/>
          <w:color w:val="auto"/>
        </w:rPr>
      </w:pPr>
    </w:p>
    <w:p>
      <w:pPr>
        <w:ind w:left="760" w:hanging="250"/>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4"/>
          <w:szCs w:val="14"/>
          <w:color w:val="auto"/>
        </w:rPr>
        <w:t>seize or detain products or require us to initiate a product recall.</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Proposed legislation may permit re-importation of drugs from other countries into the U.S., including foreign countries where the drugs are sold at lower prices than in the U.S., which could materially and adversely affect our operating results and our overall financial condition.</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previous years, legislation has been introduced in Congress that, if enacted, would permit more widespread re-importation of drugs from foreign countries into the U.S., which may include re-importation from foreign countries where the drugs are sold at lower prices than in the U.S. Such legislation, or similar regulatory changes, if enacted, could decrease the price we receive for any approved products which, in turn, could materially and adversely affect our operating results and our overall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must comply with the CREATES Act.</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There have been a number of recent regulatory and legislative initiatives designed to encourage generic competition for pharmaceutical products, including expedited review procedures for generic manufacturers and incentives designed to spur generic competition of branded drugs. In particular, FDA and FTC have been focused on brand companies’ denial of drug supply to potential generic competitors for testing. In December 2019, the Creating and Restoring Equal Access to Equivalent Samples Act, or the CREATES Act, was enacted, which provides a legislatively defined private right of action under which eligible product developers can bring suit against companies who refuse to sell sufficient quantities of their branded products on commercially reasonable, market-based terms to support such eligible product developers’ marketing applications. We cannot currently predict the specific outcome or impact on our business of such regulatory and legislative initiatives.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must comply with the Foreign Corrupt Practices Act.</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 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must comply with the Physician Payment Sunshine Act.</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required to comply with the United States Physician Payment Sunshine Act, which requires manufacturers of drugs, medical devices and biologicals that participate in U.S. federal healthcare programs to report certain payments and items of value given to physicians and teaching hospitals. Manufacturers are required to report this information annually to The Centers for Medicare &amp; Medicaid Services ("CMS"). In addition, some states require reporting information concerning payments to health care providers or other transfers of value by drug manufacturers beyond the requirements of the Federal Sunshine Act. Cumberland has implemented a series of policies and procedures for every employee involved in the data collection process, and has systems in place to capture the data, which is verified by an outside firm that specializes in reporting the payments. Cumberland has also established a system to ensure that data was reported completely, in the correct format, and on time. Despite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7"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policies, procedures and systems, we cannot assure you that we will collect and report all data accurately. If we fail to accurately report this information, we could suffer severe penalties.</w:t>
      </w:r>
    </w:p>
    <w:p>
      <w:pPr>
        <w:spacing w:after="0" w:line="125" w:lineRule="exact"/>
        <w:rPr>
          <w:sz w:val="20"/>
          <w:szCs w:val="20"/>
          <w:color w:val="auto"/>
        </w:rPr>
      </w:pPr>
    </w:p>
    <w:p>
      <w:pPr>
        <w:jc w:val="both"/>
        <w:spacing w:after="0" w:line="365" w:lineRule="auto"/>
        <w:rPr>
          <w:sz w:val="20"/>
          <w:szCs w:val="20"/>
          <w:color w:val="auto"/>
        </w:rPr>
      </w:pPr>
      <w:r>
        <w:rPr>
          <w:rFonts w:ascii="Arial" w:cs="Arial" w:eastAsia="Arial" w:hAnsi="Arial"/>
          <w:sz w:val="12"/>
          <w:szCs w:val="12"/>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participate in the Medicaid Drug Rebate program, the 340B program, and other governmental pricing programs and have obligations to report the average sales price for certain of our drugs to CMS. These programs and rebate calculations vary across products and programs, are complex, and are often subject to interpretation by us, governmental or regulatory agencies and the courts, which can change over time.</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Our failure to comply with our reporting and payment obligations under the Medicaid Drug Rebate program and other governmental programs could negatively impact our financial results.</w:t>
      </w:r>
    </w:p>
    <w:p>
      <w:pPr>
        <w:spacing w:after="0" w:line="94" w:lineRule="exact"/>
        <w:rPr>
          <w:sz w:val="20"/>
          <w:szCs w:val="20"/>
          <w:color w:val="auto"/>
        </w:rPr>
      </w:pPr>
    </w:p>
    <w:p>
      <w:pPr>
        <w:jc w:val="both"/>
        <w:spacing w:after="0" w:line="318" w:lineRule="auto"/>
        <w:rPr>
          <w:sz w:val="20"/>
          <w:szCs w:val="20"/>
          <w:color w:val="auto"/>
        </w:rPr>
      </w:pPr>
      <w:r>
        <w:rPr>
          <w:rFonts w:ascii="Arial" w:cs="Arial" w:eastAsia="Arial" w:hAnsi="Arial"/>
          <w:sz w:val="13"/>
          <w:szCs w:val="13"/>
          <w:b w:val="1"/>
          <w:bCs w:val="1"/>
          <w:i w:val="1"/>
          <w:iCs w:val="1"/>
          <w:color w:val="auto"/>
        </w:rPr>
        <w:t>We may be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United States, numerous federal and state laws and regulations govern the collection, use, disclosure and protection of health-related and other personal information and could apply to our operations or the operations of our collaborators and third-party providers. Certain of these laws grant individual rights with respect to their information, and we may be required to expend significant resources to comply with these laws. For example, the California Consumer Privacy Act, or CCPA, was enacted in 2020.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These changes may lead to additional costs and increase our overall risk exposure.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INTELLECTUAL PROPERTY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strategy to secure and extend marketing exclusivity or patent rights may provide only limited or no protection from competition.</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seek to secure and extend marketing exclusivity for our products through a variety of means, including FDA exclusivity and patent rights. Additional barriers for competitors seeking to enter the market include the time and cost associated with the development, regulatory approval and manufacturing of a similar product formulation.</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As discussed in Part I, Item 1, </w:t>
      </w:r>
      <w:r>
        <w:rPr>
          <w:rFonts w:ascii="Arial" w:cs="Arial" w:eastAsia="Arial" w:hAnsi="Arial"/>
          <w:sz w:val="14"/>
          <w:szCs w:val="14"/>
          <w:i w:val="1"/>
          <w:iCs w:val="1"/>
          <w:color w:val="auto"/>
        </w:rPr>
        <w:t>Business - Patents, Trademarks, and Other Intellectual Proprietary Rights,</w:t>
      </w:r>
      <w:r>
        <w:rPr>
          <w:rFonts w:ascii="Arial" w:cs="Arial" w:eastAsia="Arial" w:hAnsi="Arial"/>
          <w:sz w:val="14"/>
          <w:szCs w:val="14"/>
          <w:color w:val="auto"/>
        </w:rPr>
        <w:t xml:space="preserve"> of this report on Form 10-K, we have several patents for formulations of Acetadote, and have previously engaged in litigation to enforce our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2" w:name="page53"/>
    <w:bookmarkEnd w:id="52"/>
    <w:p>
      <w:pPr>
        <w:jc w:val="both"/>
        <w:spacing w:after="0" w:line="265" w:lineRule="auto"/>
        <w:rPr>
          <w:sz w:val="20"/>
          <w:szCs w:val="20"/>
          <w:color w:val="auto"/>
        </w:rPr>
      </w:pPr>
      <w:r>
        <w:rPr>
          <w:rFonts w:ascii="Arial" w:cs="Arial" w:eastAsia="Arial" w:hAnsi="Arial"/>
          <w:sz w:val="14"/>
          <w:szCs w:val="14"/>
          <w:color w:val="auto"/>
        </w:rPr>
        <w:t>We intend to continue to vigorously defend and protect our Acetadote product and related intellectual property rights. If we are unsuccessful in protecting our Acetadote intellectual property rights, our competitors may be able to introduce products into the marketplace that reduce the sales and market share of our Acetadote product which may require us to take measures such as reducing prices or increasing our marketing expense, any of which may result in a material adverse effect to our financial condition and results of operations.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While we consider patent protection when evaluating product acquisition opportunities, any products we acquire in the future may not have significant patent protection. Neither the USPTO nor the courts have a consistent policy regarding the breadth of claims allowed or the degree of protection afforded under many pharmaceutical patents. Patent applications in the U.S. and many foreign jurisdictions are typically not published until 18 months following the filing date of the first related application, and in some cases not at all. In addition, publication of discoveries in scientific literature often lags significantly behind actual discoveries. Therefore, neither we nor our licensors can be certain that we or they were the first to make the inventions claimed in our issued patents or pending patent applications, or that we or they were the first to file for protection of the inventions set forth in these patent applications. In addition, changes in either patent laws or in interpretations of patent laws in the U.S. and other countries may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of these factors, our patent rights may not provide any commercially valuable protection from competing products.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to patents, we rely upon trade secrets, unpatented proprietary know-how and continuing technological innovation where we do not believe patent protection is appropriate or attainable. For example, the manufacturing process for Kristalose involves substantial trade secrets and proprietary know-how. We have entered into confidentiality agreements with certain key employees and consultants pursuant to which such employees and consultants must assign to us any inventions relating to our business if made by them while they are our employees, as well as certain confidentiality agreements relating to the acquisition of rights to products. Confidentiality agreements can be breached, though, and we might not have adequate remedies for any breach. Also, others could acquire or independently develop similar technology.</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We may depend on certain licensors for the maintenance and enforcement of intellectual property rights and have limited, if any, control over the amount or timing of resources that our licensors devote on our behalf.</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When we license products, we often depend on our licensors to protect the proprietary rights covering those products. We have limited, if any, control over the amount or timing of resources that our licensors devote on our behalf or the priority they place on maintaining patent or other rights and prosecuting patent applications to our advantage. While any such licensor is expected to be contractually obligated to diligently pursue its patent applications and allow us the opportunity to consult, review and comment on patent office communications, we cannot be sure that it will perform as required. If a licensor does not perform and if we do not assume the maintenance of the licensed patents in sufficient time to make required payments or filings with the appropriate governmental agencies, we risk losing the benefit of all or some of those patent rights.</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If the use of our technology conflicts with the intellectual property rights of third parties, we may incur substantial liabilities, and we may be unable to commercialize products based on this technology in a profitable manner or at all.</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our products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3" w:name="page54"/>
    <w:bookmarkEnd w:id="53"/>
    <w:p>
      <w:pPr>
        <w:ind w:left="60"/>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collaborators or licensors, which could be costly and time consuming.</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been involved in lawsuits for infringement of the Acetadote Patents as previously described. Because of their nature, these lawsuits can be costly and time-consuming, and we only experience limited benefits and patent protection. A significant adverse ruling in any such lawsuit could put our patents at risk of being invalidated or interpreted narrowly and could compromise the issuance of our existing patent applications.</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Competitors may infringe on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w:t>
      </w:r>
    </w:p>
    <w:p>
      <w:pPr>
        <w:spacing w:after="0" w:line="93"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distraction of our management. We may not be able, alone or with our collaborators and licensors, to prevent misappropriation of our proprietary rights, particularly in countries where the laws may not protect such rights as fully as in the United States.</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involved in lawsuits to protect or enforce our trademarks or for allegedly infringing the trademark rights of others, which could be costly and time consuming.</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own certain trademark registrations for each of our branded pharmaceutical products as well as for our corporate name and logo. We have applied for trademark registration for other various names and logos. We also may have common law trademark rights in unregistered names, phrases, and logos under which we market or offer certain products and services. Over time, we intend to obtain and maintain registrations on trademarks that remain valuable to our business.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Third parties may oppose registration of our federal trademark applications. Further, we could be involved in lawsuits for allegedly infringing the rights of others with respect to their prior-existing trademarks. These lawsuits or opposition proceedings can be costly and time-consuming. A significant adverse ruling in any such lawsuit could put our trademarks at risk of being invalidated and could compromise the issuance of our existing trademark applications.</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Competitors may infringe on our trademarks or the trademarks of our collaborators or licensors. To counter infringement or unauthorized use, we may be required to file trademark infringement claims, which can be expensive and time-consuming. In addition, in a trademark infringement proceeding, a court may decide that a trademark registration of ours is not valid or is unenforceable, or may refuse to stop the other party from using the mark or a mark that is similar to our registered mark at issue on the grounds that the competitor’s use of the mark is not confusingly similar to our registered trademark. An adverse result in any litigation or defense proceeding could put one or more of our trademark registrations at risk of being invalidated or interpreted narrowly and could put our trademark applications at risk of not registering.</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4" w:name="page55"/>
    <w:bookmarkEnd w:id="54"/>
    <w:p>
      <w:pPr>
        <w:jc w:val="both"/>
        <w:spacing w:after="0" w:line="278" w:lineRule="auto"/>
        <w:rPr>
          <w:sz w:val="20"/>
          <w:szCs w:val="20"/>
          <w:color w:val="auto"/>
        </w:rPr>
      </w:pPr>
      <w:r>
        <w:rPr>
          <w:rFonts w:ascii="Arial" w:cs="Arial" w:eastAsia="Arial" w:hAnsi="Arial"/>
          <w:sz w:val="14"/>
          <w:szCs w:val="14"/>
          <w:b w:val="1"/>
          <w:bCs w:val="1"/>
          <w:i w:val="1"/>
          <w:iCs w:val="1"/>
          <w:color w:val="auto"/>
        </w:rPr>
        <w:t>If we breach any of the agreements under which we license rights to our products and product candidates from others, we could lose the ability to continue commercialization of our products and development and commercialization of our product candidates.</w:t>
      </w:r>
    </w:p>
    <w:p>
      <w:pPr>
        <w:spacing w:after="0" w:line="70"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We have exclusive licenses for the marketing and sale of certain products and may acquire additional licenses. Such licenses may terminate prior to expiration if we breach our obligations under the license agreement related to these pharmaceutical products. For example, the licenses may terminate if we fail to meet specified quality control standards, including GMP with respect to the products, or commit a material breach of other terms and conditions of the licenses. Such early termination could have a material adverse effect on our business,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that our employees have wrongfully used or disclosed alleged trade secrets of their former employers.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We are subject to stringent government regulation. All of our products face regulatory challenges.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operating results are likely to fluctuate from period to period.</w:t>
      </w:r>
    </w:p>
    <w:p>
      <w:pPr>
        <w:spacing w:after="0" w:line="124"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4"/>
          <w:szCs w:val="14"/>
          <w:color w:val="auto"/>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spacing w:after="0" w:line="78" w:lineRule="exact"/>
        <w:rPr>
          <w:sz w:val="20"/>
          <w:szCs w:val="20"/>
          <w:color w:val="auto"/>
        </w:rPr>
      </w:pPr>
    </w:p>
    <w:p>
      <w:pPr>
        <w:ind w:left="760" w:hanging="250"/>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New product launches, which could increase revenues but also increase sales and marketing expenses;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Acquisition activity and other charges;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Increases in research and development expenses resulting from the acquisition of a product candidate that requires significant additional studies and development;</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Ability to utilize unrecognized federal and state net operating loss carryforwards as a result of the exercise of nonqualified options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the competitive, regulatory or reimbursement environment, which could drive down revenues or drive up sales and marketing or compliance costs; and</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Unexpected product liability or intellectual property claims and lawsuits.</w:t>
      </w:r>
    </w:p>
    <w:p>
      <w:pPr>
        <w:spacing w:after="0" w:line="113"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4"/>
          <w:szCs w:val="14"/>
          <w:color w:val="auto"/>
        </w:rPr>
        <w:t>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 The COVID-19 coronavirus has negatively impacted the financial markets and may create additional risk for our customers and their ability to pay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i w:val="1"/>
          <w:iCs w:val="1"/>
          <w:color w:val="auto"/>
        </w:rPr>
        <w:t>Our focus on acquisitions as a growth strategy has created intangible assets whose amortization could negatively affect our results of operations.</w:t>
      </w:r>
    </w:p>
    <w:p>
      <w:pPr>
        <w:spacing w:after="0" w:line="113" w:lineRule="exact"/>
        <w:rPr>
          <w:sz w:val="20"/>
          <w:szCs w:val="20"/>
          <w:color w:val="auto"/>
        </w:rPr>
      </w:pPr>
    </w:p>
    <w:p>
      <w:pPr>
        <w:jc w:val="both"/>
        <w:ind w:firstLine="379"/>
        <w:spacing w:after="0" w:line="286" w:lineRule="auto"/>
        <w:rPr>
          <w:sz w:val="20"/>
          <w:szCs w:val="20"/>
          <w:color w:val="auto"/>
        </w:rPr>
      </w:pPr>
      <w:r>
        <w:rPr>
          <w:rFonts w:ascii="Arial" w:cs="Arial" w:eastAsia="Arial" w:hAnsi="Arial"/>
          <w:sz w:val="13"/>
          <w:szCs w:val="13"/>
          <w:color w:val="auto"/>
        </w:rPr>
        <w:t>Our total assets include intangible assets related to our acquisitions. As of December 31, 2021, intangible assets relating to products, which are being amortized, represented approximately 28% of our total assets. We may never realize the value of these assets. U.S. Generally Accepted Accounting Principles ("GAAP") require that we evaluate on a regular basis whether events and circumstances have occurred that indicate that all or a portion of the carrying amount of the asset may no longer be recoverable, in which case we would write down the value of the asset and take a corresponding charge to earnings. Any determination requiring the write-off of a significant portion of unamortized intangible assets would adversely affect our results of operations.</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We may need additional funding and may be unable to raise capital when needed, which could force us to delay, reduce or eliminate our product development or commercialization and marketing efforts.</w:t>
      </w:r>
    </w:p>
    <w:p>
      <w:pPr>
        <w:spacing w:after="0" w:line="80"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4"/>
          <w:szCs w:val="14"/>
          <w:color w:val="auto"/>
        </w:rPr>
        <w:t>We may need to raise additional funds in order to meet the capital requirements of running our business and acquiring and developing new pharmaceutical products. If we require additional funding, we may seek to sell common stock or other equity or equity-linked securities, which could result in dilution to our shareholders. We may also seek to raise capital through a debt financing, which would result in ongoing debt-service payments and increased interest expense. Any financings would also likely involve operational and financial restrictions being imposed on us. We might also seek to sell assets or rights in one or more commercial products or product development programs. Additional capital might not be available to us when we need it. We are unable to predict the impact of global credit market trends, and if economic conditions deteriorate, our business, results of operations and ability to raise needed capital could be materially and adversely affected. If we are unable to raise additional capital when needed due to the reasons listed above and lack of creditworthiness, bank failures, or price decline in market investments, we could be forced to scale back our operations to conserve cash.</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If we are unable to maintain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89"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3"/>
          <w:szCs w:val="13"/>
          <w:color w:val="auto"/>
        </w:rPr>
        <w:t>Effective internal controls are necessary for us to provide reliable financial reports and mitigate the risk of fraud. We maintain a system of internal control over financial reporting, which is defined as a process designed by, or under the supervision of, our principal executive officer and principal financial officer, and affected by our board of directors, management and other personnel, to provide reasonable assurance regarding the reliability of financial reporting and the preparation of financial statements for external purposes in accordance with GAAP.</w:t>
      </w:r>
    </w:p>
    <w:p>
      <w:pPr>
        <w:spacing w:after="0" w:line="73" w:lineRule="exact"/>
        <w:rPr>
          <w:sz w:val="20"/>
          <w:szCs w:val="20"/>
          <w:color w:val="auto"/>
        </w:rPr>
      </w:pPr>
    </w:p>
    <w:p>
      <w:pPr>
        <w:jc w:val="both"/>
        <w:ind w:firstLine="379"/>
        <w:spacing w:after="0" w:line="258" w:lineRule="auto"/>
        <w:rPr>
          <w:sz w:val="20"/>
          <w:szCs w:val="20"/>
          <w:color w:val="auto"/>
        </w:rPr>
      </w:pPr>
      <w:r>
        <w:rPr>
          <w:rFonts w:ascii="Arial" w:cs="Arial" w:eastAsia="Arial" w:hAnsi="Arial"/>
          <w:sz w:val="14"/>
          <w:szCs w:val="14"/>
          <w:color w:val="auto"/>
        </w:rPr>
        <w:t>We cannot assure you that we will not, in the future, identify areas requiring improvement in our internal control over financial reporting. We cannot assure you that the measures we will take to improve these controls will be successful or that we will implement and maintain adequate controls over our financial processes and reporting in the future as we continue to expand. If we are unable to establish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83"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4"/>
          <w:szCs w:val="14"/>
          <w:color w:val="auto"/>
        </w:rPr>
        <w:t>In addition, we maintain a system of internal controls and provide training to employees designed to provide reasonable assurance that unlawful and fraudulent activity, including misappropriation of assets, fraudulent financial reporting, and unauthorized access to sensitive or confidential data is either prevented or timely detected. However, in the event that our employees engage in such fraudulent behavior, we could suffer material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i w:val="1"/>
          <w:iCs w:val="1"/>
          <w:color w:val="auto"/>
        </w:rPr>
        <w:t>Changes in, or interpretations of, accounting principles could have a significant impact on our financial position and results of operations.</w:t>
      </w:r>
    </w:p>
    <w:p>
      <w:pPr>
        <w:spacing w:after="0" w:line="113" w:lineRule="exact"/>
        <w:rPr>
          <w:sz w:val="20"/>
          <w:szCs w:val="20"/>
          <w:color w:val="auto"/>
        </w:rPr>
      </w:pPr>
    </w:p>
    <w:p>
      <w:pPr>
        <w:jc w:val="both"/>
        <w:ind w:firstLine="379"/>
        <w:spacing w:after="0" w:line="318" w:lineRule="auto"/>
        <w:rPr>
          <w:sz w:val="20"/>
          <w:szCs w:val="20"/>
          <w:color w:val="auto"/>
        </w:rPr>
      </w:pPr>
      <w:r>
        <w:rPr>
          <w:rFonts w:ascii="Arial" w:cs="Arial" w:eastAsia="Arial" w:hAnsi="Arial"/>
          <w:sz w:val="13"/>
          <w:szCs w:val="13"/>
          <w:color w:val="auto"/>
        </w:rPr>
        <w:t>We prepare our consolidated financial statements in accordance with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w:t>
      </w:r>
    </w:p>
    <w:p>
      <w:pPr>
        <w:spacing w:after="0" w:line="57" w:lineRule="exact"/>
        <w:rPr>
          <w:sz w:val="20"/>
          <w:szCs w:val="20"/>
          <w:color w:val="auto"/>
        </w:rPr>
      </w:pPr>
    </w:p>
    <w:p>
      <w:pPr>
        <w:jc w:val="both"/>
        <w:ind w:firstLine="379"/>
        <w:spacing w:after="0" w:line="260" w:lineRule="auto"/>
        <w:rPr>
          <w:sz w:val="20"/>
          <w:szCs w:val="20"/>
          <w:color w:val="auto"/>
        </w:rPr>
      </w:pPr>
      <w:r>
        <w:rPr>
          <w:rFonts w:ascii="Arial" w:cs="Arial" w:eastAsia="Arial" w:hAnsi="Arial"/>
          <w:sz w:val="14"/>
          <w:szCs w:val="14"/>
          <w:color w:val="auto"/>
        </w:rPr>
        <w:t>For example, in recent years, the U.S.-based Financial Accounting Standards Board, ("FASB"), has worked together with the International Accounting Standards Board, ("IASB"), on several projects to further align accounting principles and facilitate more comparable financial reporting between companies who are required to follow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certain areas.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losses in the future and we may not achieve or maintain profitability.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intend to continue to spend significant amounts on our efforts to discover and develop drugs. As a result, we may incur losses in future periods.</w:t>
      </w:r>
    </w:p>
    <w:p>
      <w:pPr>
        <w:spacing w:after="0" w:line="124" w:lineRule="exact"/>
        <w:rPr>
          <w:sz w:val="20"/>
          <w:szCs w:val="20"/>
          <w:color w:val="auto"/>
        </w:rPr>
      </w:pPr>
    </w:p>
    <w:p>
      <w:pPr>
        <w:jc w:val="both"/>
        <w:ind w:firstLine="379"/>
        <w:spacing w:after="0" w:line="278" w:lineRule="auto"/>
        <w:rPr>
          <w:sz w:val="20"/>
          <w:szCs w:val="20"/>
          <w:color w:val="auto"/>
        </w:rPr>
      </w:pPr>
      <w:r>
        <w:rPr>
          <w:rFonts w:ascii="Arial" w:cs="Arial" w:eastAsia="Arial" w:hAnsi="Arial"/>
          <w:sz w:val="14"/>
          <w:szCs w:val="14"/>
          <w:color w:val="auto"/>
        </w:rPr>
        <w:t>We anticipate that our drug discovery and development efforts and related expenditures will increase as we focus on the studies, including clinical trials prior to seeking regulatory approval, that are required before we can sell a drug product.</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development of drug products will require us to spend significant funds on research, development, testing, obtaining regulatory approvals, manufacturing and marketing.</w:t>
      </w:r>
    </w:p>
    <w:p>
      <w:pPr>
        <w:spacing w:after="0" w:line="113"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4"/>
          <w:szCs w:val="14"/>
          <w:color w:val="auto"/>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additional drug products, we may incur losses if our drug products do not generate significant revenues. If we achieve profitability, we may not be able to sustain or increase profitability.</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obtain future financing through the issuance of debt or equity, which may have an adverse effect on our shareholders or may otherwise adversely affect our business.</w:t>
      </w:r>
    </w:p>
    <w:p>
      <w:pPr>
        <w:spacing w:after="0" w:line="147" w:lineRule="exact"/>
        <w:rPr>
          <w:sz w:val="20"/>
          <w:szCs w:val="20"/>
          <w:color w:val="auto"/>
        </w:rPr>
      </w:pPr>
    </w:p>
    <w:p>
      <w:pPr>
        <w:jc w:val="both"/>
        <w:ind w:firstLine="379"/>
        <w:spacing w:after="0" w:line="260" w:lineRule="auto"/>
        <w:rPr>
          <w:sz w:val="20"/>
          <w:szCs w:val="20"/>
          <w:color w:val="auto"/>
        </w:rPr>
      </w:pPr>
      <w:r>
        <w:rPr>
          <w:rFonts w:ascii="Arial" w:cs="Arial" w:eastAsia="Arial" w:hAnsi="Arial"/>
          <w:sz w:val="14"/>
          <w:szCs w:val="14"/>
          <w:color w:val="auto"/>
        </w:rPr>
        <w:t>If we raise funds through the issuance of additional equity, whether through private placements or public offerings, such an issuance would dilute ownership of our current shareholders that do not participate in the issuance. If we are unable to obtain any needed additional funding, we may be required to reduce the scope of, delay, or eliminate some or all of, our planned research, development and commercialization activities or to license to third parties the rights to develop and/or commercialize products or technologies that we would otherwise seek to develop and/or commercialize ourselves or on terms that are less attractive than they might otherwise be, any of which could materially harm our business.</w:t>
      </w:r>
    </w:p>
    <w:p>
      <w:pPr>
        <w:spacing w:after="0" w:line="82"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4"/>
          <w:szCs w:val="14"/>
          <w:color w:val="auto"/>
        </w:rPr>
        <w:t>Furthermore, the terms of any additional debt securities we may issue in the future may impose restrictions on our operations, which may include limiting our ability to incur additional indebtedness, pay dividends on or repurchase our common shares, or make certain acquisitions or investments. In addition, we may be subject to covenants requiring us to satisfy certain financial tests and ratios, and our ability to satisfy such covenants may be affected by events outside of our control.</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officers, directors, and principal shareholders, acting as a group, could significantly influence corporate actions.</w:t>
      </w:r>
    </w:p>
    <w:p>
      <w:pPr>
        <w:spacing w:after="0" w:line="1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3"/>
          <w:szCs w:val="13"/>
          <w:color w:val="auto"/>
        </w:rPr>
        <w:t>As of December 31, 2021, our officers and directors control approximately 41.6 percent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trading price of our common stock because many investors perceive disadvantages to owning stock in companies with controlling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analysts may not continue to provide or initiate coverage of our common stock or may issue negative reports.</w:t>
      </w:r>
    </w:p>
    <w:p>
      <w:pPr>
        <w:spacing w:after="0" w:line="124" w:lineRule="exact"/>
        <w:rPr>
          <w:sz w:val="20"/>
          <w:szCs w:val="20"/>
          <w:color w:val="auto"/>
        </w:rPr>
      </w:pPr>
    </w:p>
    <w:p>
      <w:pPr>
        <w:jc w:val="both"/>
        <w:ind w:firstLine="379"/>
        <w:spacing w:after="0" w:line="318" w:lineRule="auto"/>
        <w:rPr>
          <w:sz w:val="20"/>
          <w:szCs w:val="20"/>
          <w:color w:val="auto"/>
        </w:rPr>
      </w:pPr>
      <w:r>
        <w:rPr>
          <w:rFonts w:ascii="Arial" w:cs="Arial" w:eastAsia="Arial" w:hAnsi="Arial"/>
          <w:sz w:val="13"/>
          <w:szCs w:val="13"/>
          <w:color w:val="auto"/>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OWNING OUR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substantially.</w:t>
      </w:r>
    </w:p>
    <w:p>
      <w:pPr>
        <w:spacing w:after="0" w:line="124"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4"/>
          <w:szCs w:val="14"/>
          <w:color w:val="auto"/>
        </w:rPr>
        <w:t>The price for the shares of our common stock sold in our initial public offering was determined by negotiation between the representatives of the underwriters and us. This price may not have reflected the market price of our common stock following our initial public offering. Moreover, the market price of our common stock might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spacing w:after="0" w:line="93"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4"/>
          <w:szCs w:val="14"/>
          <w:color w:val="auto"/>
        </w:rPr>
        <w:t>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The recent COVID-19 pandemic may cause increased risk to our common stock’s liquidity and trading price.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Unstable market conditions may have serious adverse consequences on our business.</w:t>
      </w:r>
    </w:p>
    <w:p>
      <w:pPr>
        <w:spacing w:after="0" w:line="124" w:lineRule="exact"/>
        <w:rPr>
          <w:sz w:val="20"/>
          <w:szCs w:val="20"/>
          <w:color w:val="auto"/>
        </w:rPr>
      </w:pPr>
    </w:p>
    <w:p>
      <w:pPr>
        <w:jc w:val="both"/>
        <w:ind w:firstLine="316"/>
        <w:spacing w:after="0" w:line="256" w:lineRule="auto"/>
        <w:rPr>
          <w:sz w:val="20"/>
          <w:szCs w:val="20"/>
          <w:color w:val="auto"/>
        </w:rPr>
      </w:pPr>
      <w:r>
        <w:rPr>
          <w:rFonts w:ascii="Arial" w:cs="Arial" w:eastAsia="Arial" w:hAnsi="Arial"/>
          <w:sz w:val="14"/>
          <w:szCs w:val="14"/>
          <w:color w:val="auto"/>
        </w:rPr>
        <w:t>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The equity and lending markets have been and will most likely continue to be negatively impacted for an unknown period of time due to the COVID-19 pandemic.</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experience costs and regulatory risk as a result of operating as a public company, and our management is required to devote time to compliance initiatives.</w:t>
      </w:r>
    </w:p>
    <w:p>
      <w:pPr>
        <w:spacing w:after="0" w:line="113"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3"/>
          <w:szCs w:val="13"/>
          <w:color w:val="auto"/>
        </w:rPr>
        <w:t>We have and will continue to incur costs as a result of operating as a public company, and our management is required to devote time to compliance initiatives. As a public company, we have and will continue to incur legal, accounting and other expenses that we did not incur as a private company. In addition, the Sarbanes-Oxley Act of 2002, or Sarbanes-Oxley Act, Dodd-Frank Wall Street Reform and Consumer Protection Act of 2010, and other rules and regulations subsequently implemented by the SEC and Nasdaq, have imposed various requirements on public companies, including the establishment and maintenance of effective disclosure and financial controls and changes in corporate governance practices. These rules and regulations have and will continue to result in legal and financial compliance costs and render some activities more time-consuming and costly. Despite the internal controls and procedures put in place to maintain compliance with securities laws and regulations, our employees may still fail to comply with all SEC disclosure and reporting requirements. Such failure could lead to administrative and civil penalties, criminal penalties, and private litigation with shareholders. The consequences could have a material effect on our ability to effectively market our products and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8" w:name="page59"/>
    <w:bookmarkEnd w:id="58"/>
    <w:p>
      <w:pPr>
        <w:jc w:val="both"/>
        <w:ind w:firstLine="316"/>
        <w:spacing w:after="0" w:line="265" w:lineRule="auto"/>
        <w:rPr>
          <w:sz w:val="20"/>
          <w:szCs w:val="20"/>
          <w:color w:val="auto"/>
        </w:rPr>
      </w:pPr>
      <w:r>
        <w:rPr>
          <w:rFonts w:ascii="Arial" w:cs="Arial" w:eastAsia="Arial" w:hAnsi="Arial"/>
          <w:sz w:val="14"/>
          <w:szCs w:val="14"/>
          <w:color w:val="auto"/>
        </w:rPr>
        <w:t>The Sarbanes-Oxley Act requires, among other things, that we maintain effective internal controls for financial reporting and disclosure controls and procedures. In particular, we must perform system and process evaluation and testing of our internal controls over financial reporting to allow management to report on the effectiveness of our internal controls over financial reporting. Our testing may reveal deficiencies in our internal controls over financial reporting that are deemed to be material weaknesses.</w:t>
      </w:r>
    </w:p>
    <w:p>
      <w:pPr>
        <w:spacing w:after="0" w:line="78"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4"/>
          <w:szCs w:val="14"/>
          <w:color w:val="auto"/>
        </w:rPr>
        <w:t>Our compliance with Section 404 of the Sarbanes-Oxley Act requires that we incur substantial accounting expense and expend significant management efforts. Moreover, if we are not able to comply with the requirements of Section 404 of the Sarbanes-Oxley Act in a timely manner, or if we identify deficiencies in our internal controls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maintain our listing on the NASDAQ Global Select Market (“NASDAQ”), which could have a material adverse effect on us and our stockholders.</w:t>
      </w:r>
    </w:p>
    <w:p>
      <w:pPr>
        <w:spacing w:after="0" w:line="124" w:lineRule="exact"/>
        <w:rPr>
          <w:sz w:val="20"/>
          <w:szCs w:val="20"/>
          <w:color w:val="auto"/>
        </w:rPr>
      </w:pPr>
    </w:p>
    <w:p>
      <w:pPr>
        <w:jc w:val="both"/>
        <w:ind w:firstLine="316"/>
        <w:spacing w:after="0" w:line="256" w:lineRule="auto"/>
        <w:rPr>
          <w:sz w:val="20"/>
          <w:szCs w:val="20"/>
          <w:color w:val="auto"/>
        </w:rPr>
      </w:pPr>
      <w:r>
        <w:rPr>
          <w:rFonts w:ascii="Arial" w:cs="Arial" w:eastAsia="Arial" w:hAnsi="Arial"/>
          <w:sz w:val="14"/>
          <w:szCs w:val="14"/>
          <w:color w:val="auto"/>
        </w:rPr>
        <w:t>The standards for continued listing on NASDAQ include, among other things, that the minimum bid price for the listed securities not fall below $1.00 for a period in excess of thirty consecutive business days. If the closing bid price of our common stock were to fail to meet NASDAQ’s minimum closing bid price requirement, or if we otherwise fail to meet any other applicable requirements of NASDAQ and we are unable to regain compliance, NASDAQ may make a determination to delist our common stock. The delisting of our common stock from NASDAQ could negatively impact us by (i) reducing the liquidity and market price of our common stock; (ii) reducing the number of investors willing to hold or acquire our common stock, which could negatively impact our ability to raise equity financing; (iii) impacting our ability to use a registration statement to offer and sell freely tradable securities, thereby preventing or limiting us from accessing the public capital markets; and (iv) impairing our ability to provide equity incentives to our employees.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provisions of our third amended and restated charter, bylaws and Tennessee law may inhibit potential acquisition bids that you may consider favorable.</w:t>
      </w:r>
    </w:p>
    <w:p>
      <w:pPr>
        <w:spacing w:after="0" w:line="124"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4"/>
          <w:szCs w:val="14"/>
          <w:color w:val="auto"/>
        </w:rPr>
        <w:t>Our corporate documents contain provisions that may enable our board of directors to resist a change in control of our company even if a change in control were to be considered favorable by you and other shareholders. These provisions include:</w:t>
      </w:r>
    </w:p>
    <w:p>
      <w:pPr>
        <w:spacing w:after="0" w:line="80" w:lineRule="exact"/>
        <w:rPr>
          <w:sz w:val="20"/>
          <w:szCs w:val="20"/>
          <w:color w:val="auto"/>
        </w:rPr>
      </w:pPr>
    </w:p>
    <w:p>
      <w:pPr>
        <w:ind w:left="760" w:hanging="25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authorization of undesignated preferred stock, the terms of which may be established and shares of which may be issued without shareholder approval;</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Advance notice procedures required for shareholders to nominate candidates for election as directors or to bring matters before an annual meeting of shareholders;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Limitations on persons authorized to call a special meeting of shareholders;</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staggered board of directors;</w:t>
      </w:r>
    </w:p>
    <w:p>
      <w:pPr>
        <w:spacing w:after="0" w:line="113" w:lineRule="exact"/>
        <w:rPr>
          <w:rFonts w:ascii="Arial" w:cs="Arial" w:eastAsia="Arial" w:hAnsi="Arial"/>
          <w:sz w:val="14"/>
          <w:szCs w:val="14"/>
          <w:color w:val="auto"/>
        </w:rPr>
      </w:pPr>
    </w:p>
    <w:p>
      <w:pPr>
        <w:ind w:left="760" w:hanging="25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restriction prohibiting shareholders from removing directors without cause;</w:t>
      </w:r>
    </w:p>
    <w:p>
      <w:pPr>
        <w:spacing w:after="0" w:line="123" w:lineRule="exact"/>
        <w:rPr>
          <w:rFonts w:ascii="Arial" w:cs="Arial" w:eastAsia="Arial" w:hAnsi="Arial"/>
          <w:sz w:val="14"/>
          <w:szCs w:val="14"/>
          <w:color w:val="auto"/>
        </w:rPr>
      </w:pPr>
    </w:p>
    <w:p>
      <w:pPr>
        <w:ind w:left="760" w:hanging="250"/>
        <w:spacing w:after="0"/>
        <w:tabs>
          <w:tab w:leader="none" w:pos="7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requirement that vacancies in directorships are to be filled by a majority of the directors then in office and the number of directors is to be fixed by the board of directors; and</w:t>
      </w:r>
    </w:p>
    <w:p>
      <w:pPr>
        <w:spacing w:after="0" w:line="135" w:lineRule="exact"/>
        <w:rPr>
          <w:rFonts w:ascii="Arial" w:cs="Arial" w:eastAsia="Arial" w:hAnsi="Arial"/>
          <w:sz w:val="13"/>
          <w:szCs w:val="13"/>
          <w:color w:val="auto"/>
        </w:rPr>
      </w:pPr>
    </w:p>
    <w:p>
      <w:pPr>
        <w:ind w:left="760" w:hanging="25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 cumulative voting.</w:t>
      </w:r>
    </w:p>
    <w:p>
      <w:pPr>
        <w:spacing w:after="0" w:line="113" w:lineRule="exact"/>
        <w:rPr>
          <w:sz w:val="20"/>
          <w:szCs w:val="20"/>
          <w:color w:val="auto"/>
        </w:rPr>
      </w:pPr>
    </w:p>
    <w:p>
      <w:pPr>
        <w:jc w:val="both"/>
        <w:ind w:firstLine="316"/>
        <w:spacing w:after="0" w:line="294" w:lineRule="auto"/>
        <w:rPr>
          <w:sz w:val="20"/>
          <w:szCs w:val="20"/>
          <w:color w:val="auto"/>
        </w:rPr>
      </w:pPr>
      <w:r>
        <w:rPr>
          <w:rFonts w:ascii="Arial" w:cs="Arial" w:eastAsia="Arial" w:hAnsi="Arial"/>
          <w:sz w:val="13"/>
          <w:szCs w:val="13"/>
          <w:color w:val="auto"/>
        </w:rPr>
        <w:t>These and other provisions contained in our third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59" w:name="page60"/>
    <w:bookmarkEnd w:id="59"/>
    <w:p>
      <w:pPr>
        <w:jc w:val="both"/>
        <w:ind w:firstLine="316"/>
        <w:spacing w:after="0" w:line="278" w:lineRule="auto"/>
        <w:rPr>
          <w:sz w:val="20"/>
          <w:szCs w:val="20"/>
          <w:color w:val="auto"/>
        </w:rPr>
      </w:pPr>
      <w:r>
        <w:rPr>
          <w:rFonts w:ascii="Arial" w:cs="Arial" w:eastAsia="Arial" w:hAnsi="Arial"/>
          <w:sz w:val="14"/>
          <w:szCs w:val="14"/>
          <w:color w:val="auto"/>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never paid cash dividends on our capital stock.</w:t>
      </w:r>
    </w:p>
    <w:p>
      <w:pPr>
        <w:spacing w:after="0" w:line="124" w:lineRule="exact"/>
        <w:rPr>
          <w:sz w:val="20"/>
          <w:szCs w:val="20"/>
          <w:color w:val="auto"/>
        </w:rPr>
      </w:pPr>
    </w:p>
    <w:p>
      <w:pPr>
        <w:jc w:val="both"/>
        <w:ind w:firstLine="316"/>
        <w:spacing w:after="0" w:line="278" w:lineRule="auto"/>
        <w:rPr>
          <w:sz w:val="20"/>
          <w:szCs w:val="20"/>
          <w:color w:val="auto"/>
        </w:rPr>
      </w:pPr>
      <w:r>
        <w:rPr>
          <w:rFonts w:ascii="Arial" w:cs="Arial" w:eastAsia="Arial" w:hAnsi="Arial"/>
          <w:sz w:val="14"/>
          <w:szCs w:val="14"/>
          <w:color w:val="auto"/>
        </w:rPr>
        <w:t>We have never paid cash dividends on our capital stock. The availability of funds for distributions to shareholders will depend on our financial performance and assets. Any future decision to declare or pay dividends will be at the sole discretion of our Board of Directors.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DEBT-RELATED RISKS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Our Revolving Credit Agreement impose restrictive and financial covenants on us. Our failure to comply with these covenants could trigger events that would have a material adverse effect on our business.</w:t>
      </w:r>
    </w:p>
    <w:p>
      <w:pPr>
        <w:spacing w:after="0" w:line="70"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Our Revolving Credit Agreement contains covenants that restrict the way we conduct business and require us to satisfy certain financial tests in order to incur debt or take other actions. Additionally, our Revolving Credit Agreement contains financial covenants that, for example, require us to maintain certain financial ratios which are measured at the end of each fiscal quarter.</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Revolving Credit Agreement contains specified quarterly financial maintenance covenants. As of December 31, 2021, we were in compliance with the Tangible Capital Ratio financial covenant of the Revolving Credit Agreement. However, we can make no assurance that we will be able to comply with the restrictive and financial covenants contained in the Revolving Credit Agreement in the future.</w:t>
      </w:r>
    </w:p>
    <w:p>
      <w:pPr>
        <w:spacing w:after="0" w:line="8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inability to comply with the covenants in our debt instruments could lead to a default or an event of default under the terms thereof, for which we may need to seek relief from our lender in order to waive the associated default or event of default and avoid a potential acceleration of the related indebtedness or cross-default or cross-acceleration to other debt. There can be no assurance that we would be able to obtain such relief on commercially reasonable terms or otherwise and we may be required to incur significant additional costs. In addition, the lender under our Revolving Credit Agreement may impose additional operating and financial restrictions on us as a condition to granting any such waiver. If an event of default is not cured or is not otherwise waived, the lender under our Revolving Credit Agreement may accelerate the maturity of the related debt, foreclose upon any collateral securing the debt and terminate any commitments to lend, any of which would have a material adverse effect on our business, financial condition, cash flows and results of operations and would cause the market value of our securities to decline.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risks related to interest rates.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revolving credit facility bears interest based on variable interest. Thus, a change in the short-term interest rate environment (especially a material change) could have a material adverse effect on our business, financial condition, cash flows and results of operations. As of December 31, 2021, we did not have any outstanding interest rate swap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auto"/>
        </w:rPr>
        <w:t>Item 1B. 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2. Properties.</w:t>
      </w:r>
    </w:p>
    <w:p>
      <w:pPr>
        <w:spacing w:after="0" w:line="128"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As of December 31, 2021, we leased approximately 25,500 square feet of office space in Nashville, Tennessee for our corporate headquarters. The lease expires in October 2022. On November 15, 2021, we entered into a lease for 16,631 rentable square feet of space at the new Broadwest development in Nashville, Tennessee for our corporate headquarters. The lease commences on the earlier of November 1, 2022, the date on which we take occupancy of the leased premise, or the date on which we receive a temporary or permanent certificate of occupancy for the leased premise. We believe these facilities are adequate to meet our current needs for office space. Manufacturing, packaging or warehousing services are provided to us through contracts with third-party organizations.</w:t>
      </w:r>
    </w:p>
    <w:p>
      <w:pPr>
        <w:spacing w:after="0" w:line="51"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The laboratory space at CET, under an agreement amended in July 2012, is leased through April 2023, with an option to extend the lease through April 2028. CET leases approximately 14,200 square feet of office and wet laboratory space in Nashville, Tennessee to operate the CET Life Sciences Center. Cumberland's product formulation and testing laboratories are located at this facility, along with CET's offices. The CET Life Sciences Center also provides laboratory and office space, equipment and infrastructure to early-stage life sciences companies and university spin-outs.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3. Legal Proceedings.</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Please see the discussion of our Acetadote patent defense legal proceedings contained in Part 1, Item 1, </w:t>
      </w:r>
      <w:r>
        <w:rPr>
          <w:rFonts w:ascii="Arial" w:cs="Arial" w:eastAsia="Arial" w:hAnsi="Arial"/>
          <w:sz w:val="14"/>
          <w:szCs w:val="14"/>
          <w:i w:val="1"/>
          <w:iCs w:val="1"/>
          <w:color w:val="auto"/>
        </w:rPr>
        <w:t>Business -Patents, Trademarks and Other Intellectual Proprietary Rights</w:t>
      </w:r>
      <w:r>
        <w:rPr>
          <w:rFonts w:ascii="Arial" w:cs="Arial" w:eastAsia="Arial" w:hAnsi="Arial"/>
          <w:sz w:val="14"/>
          <w:szCs w:val="14"/>
          <w:color w:val="auto"/>
        </w:rPr>
        <w:t xml:space="preserve">, of this Form 10-K, which is incorporated by reference herein. Please see discussion of </w:t>
      </w:r>
      <w:r>
        <w:rPr>
          <w:rFonts w:ascii="Arial" w:cs="Arial" w:eastAsia="Arial" w:hAnsi="Arial"/>
          <w:sz w:val="14"/>
          <w:szCs w:val="14"/>
          <w:i w:val="1"/>
          <w:iCs w:val="1"/>
          <w:color w:val="auto"/>
        </w:rPr>
        <w:t>Melinta Litigation</w:t>
      </w:r>
      <w:r>
        <w:rPr>
          <w:rFonts w:ascii="Arial" w:cs="Arial" w:eastAsia="Arial" w:hAnsi="Arial"/>
          <w:sz w:val="14"/>
          <w:szCs w:val="14"/>
          <w:color w:val="auto"/>
        </w:rPr>
        <w:t xml:space="preserve"> in Note 22 Commitments and Contingencies contained in the Notes to Consolidated Financial Statements, which is incorporated herein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4. Mine Safety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5. Market for Registrant’s Common Equity, Related Stockholder Matters and Issuer Purchases of Equity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common stock, no par value, has been traded on the Nasdaq Global Select Market since August 11, 2009 under the symbol “CPIX.” As of March 7, 2022, we had 84 shareholders of record of our common stock. This excludes shareholders whose shares are held by brokers and other institutions on behalf of shareholders. The closing price of our common stock on the Nasdaq Global Select Market on March 7, 2022 was $2.97 per share.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We have not declared or paid any cash dividends on our common stock. Any future decision to declare or pay dividends will be at the sole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auto"/>
        </w:rPr>
        <w:t>Performance Graph</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stock performance graph below illustrates a comparison of the total cumulative stockholder return on our common stock since December 31, 2016 to the Nasdaq Composite and a composite of seven Nasdaq Pharmaceutical and Specialty Pharmaceutical Stocks which most closely compare to our Company. The graph assumes an initial investment of $100 on December 31, 2016,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56515</wp:posOffset>
            </wp:positionV>
            <wp:extent cx="4351020" cy="2543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51020" cy="254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w:t>
      </w:r>
    </w:p>
    <w:p>
      <w:pPr>
        <w:spacing w:after="0" w:line="12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Company currently has a share repurchase program to repurchase up to $10.0 million of our common stock pursuant to Rule 10b-18 of the Securities Exchange Act of 1934, as amended. In January 2019, the Company's Board of Directors established the current $10.0 million repurchase program to replace the prior authorizations. We repurchased 438,359 shares, 503,626 shares and 623,478 shares of common stock for approximately $1.4 million, $1.8 million and $3.5 million, and during the years ended December 31, 2021,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activity, by month, during the fourth quarter of 2021:</w:t>
      </w:r>
    </w:p>
    <w:p>
      <w:pPr>
        <w:spacing w:after="0" w:line="134"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Total Number of</w:t>
            </w:r>
          </w:p>
        </w:tc>
        <w:tc>
          <w:tcPr>
            <w:tcW w:w="2320" w:type="dxa"/>
            <w:vAlign w:val="bottom"/>
          </w:tcPr>
          <w:p>
            <w:pPr>
              <w:jc w:val="center"/>
              <w:spacing w:after="0"/>
              <w:rPr>
                <w:sz w:val="20"/>
                <w:szCs w:val="20"/>
                <w:color w:val="auto"/>
              </w:rPr>
            </w:pPr>
            <w:r>
              <w:rPr>
                <w:rFonts w:ascii="Arial" w:cs="Arial" w:eastAsia="Arial" w:hAnsi="Arial"/>
                <w:sz w:val="11"/>
                <w:szCs w:val="11"/>
                <w:b w:val="1"/>
                <w:bCs w:val="1"/>
                <w:color w:val="auto"/>
                <w:w w:val="97"/>
              </w:rPr>
              <w:t>Maximum Number (or</w:t>
            </w:r>
          </w:p>
        </w:tc>
        <w:tc>
          <w:tcPr>
            <w:tcW w:w="0" w:type="dxa"/>
            <w:vAlign w:val="bottom"/>
          </w:tcPr>
          <w:p>
            <w:pPr>
              <w:spacing w:after="0"/>
              <w:rPr>
                <w:sz w:val="1"/>
                <w:szCs w:val="1"/>
                <w:color w:val="auto"/>
              </w:rPr>
            </w:pPr>
          </w:p>
        </w:tc>
      </w:tr>
      <w:tr>
        <w:trPr>
          <w:trHeight w:val="105"/>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Total Number</w:t>
            </w:r>
          </w:p>
        </w:tc>
        <w:tc>
          <w:tcPr>
            <w:tcW w:w="460" w:type="dxa"/>
            <w:vAlign w:val="bottom"/>
          </w:tcPr>
          <w:p>
            <w:pPr>
              <w:spacing w:after="0"/>
              <w:rPr>
                <w:sz w:val="9"/>
                <w:szCs w:val="9"/>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7"/>
              </w:rPr>
              <w:t>Average</w:t>
            </w:r>
          </w:p>
        </w:tc>
        <w:tc>
          <w:tcPr>
            <w:tcW w:w="228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2"/>
              </w:rPr>
              <w:t>Shares (or Units)</w:t>
            </w:r>
          </w:p>
        </w:tc>
        <w:tc>
          <w:tcPr>
            <w:tcW w:w="23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Approximate Dollar</w:t>
            </w:r>
          </w:p>
        </w:tc>
        <w:tc>
          <w:tcPr>
            <w:tcW w:w="0" w:type="dxa"/>
            <w:vAlign w:val="bottom"/>
          </w:tcPr>
          <w:p>
            <w:pPr>
              <w:spacing w:after="0"/>
              <w:rPr>
                <w:sz w:val="1"/>
                <w:szCs w:val="1"/>
                <w:color w:val="auto"/>
              </w:rPr>
            </w:pPr>
          </w:p>
        </w:tc>
      </w:tr>
      <w:tr>
        <w:trPr>
          <w:trHeight w:val="105"/>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2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89"/>
              </w:rPr>
              <w:t>Purchased as</w:t>
            </w:r>
          </w:p>
        </w:tc>
        <w:tc>
          <w:tcPr>
            <w:tcW w:w="23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Value) of Shares (or</w:t>
            </w:r>
          </w:p>
        </w:tc>
        <w:tc>
          <w:tcPr>
            <w:tcW w:w="0" w:type="dxa"/>
            <w:vAlign w:val="bottom"/>
          </w:tcPr>
          <w:p>
            <w:pPr>
              <w:spacing w:after="0"/>
              <w:rPr>
                <w:sz w:val="1"/>
                <w:szCs w:val="1"/>
                <w:color w:val="auto"/>
              </w:rPr>
            </w:pPr>
          </w:p>
        </w:tc>
      </w:tr>
      <w:tr>
        <w:trPr>
          <w:trHeight w:val="105"/>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of Shares (or</w:t>
            </w:r>
          </w:p>
        </w:tc>
        <w:tc>
          <w:tcPr>
            <w:tcW w:w="460" w:type="dxa"/>
            <w:vAlign w:val="bottom"/>
          </w:tcPr>
          <w:p>
            <w:pPr>
              <w:spacing w:after="0"/>
              <w:rPr>
                <w:sz w:val="9"/>
                <w:szCs w:val="9"/>
                <w:color w:val="auto"/>
              </w:rPr>
            </w:pPr>
          </w:p>
        </w:tc>
        <w:tc>
          <w:tcPr>
            <w:tcW w:w="15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3"/>
              </w:rPr>
              <w:t>Price Paid</w:t>
            </w:r>
          </w:p>
        </w:tc>
        <w:tc>
          <w:tcPr>
            <w:tcW w:w="22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4"/>
              </w:rPr>
              <w:t>Part of Publicly</w:t>
            </w:r>
          </w:p>
        </w:tc>
        <w:tc>
          <w:tcPr>
            <w:tcW w:w="23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Units) that May Yet Be</w:t>
            </w:r>
          </w:p>
        </w:tc>
        <w:tc>
          <w:tcPr>
            <w:tcW w:w="0" w:type="dxa"/>
            <w:vAlign w:val="bottom"/>
          </w:tcPr>
          <w:p>
            <w:pPr>
              <w:spacing w:after="0"/>
              <w:rPr>
                <w:sz w:val="1"/>
                <w:szCs w:val="1"/>
                <w:color w:val="auto"/>
              </w:rPr>
            </w:pPr>
          </w:p>
        </w:tc>
      </w:tr>
      <w:tr>
        <w:trPr>
          <w:trHeight w:val="105"/>
        </w:trPr>
        <w:tc>
          <w:tcPr>
            <w:tcW w:w="2740" w:type="dxa"/>
            <w:vAlign w:val="bottom"/>
            <w:gridSpan w:val="2"/>
            <w:vMerge w:val="restart"/>
          </w:tcPr>
          <w:p>
            <w:pPr>
              <w:ind w:left="1160"/>
              <w:spacing w:after="0"/>
              <w:rPr>
                <w:sz w:val="20"/>
                <w:szCs w:val="20"/>
                <w:color w:val="auto"/>
              </w:rPr>
            </w:pPr>
            <w:r>
              <w:rPr>
                <w:rFonts w:ascii="Arial" w:cs="Arial" w:eastAsia="Arial" w:hAnsi="Arial"/>
                <w:sz w:val="11"/>
                <w:szCs w:val="11"/>
                <w:b w:val="1"/>
                <w:bCs w:val="1"/>
                <w:color w:val="auto"/>
              </w:rPr>
              <w:t>Period</w:t>
            </w:r>
          </w:p>
        </w:tc>
        <w:tc>
          <w:tcPr>
            <w:tcW w:w="14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Units)</w:t>
            </w:r>
          </w:p>
        </w:tc>
        <w:tc>
          <w:tcPr>
            <w:tcW w:w="460" w:type="dxa"/>
            <w:vAlign w:val="bottom"/>
          </w:tcPr>
          <w:p>
            <w:pPr>
              <w:spacing w:after="0"/>
              <w:rPr>
                <w:sz w:val="9"/>
                <w:szCs w:val="9"/>
                <w:color w:val="auto"/>
              </w:rPr>
            </w:pPr>
          </w:p>
        </w:tc>
        <w:tc>
          <w:tcPr>
            <w:tcW w:w="15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0"/>
              </w:rPr>
              <w:t>per Share</w:t>
            </w:r>
          </w:p>
        </w:tc>
        <w:tc>
          <w:tcPr>
            <w:tcW w:w="228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1"/>
              </w:rPr>
              <w:t>Announced Plans or</w:t>
            </w:r>
          </w:p>
        </w:tc>
        <w:tc>
          <w:tcPr>
            <w:tcW w:w="23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Purchased Under the</w:t>
            </w:r>
          </w:p>
        </w:tc>
        <w:tc>
          <w:tcPr>
            <w:tcW w:w="0" w:type="dxa"/>
            <w:vAlign w:val="bottom"/>
          </w:tcPr>
          <w:p>
            <w:pPr>
              <w:spacing w:after="0"/>
              <w:rPr>
                <w:sz w:val="1"/>
                <w:szCs w:val="1"/>
                <w:color w:val="auto"/>
              </w:rPr>
            </w:pPr>
          </w:p>
        </w:tc>
      </w:tr>
      <w:tr>
        <w:trPr>
          <w:trHeight w:val="146"/>
        </w:trPr>
        <w:tc>
          <w:tcPr>
            <w:tcW w:w="2740" w:type="dxa"/>
            <w:vAlign w:val="bottom"/>
            <w:gridSpan w:val="2"/>
            <w:vMerge w:val="continue"/>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w w:val="88"/>
              </w:rPr>
              <w:t>Purchased</w:t>
            </w:r>
          </w:p>
        </w:tc>
        <w:tc>
          <w:tcPr>
            <w:tcW w:w="46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(or Unit)</w:t>
            </w:r>
          </w:p>
        </w:tc>
        <w:tc>
          <w:tcPr>
            <w:tcW w:w="2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Programs</w:t>
            </w:r>
          </w:p>
        </w:tc>
        <w:tc>
          <w:tcPr>
            <w:tcW w:w="2320" w:type="dxa"/>
            <w:vAlign w:val="bottom"/>
          </w:tcPr>
          <w:p>
            <w:pPr>
              <w:jc w:val="center"/>
              <w:spacing w:after="0"/>
              <w:rPr>
                <w:sz w:val="20"/>
                <w:szCs w:val="20"/>
                <w:color w:val="auto"/>
              </w:rPr>
            </w:pPr>
            <w:r>
              <w:rPr>
                <w:rFonts w:ascii="Arial" w:cs="Arial" w:eastAsia="Arial" w:hAnsi="Arial"/>
                <w:sz w:val="11"/>
                <w:szCs w:val="11"/>
                <w:b w:val="1"/>
                <w:bCs w:val="1"/>
                <w:color w:val="auto"/>
                <w:w w:val="91"/>
              </w:rPr>
              <w:t>Plans or Programs</w:t>
            </w:r>
          </w:p>
        </w:tc>
        <w:tc>
          <w:tcPr>
            <w:tcW w:w="0" w:type="dxa"/>
            <w:vAlign w:val="bottom"/>
          </w:tcPr>
          <w:p>
            <w:pPr>
              <w:spacing w:after="0"/>
              <w:rPr>
                <w:sz w:val="1"/>
                <w:szCs w:val="1"/>
                <w:color w:val="auto"/>
              </w:rPr>
            </w:pPr>
          </w:p>
        </w:tc>
      </w:tr>
      <w:tr>
        <w:trPr>
          <w:trHeight w:val="108"/>
        </w:trPr>
        <w:tc>
          <w:tcPr>
            <w:tcW w:w="2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33,071</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$2.74</w:t>
            </w:r>
          </w:p>
        </w:tc>
        <w:tc>
          <w:tcPr>
            <w:tcW w:w="14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33,071</w:t>
            </w: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$5,073,858</w:t>
            </w:r>
          </w:p>
        </w:tc>
        <w:tc>
          <w:tcPr>
            <w:tcW w:w="0" w:type="dxa"/>
            <w:vAlign w:val="bottom"/>
          </w:tcPr>
          <w:p>
            <w:pPr>
              <w:spacing w:after="0"/>
              <w:rPr>
                <w:sz w:val="1"/>
                <w:szCs w:val="1"/>
                <w:color w:val="auto"/>
              </w:rPr>
            </w:pPr>
          </w:p>
        </w:tc>
      </w:tr>
      <w:tr>
        <w:trPr>
          <w:trHeight w:val="179"/>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November</w:t>
            </w:r>
          </w:p>
        </w:tc>
        <w:tc>
          <w:tcPr>
            <w:tcW w:w="1460" w:type="dxa"/>
            <w:vAlign w:val="bottom"/>
          </w:tcPr>
          <w:p>
            <w:pPr>
              <w:jc w:val="right"/>
              <w:spacing w:after="0"/>
              <w:rPr>
                <w:sz w:val="20"/>
                <w:szCs w:val="20"/>
                <w:color w:val="auto"/>
              </w:rPr>
            </w:pPr>
            <w:r>
              <w:rPr>
                <w:rFonts w:ascii="Arial" w:cs="Arial" w:eastAsia="Arial" w:hAnsi="Arial"/>
                <w:sz w:val="14"/>
                <w:szCs w:val="14"/>
                <w:color w:val="auto"/>
              </w:rPr>
              <w:t>35,095</w:t>
            </w:r>
          </w:p>
        </w:tc>
        <w:tc>
          <w:tcPr>
            <w:tcW w:w="460" w:type="dxa"/>
            <w:vAlign w:val="bottom"/>
          </w:tcPr>
          <w:p>
            <w:pPr>
              <w:jc w:val="right"/>
              <w:ind w:right="264"/>
              <w:spacing w:after="0"/>
              <w:rPr>
                <w:sz w:val="20"/>
                <w:szCs w:val="20"/>
                <w:color w:val="auto"/>
              </w:rPr>
            </w:pPr>
            <w:r>
              <w:rPr>
                <w:rFonts w:ascii="Arial" w:cs="Arial" w:eastAsia="Arial" w:hAnsi="Arial"/>
                <w:sz w:val="11"/>
                <w:szCs w:val="11"/>
                <w:color w:val="auto"/>
                <w:w w:val="88"/>
              </w:rPr>
              <w:t>(1)</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$2.56</w:t>
            </w:r>
          </w:p>
        </w:tc>
        <w:tc>
          <w:tcPr>
            <w:tcW w:w="14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35,095</w:t>
            </w:r>
          </w:p>
        </w:tc>
        <w:tc>
          <w:tcPr>
            <w:tcW w:w="1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$4,984,063</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43,656</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$4.68</w:t>
            </w:r>
          </w:p>
        </w:tc>
        <w:tc>
          <w:tcPr>
            <w:tcW w:w="14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43,656</w:t>
            </w: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$4,779,633</w:t>
            </w:r>
          </w:p>
        </w:tc>
        <w:tc>
          <w:tcPr>
            <w:tcW w:w="0" w:type="dxa"/>
            <w:vAlign w:val="bottom"/>
          </w:tcPr>
          <w:p>
            <w:pPr>
              <w:spacing w:after="0"/>
              <w:rPr>
                <w:sz w:val="1"/>
                <w:szCs w:val="1"/>
                <w:color w:val="auto"/>
              </w:rPr>
            </w:pPr>
          </w:p>
        </w:tc>
      </w:tr>
      <w:tr>
        <w:trPr>
          <w:trHeight w:val="170"/>
        </w:trPr>
        <w:tc>
          <w:tcPr>
            <w:tcW w:w="274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111,822</w:t>
            </w: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140" w:hanging="136"/>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Of this amount, 1,162 shares were repurchased directly in private purchases at the then-current fair market value of common stock.</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26" w:lineRule="exact"/>
        <w:rPr>
          <w:rFonts w:ascii="Arial" w:cs="Arial" w:eastAsia="Arial" w:hAnsi="Arial"/>
          <w:sz w:val="16"/>
          <w:szCs w:val="16"/>
          <w:color w:val="auto"/>
          <w:vertAlign w:val="superscript"/>
        </w:rPr>
      </w:pPr>
    </w:p>
    <w:p>
      <w:pPr>
        <w:ind w:left="5580"/>
        <w:spacing w:after="0"/>
        <w:rPr>
          <w:rFonts w:ascii="Arial" w:cs="Arial" w:eastAsia="Arial" w:hAnsi="Arial"/>
          <w:sz w:val="16"/>
          <w:szCs w:val="16"/>
          <w:color w:val="auto"/>
          <w:vertAlign w:val="superscript"/>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auto"/>
        </w:rPr>
        <w:t>Item 6. Reserved.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7. Management’s Discussion and Analysis of Financial Condition and Results of Operations.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3"/>
          <w:szCs w:val="13"/>
          <w:i w:val="1"/>
          <w:iCs w:val="1"/>
          <w:color w:val="auto"/>
        </w:rPr>
        <w:t>The following discussion and analysis of our financial position and results of operations should be read together with our audited consolidated financial statements and related notes appearing elsewhere in this Form 10-K. This discussion and analysis may contain forward-looking statements that involve risks and uncertainties – please refer to the section entitled, “Special Note Regarding Forward-Looking Statements,” contained in Part I, Item 1A, “Risk Factors,” of this Form 10-K. You should review the “Risk Factors” section of this Form 10-K for a discussion of important factors that could cause actual results to differ materially from the results described in or implied by the forward-looking statements described in the following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auto"/>
        </w:rPr>
        <w:t>EXECUTIVE SUMMARY</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are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spacing w:after="0" w:line="75"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Our commercial portfolio includes eight branded products approved for marketing by the U.S. Food and Drug Administration (“FDA”) - Acetadote</w:t>
      </w:r>
      <w:r>
        <w:rPr>
          <w:rFonts w:ascii="Arial" w:cs="Arial" w:eastAsia="Arial" w:hAnsi="Arial"/>
          <w:sz w:val="18"/>
          <w:szCs w:val="18"/>
          <w:color w:val="auto"/>
          <w:vertAlign w:val="superscript"/>
        </w:rPr>
        <w:t>®</w:t>
      </w:r>
      <w:r>
        <w:rPr>
          <w:rFonts w:ascii="Arial" w:cs="Arial" w:eastAsia="Arial" w:hAnsi="Arial"/>
          <w:sz w:val="14"/>
          <w:szCs w:val="14"/>
          <w:color w:val="auto"/>
        </w:rPr>
        <w:t>, Caldolor</w:t>
      </w:r>
      <w:r>
        <w:rPr>
          <w:rFonts w:ascii="Arial" w:cs="Arial" w:eastAsia="Arial" w:hAnsi="Arial"/>
          <w:sz w:val="18"/>
          <w:szCs w:val="18"/>
          <w:color w:val="auto"/>
          <w:vertAlign w:val="superscript"/>
        </w:rPr>
        <w:t>®</w:t>
      </w:r>
      <w:r>
        <w:rPr>
          <w:rFonts w:ascii="Arial" w:cs="Arial" w:eastAsia="Arial" w:hAnsi="Arial"/>
          <w:sz w:val="14"/>
          <w:szCs w:val="14"/>
          <w:color w:val="auto"/>
        </w:rPr>
        <w:t>, Kristalose</w:t>
      </w:r>
      <w:r>
        <w:rPr>
          <w:rFonts w:ascii="Arial" w:cs="Arial" w:eastAsia="Arial" w:hAnsi="Arial"/>
          <w:sz w:val="18"/>
          <w:szCs w:val="18"/>
          <w:color w:val="auto"/>
          <w:vertAlign w:val="superscript"/>
        </w:rPr>
        <w:t>®</w:t>
      </w:r>
      <w:r>
        <w:rPr>
          <w:rFonts w:ascii="Arial" w:cs="Arial" w:eastAsia="Arial" w:hAnsi="Arial"/>
          <w:sz w:val="14"/>
          <w:szCs w:val="14"/>
          <w:color w:val="auto"/>
        </w:rPr>
        <w:t>, Omeclamox</w:t>
      </w:r>
      <w:r>
        <w:rPr>
          <w:rFonts w:ascii="Arial" w:cs="Arial" w:eastAsia="Arial" w:hAnsi="Arial"/>
          <w:sz w:val="18"/>
          <w:szCs w:val="18"/>
          <w:color w:val="auto"/>
          <w:vertAlign w:val="superscript"/>
        </w:rPr>
        <w:t>®</w:t>
      </w:r>
      <w:r>
        <w:rPr>
          <w:rFonts w:ascii="Arial" w:cs="Arial" w:eastAsia="Arial" w:hAnsi="Arial"/>
          <w:sz w:val="14"/>
          <w:szCs w:val="14"/>
          <w:color w:val="auto"/>
        </w:rPr>
        <w:t>-Pak, RediTrex</w:t>
      </w:r>
      <w:r>
        <w:rPr>
          <w:rFonts w:ascii="Arial" w:cs="Arial" w:eastAsia="Arial" w:hAnsi="Arial"/>
          <w:sz w:val="18"/>
          <w:szCs w:val="18"/>
          <w:color w:val="auto"/>
          <w:vertAlign w:val="superscript"/>
        </w:rPr>
        <w:t>®</w:t>
      </w:r>
      <w:r>
        <w:rPr>
          <w:rFonts w:ascii="Arial" w:cs="Arial" w:eastAsia="Arial" w:hAnsi="Arial"/>
          <w:sz w:val="14"/>
          <w:szCs w:val="14"/>
          <w:color w:val="auto"/>
        </w:rPr>
        <w:t>, Sancuso</w:t>
      </w:r>
      <w:r>
        <w:rPr>
          <w:rFonts w:ascii="Arial" w:cs="Arial" w:eastAsia="Arial" w:hAnsi="Arial"/>
          <w:sz w:val="18"/>
          <w:szCs w:val="18"/>
          <w:color w:val="auto"/>
          <w:vertAlign w:val="superscript"/>
        </w:rPr>
        <w:t>®</w:t>
      </w:r>
      <w:r>
        <w:rPr>
          <w:rFonts w:ascii="Arial" w:cs="Arial" w:eastAsia="Arial" w:hAnsi="Arial"/>
          <w:sz w:val="14"/>
          <w:szCs w:val="14"/>
          <w:color w:val="auto"/>
        </w:rPr>
        <w:t>, Vaprisol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Vibativ</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addition to these commercial brands, we have Phase II clinical programs underway evaluating our ifetroban product candidates for 1) patients with cardiomyopathy associated with </w:t>
      </w:r>
      <w:r>
        <w:rPr>
          <w:rFonts w:ascii="Arial" w:cs="Arial" w:eastAsia="Arial" w:hAnsi="Arial"/>
          <w:sz w:val="14"/>
          <w:szCs w:val="14"/>
          <w:i w:val="1"/>
          <w:iCs w:val="1"/>
          <w:color w:val="auto"/>
        </w:rPr>
        <w:t>Duchenne</w:t>
      </w:r>
      <w:r>
        <w:rPr>
          <w:rFonts w:ascii="Arial" w:cs="Arial" w:eastAsia="Arial" w:hAnsi="Arial"/>
          <w:sz w:val="14"/>
          <w:szCs w:val="14"/>
          <w:color w:val="auto"/>
        </w:rPr>
        <w:t xml:space="preserve"> </w:t>
      </w:r>
      <w:r>
        <w:rPr>
          <w:rFonts w:ascii="Arial" w:cs="Arial" w:eastAsia="Arial" w:hAnsi="Arial"/>
          <w:sz w:val="14"/>
          <w:szCs w:val="14"/>
          <w:i w:val="1"/>
          <w:iCs w:val="1"/>
          <w:color w:val="auto"/>
        </w:rPr>
        <w:t>Muscular Dystrophy</w:t>
      </w:r>
      <w:r>
        <w:rPr>
          <w:rFonts w:ascii="Arial" w:cs="Arial" w:eastAsia="Arial" w:hAnsi="Arial"/>
          <w:sz w:val="14"/>
          <w:szCs w:val="14"/>
          <w:color w:val="auto"/>
        </w:rPr>
        <w:t>, a fatal, genetic neuromuscular disease, 2)</w:t>
      </w:r>
      <w:r>
        <w:rPr>
          <w:rFonts w:ascii="Arial" w:cs="Arial" w:eastAsia="Arial" w:hAnsi="Arial"/>
          <w:sz w:val="14"/>
          <w:szCs w:val="14"/>
          <w:i w:val="1"/>
          <w:iCs w:val="1"/>
          <w:color w:val="auto"/>
        </w:rPr>
        <w:t xml:space="preserve"> Systemic Sclerosis </w:t>
      </w:r>
      <w:r>
        <w:rPr>
          <w:rFonts w:ascii="Arial" w:cs="Arial" w:eastAsia="Arial" w:hAnsi="Arial"/>
          <w:sz w:val="14"/>
          <w:szCs w:val="14"/>
          <w:color w:val="auto"/>
        </w:rPr>
        <w:t>or scleroderma, a debilitating autoimmune disorder characterized by fibrosis of the skin and internal organs and 3)</w:t>
      </w:r>
      <w:r>
        <w:rPr>
          <w:rFonts w:ascii="Arial" w:cs="Arial" w:eastAsia="Arial" w:hAnsi="Arial"/>
          <w:sz w:val="14"/>
          <w:szCs w:val="14"/>
          <w:i w:val="1"/>
          <w:iCs w:val="1"/>
          <w:color w:val="auto"/>
        </w:rPr>
        <w:t xml:space="preserve"> Aspirin-Exacerbated Respiratory Disease</w:t>
      </w:r>
      <w:r>
        <w:rPr>
          <w:rFonts w:ascii="Arial" w:cs="Arial" w:eastAsia="Arial" w:hAnsi="Arial"/>
          <w:sz w:val="14"/>
          <w:szCs w:val="14"/>
          <w:color w:val="auto"/>
        </w:rPr>
        <w:t>, a severe form of asthma.</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primary target markets are hospital acute care, gastroenterology, rheumatology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and are establishing a network of international partners to register and provide our medicines to patients in their countries.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established the capabilities needed to acquire, develop and commercialize branded pharmaceuticals in the U.S. and believe we can leverage this existing infrastructure to support our expected growth.</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management team consists of pharmaceutical industry veterans with significant experience in their areas of responsibility. 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of our products.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is a summary of our 2021 highlights and recent developments. For more information, please see Part I, Item I, </w:t>
      </w:r>
      <w:r>
        <w:rPr>
          <w:rFonts w:ascii="Arial" w:cs="Arial" w:eastAsia="Arial" w:hAnsi="Arial"/>
          <w:sz w:val="14"/>
          <w:szCs w:val="14"/>
          <w:i w:val="1"/>
          <w:iCs w:val="1"/>
          <w:color w:val="auto"/>
        </w:rPr>
        <w:t>Business</w:t>
      </w:r>
      <w:r>
        <w:rPr>
          <w:rFonts w:ascii="Arial" w:cs="Arial" w:eastAsia="Arial" w:hAnsi="Arial"/>
          <w:sz w:val="14"/>
          <w:szCs w:val="14"/>
          <w:color w:val="auto"/>
        </w:rPr>
        <w:t>, of this Form 10-K.</w:t>
      </w:r>
    </w:p>
    <w:p>
      <w:pPr>
        <w:spacing w:after="0" w:line="119" w:lineRule="exact"/>
        <w:rPr>
          <w:sz w:val="20"/>
          <w:szCs w:val="20"/>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Agreement to acquire the U.S. rights to Sancuso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(granisetron transdermal patch), an FDA-approved oncology supportive care medicine.</w:t>
      </w:r>
    </w:p>
    <w:p>
      <w:pPr>
        <w:spacing w:after="0" w:line="77"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FDA approval of expanded labeling for our Caldolor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(intravenously delivered ibuprofen), for use prior to surgery.</w:t>
      </w:r>
    </w:p>
    <w:p>
      <w:pPr>
        <w:spacing w:after="0" w:line="71"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Commencement of the national launch of our RediTrex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 (prefilled methotrexate syringes).</w:t>
      </w:r>
    </w:p>
    <w:p>
      <w:pPr>
        <w:spacing w:after="0" w:line="77"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Agreement to relocate our corporate headquarters to the new Broadwest campus in the West End/Vanderbilt corridor in Nashville, with a move planned for late 2022.</w:t>
      </w:r>
    </w:p>
    <w:p>
      <w:pPr>
        <w:spacing w:after="0" w:line="123"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Extension of our line of credit with Pinnacle Bank for a new three-year term, and expansion of the facility for up to $20 million.</w:t>
      </w:r>
    </w:p>
    <w:p>
      <w:pPr>
        <w:spacing w:after="0" w:line="113"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Renewal of our At-the-Market facility, for up to $19 million in equity financing.</w:t>
      </w:r>
    </w:p>
    <w:p>
      <w:pPr>
        <w:spacing w:after="0" w:line="123" w:lineRule="exact"/>
        <w:rPr>
          <w:rFonts w:ascii="Arial" w:cs="Arial" w:eastAsia="Arial" w:hAnsi="Arial"/>
          <w:sz w:val="14"/>
          <w:szCs w:val="14"/>
          <w:color w:val="auto"/>
        </w:rPr>
      </w:pPr>
    </w:p>
    <w:p>
      <w:pPr>
        <w:ind w:left="520" w:hanging="263"/>
        <w:spacing w:after="0" w:line="278"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Continuation of our share repurchase initiative along with a group of our Board members purchasing shares through trading plans in the market, in order to add to their holdings in the company.</w:t>
      </w:r>
    </w:p>
    <w:p>
      <w:pPr>
        <w:spacing w:after="0" w:line="80"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Publication of a series of study results and patient case studies in support of several of our brands.</w:t>
      </w:r>
    </w:p>
    <w:p>
      <w:pPr>
        <w:spacing w:after="0" w:line="113"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release of our second annual Sustainability Report, which details the company’s activities pertaining to its environmental, social and governance (ESG)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auto"/>
        </w:rPr>
        <w:t>COVID-19 Pandemic</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early 2020, the U.S. declared a health care emergency following the outbreak of SARS-CoV-2, a novel strain of coronavirus that causes COVID-19, a respiratory illness. The company has managed through the resulting pandemic, which included stay-at-home orders, the emergence of new variants, compliance with differing federal, state and local guidelines, among other challenges, to continue to operate our business – keeping facilities open and our organization intact. We moved quickly to ensure the health and safety of our team. We also maintained our ongoing compliance with the many laws and regulations that apply to us as a publicly traded pharmaceutical company.</w:t>
      </w:r>
    </w:p>
    <w:p>
      <w:pPr>
        <w:spacing w:after="0" w:line="93"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14"/>
          <w:szCs w:val="14"/>
          <w:color w:val="auto"/>
        </w:rPr>
        <w:t>Throughout the pandemic, Cumberland has faced the same challenges affecting other companies that rely on hospital admissions and patient visits to drive revenue. Our clinical studies were also impacted, as fewer patients sought elective surgeries and our access to medical facilities was substantially limited. We carefully monitored our supply chain, including the flow of raw materials into and the batches of finished products emerging from the facilities that manufacture our products.</w:t>
      </w:r>
    </w:p>
    <w:p>
      <w:pPr>
        <w:spacing w:after="0" w:line="89" w:lineRule="exact"/>
        <w:rPr>
          <w:sz w:val="20"/>
          <w:szCs w:val="20"/>
          <w:color w:val="auto"/>
        </w:rPr>
      </w:pPr>
    </w:p>
    <w:p>
      <w:pPr>
        <w:jc w:val="both"/>
        <w:ind w:firstLine="374"/>
        <w:spacing w:after="0" w:line="278" w:lineRule="auto"/>
        <w:rPr>
          <w:sz w:val="20"/>
          <w:szCs w:val="20"/>
          <w:color w:val="auto"/>
        </w:rPr>
      </w:pPr>
      <w:r>
        <w:rPr>
          <w:rFonts w:ascii="Arial" w:cs="Arial" w:eastAsia="Arial" w:hAnsi="Arial"/>
          <w:sz w:val="14"/>
          <w:szCs w:val="14"/>
          <w:color w:val="auto"/>
        </w:rPr>
        <w:t>Several of our brands were negatively impacted by the lockdowns and postponement of physician office visits and elective procedures. However, we are fortunate to have a diversified product portfolio that includes other brands that have delivered a strong performance during the pandemic.</w:t>
      </w:r>
    </w:p>
    <w:p>
      <w:pPr>
        <w:spacing w:after="0" w:line="70"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3"/>
          <w:szCs w:val="13"/>
          <w:color w:val="auto"/>
        </w:rPr>
        <w:t>Despite the challenges of operating during a pandemic, Cumberland has remained committed to our mission of providing innovative products that improve the quality of care for patients. We continued to build our portfolio of innovative and differentiated products through a multifaceted strategy that includes the development of new candidates and acquisition of established brands. Our resulting, diversified product line has enabled us to weather external challenges, while our team has remained responsive to the evolving medical market. We are prepared for and look forward to future opportunities to carry out our mission. Overall, we have been able to deliver our products while addressing the interests of our shareholders, employees, partners and community.</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ESG Report</w:t>
      </w:r>
    </w:p>
    <w:p>
      <w:pPr>
        <w:spacing w:after="0" w:line="128"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4"/>
          <w:szCs w:val="14"/>
          <w:color w:val="auto"/>
        </w:rPr>
        <w:t>In July 2021, we released our second annual Sustainability Report, which details Cumberland’s activities pertaining to our environmental, social and governance (“ESG”) matters. After issuing our inaugural ESG Report the prior year, we remain committed to sustainability and to maintaining transparency of our corporate operations. We hold ourselves to the highest standards of ethical practices and understand the importance of recognizing and addressing our impact on our constituents, the community and the environment.</w:t>
      </w:r>
    </w:p>
    <w:p>
      <w:pPr>
        <w:spacing w:after="0" w:line="78" w:lineRule="exact"/>
        <w:rPr>
          <w:sz w:val="20"/>
          <w:szCs w:val="20"/>
          <w:color w:val="auto"/>
        </w:rPr>
      </w:pPr>
    </w:p>
    <w:p>
      <w:pPr>
        <w:jc w:val="both"/>
        <w:ind w:firstLine="370"/>
        <w:spacing w:after="0" w:line="265" w:lineRule="auto"/>
        <w:rPr>
          <w:sz w:val="20"/>
          <w:szCs w:val="20"/>
          <w:color w:val="auto"/>
        </w:rPr>
      </w:pPr>
      <w:r>
        <w:rPr>
          <w:rFonts w:ascii="Arial" w:cs="Arial" w:eastAsia="Arial" w:hAnsi="Arial"/>
          <w:sz w:val="14"/>
          <w:szCs w:val="14"/>
          <w:color w:val="auto"/>
        </w:rPr>
        <w:t>The Sustainability Report notes that during that year we provided nearly 2.5 million patient doses of our products, safely disposed of over 4,000 pounds of expired and damaged products, and had no product recalls. We also had no Company brands listed on the FDA’s MedWatch Safety Alerts for Human Medical Products, no Company product issues identified by the FDA’s Adverse Event Reporting System and no clinical trials terminated due to failure to practice good clinical standards.</w:t>
      </w:r>
    </w:p>
    <w:p>
      <w:pPr>
        <w:spacing w:after="0" w:line="89" w:lineRule="exact"/>
        <w:rPr>
          <w:sz w:val="20"/>
          <w:szCs w:val="20"/>
          <w:color w:val="auto"/>
        </w:rPr>
      </w:pPr>
    </w:p>
    <w:p>
      <w:pPr>
        <w:jc w:val="both"/>
        <w:ind w:firstLine="374"/>
        <w:spacing w:after="0" w:line="278" w:lineRule="auto"/>
        <w:rPr>
          <w:sz w:val="20"/>
          <w:szCs w:val="20"/>
          <w:color w:val="auto"/>
        </w:rPr>
      </w:pPr>
      <w:r>
        <w:rPr>
          <w:rFonts w:ascii="Arial" w:cs="Arial" w:eastAsia="Arial" w:hAnsi="Arial"/>
          <w:sz w:val="14"/>
          <w:szCs w:val="14"/>
          <w:color w:val="auto"/>
        </w:rPr>
        <w:t>The Sustainability Report also highlights our investment in our employees through our continuing education programs, employee development initiatives and employee recognition awards. We reported that women represented 46% of Cumberland’s workforce – and 18% of our employees were minorities.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Cybersecurity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taken appropriate steps to monitor an adequate level of cybersecurity. The Company is insured against cyber attacks and has appropriate detection and mitigation controls in place.</w:t>
      </w:r>
    </w:p>
    <w:p>
      <w:pPr>
        <w:spacing w:after="0" w:line="147" w:lineRule="exact"/>
        <w:rPr>
          <w:sz w:val="20"/>
          <w:szCs w:val="20"/>
          <w:color w:val="auto"/>
        </w:rPr>
      </w:pPr>
    </w:p>
    <w:p>
      <w:pPr>
        <w:jc w:val="both"/>
        <w:ind w:firstLine="371"/>
        <w:spacing w:after="0" w:line="278" w:lineRule="auto"/>
        <w:rPr>
          <w:sz w:val="20"/>
          <w:szCs w:val="20"/>
          <w:color w:val="auto"/>
        </w:rPr>
      </w:pPr>
      <w:r>
        <w:rPr>
          <w:rFonts w:ascii="Arial" w:cs="Arial" w:eastAsia="Arial" w:hAnsi="Arial"/>
          <w:sz w:val="14"/>
          <w:szCs w:val="14"/>
          <w:color w:val="auto"/>
        </w:rPr>
        <w:t xml:space="preserve">We were incorporated in 1999 and have been headquartered in Nashville, Tennessee since our inception. The Company’s common shares are listed on the Nasdaq stock exchange, our website address is </w:t>
      </w:r>
      <w:r>
        <w:rPr>
          <w:rFonts w:ascii="Arial" w:cs="Arial" w:eastAsia="Arial" w:hAnsi="Arial"/>
          <w:sz w:val="14"/>
          <w:szCs w:val="14"/>
          <w:i w:val="1"/>
          <w:iCs w:val="1"/>
          <w:color w:val="0563C1"/>
        </w:rPr>
        <w:t>www.cumberlandpharma.com</w:t>
      </w:r>
      <w:r>
        <w:rPr>
          <w:rFonts w:ascii="Arial" w:cs="Arial" w:eastAsia="Arial" w:hAnsi="Arial"/>
          <w:sz w:val="14"/>
          <w:szCs w:val="14"/>
          <w:color w:val="auto"/>
        </w:rPr>
        <w:t xml:space="preserve"> and our various filings are available to the public at </w:t>
      </w:r>
      <w:r>
        <w:rPr>
          <w:rFonts w:ascii="Arial" w:cs="Arial" w:eastAsia="Arial" w:hAnsi="Arial"/>
          <w:sz w:val="14"/>
          <w:szCs w:val="14"/>
          <w:i w:val="1"/>
          <w:iCs w:val="1"/>
          <w:color w:val="0563C1"/>
        </w:rPr>
        <w:t>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65" w:name="page66"/>
    <w:bookmarkEnd w:id="65"/>
    <w:p>
      <w:pPr>
        <w:ind w:right="5440"/>
        <w:spacing w:after="0" w:line="419" w:lineRule="auto"/>
        <w:rPr>
          <w:sz w:val="20"/>
          <w:szCs w:val="20"/>
          <w:color w:val="auto"/>
        </w:rPr>
      </w:pPr>
      <w:r>
        <w:rPr>
          <w:rFonts w:ascii="Arial" w:cs="Arial" w:eastAsia="Arial" w:hAnsi="Arial"/>
          <w:sz w:val="14"/>
          <w:szCs w:val="14"/>
          <w:b w:val="1"/>
          <w:bCs w:val="1"/>
          <w:color w:val="auto"/>
        </w:rPr>
        <w:t>CRITICAL ACCOUNTING POLICIES AND SIGNIFICANT JUDGMENTS AND ESTIMATES Accounting Estimates and Judgments</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are not determined from other sources. Actual results could differ from these estimates. These estimates, judgments and assumptions are most critical with respect to our accounting for revenue recognition, inventory, intangible assets and goodwill, research and development accounting, contingent consideration liability, provision for income taxes and share-based payments.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w:t>
      </w:r>
    </w:p>
    <w:p>
      <w:pPr>
        <w:spacing w:after="0" w:line="8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and discounts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along with grant and rental income. Other income was approximately 2.6% percent of net revenues in 2021, 4.3% in 2020, and 5.8% in 2019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Our financial statements reflect accounts receivable allowances of $0.3 million and $1.0 million at December 31, 2021 and 2020, respectively, for chargebacks and early pay discounts for products.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our sales-related accrual activity for the periods indicated below:</w:t>
      </w:r>
    </w:p>
    <w:p>
      <w:pPr>
        <w:spacing w:after="0" w:line="155"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09"/>
        </w:trPr>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January 1</w:t>
            </w:r>
          </w:p>
        </w:tc>
        <w:tc>
          <w:tcPr>
            <w:tcW w:w="1040" w:type="dxa"/>
            <w:vAlign w:val="bottom"/>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4,063,435</w:t>
            </w:r>
          </w:p>
        </w:tc>
        <w:tc>
          <w:tcPr>
            <w:tcW w:w="120" w:type="dxa"/>
            <w:vAlign w:val="bottom"/>
            <w:vMerge w:val="continue"/>
          </w:tcPr>
          <w:p>
            <w:pPr>
              <w:spacing w:after="0"/>
              <w:rPr>
                <w:sz w:val="15"/>
                <w:szCs w:val="15"/>
                <w:color w:val="auto"/>
              </w:rPr>
            </w:pP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4,593,167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4,961,631</w:t>
            </w:r>
          </w:p>
        </w:tc>
        <w:tc>
          <w:tcPr>
            <w:tcW w:w="0" w:type="dxa"/>
            <w:vAlign w:val="bottom"/>
          </w:tcPr>
          <w:p>
            <w:pPr>
              <w:spacing w:after="0"/>
              <w:rPr>
                <w:sz w:val="1"/>
                <w:szCs w:val="1"/>
                <w:color w:val="auto"/>
              </w:rPr>
            </w:pPr>
          </w:p>
        </w:tc>
      </w:tr>
      <w:tr>
        <w:trPr>
          <w:trHeight w:val="179"/>
        </w:trPr>
        <w:tc>
          <w:tcPr>
            <w:tcW w:w="5140" w:type="dxa"/>
            <w:vAlign w:val="bottom"/>
          </w:tcPr>
          <w:p>
            <w:pPr>
              <w:ind w:left="180"/>
              <w:spacing w:after="0"/>
              <w:rPr>
                <w:sz w:val="20"/>
                <w:szCs w:val="20"/>
                <w:color w:val="auto"/>
              </w:rPr>
            </w:pPr>
            <w:r>
              <w:rPr>
                <w:rFonts w:ascii="Arial" w:cs="Arial" w:eastAsia="Arial" w:hAnsi="Arial"/>
                <w:sz w:val="14"/>
                <w:szCs w:val="14"/>
                <w:color w:val="auto"/>
              </w:rPr>
              <w:t>Current provision</w:t>
            </w:r>
          </w:p>
        </w:tc>
        <w:tc>
          <w:tcPr>
            <w:tcW w:w="1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12,127,410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13,453,894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13,081,251</w:t>
            </w:r>
          </w:p>
        </w:tc>
        <w:tc>
          <w:tcPr>
            <w:tcW w:w="0" w:type="dxa"/>
            <w:vAlign w:val="bottom"/>
          </w:tcPr>
          <w:p>
            <w:pPr>
              <w:spacing w:after="0"/>
              <w:rPr>
                <w:sz w:val="1"/>
                <w:szCs w:val="1"/>
                <w:color w:val="auto"/>
              </w:rPr>
            </w:pPr>
          </w:p>
        </w:tc>
      </w:tr>
      <w:tr>
        <w:trPr>
          <w:trHeight w:val="179"/>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Actual product returns and credits issued</w:t>
            </w:r>
          </w:p>
        </w:tc>
        <w:tc>
          <w:tcPr>
            <w:tcW w:w="10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(12,510,168)</w:t>
            </w:r>
          </w:p>
        </w:tc>
        <w:tc>
          <w:tcPr>
            <w:tcW w:w="120" w:type="dxa"/>
            <w:vAlign w:val="bottom"/>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(13,983,626)</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(13,449,715)</w:t>
            </w:r>
          </w:p>
        </w:tc>
        <w:tc>
          <w:tcPr>
            <w:tcW w:w="0" w:type="dxa"/>
            <w:vAlign w:val="bottom"/>
          </w:tcPr>
          <w:p>
            <w:pPr>
              <w:spacing w:after="0"/>
              <w:rPr>
                <w:sz w:val="1"/>
                <w:szCs w:val="1"/>
                <w:color w:val="auto"/>
              </w:rPr>
            </w:pPr>
          </w:p>
        </w:tc>
      </w:tr>
      <w:tr>
        <w:trPr>
          <w:trHeight w:val="170"/>
        </w:trPr>
        <w:tc>
          <w:tcPr>
            <w:tcW w:w="5140" w:type="dxa"/>
            <w:vAlign w:val="bottom"/>
          </w:tcPr>
          <w:p>
            <w:pPr>
              <w:ind w:left="20"/>
              <w:spacing w:after="0" w:line="159" w:lineRule="exact"/>
              <w:rPr>
                <w:sz w:val="20"/>
                <w:szCs w:val="20"/>
                <w:color w:val="auto"/>
              </w:rPr>
            </w:pPr>
            <w:r>
              <w:rPr>
                <w:rFonts w:ascii="Arial" w:cs="Arial" w:eastAsia="Arial" w:hAnsi="Arial"/>
                <w:sz w:val="14"/>
                <w:szCs w:val="14"/>
                <w:color w:val="auto"/>
              </w:rPr>
              <w:t>Balance, December 31</w:t>
            </w:r>
          </w:p>
        </w:tc>
        <w:tc>
          <w:tcPr>
            <w:tcW w:w="104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3,680,677</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4,063,435</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4,593,167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allowances for chargebacks and discounts and sales related accruals for rebates, fee for service and product returns are determined on a product-by-product basis. We establish them using our best estimate at the time of sale based on:</w:t>
      </w:r>
    </w:p>
    <w:p>
      <w:pPr>
        <w:spacing w:after="0" w:line="70" w:lineRule="exact"/>
        <w:rPr>
          <w:sz w:val="20"/>
          <w:szCs w:val="20"/>
          <w:color w:val="auto"/>
        </w:rPr>
      </w:pPr>
    </w:p>
    <w:p>
      <w:pPr>
        <w:ind w:left="1020" w:hanging="257"/>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product’s historical experience adjusted to reflect known changes in the factors that impact such allowances;</w:t>
      </w:r>
    </w:p>
    <w:p>
      <w:pPr>
        <w:spacing w:after="0" w:line="123" w:lineRule="exact"/>
        <w:rPr>
          <w:rFonts w:ascii="Arial" w:cs="Arial" w:eastAsia="Arial" w:hAnsi="Arial"/>
          <w:sz w:val="14"/>
          <w:szCs w:val="14"/>
          <w:color w:val="auto"/>
        </w:rPr>
      </w:pPr>
    </w:p>
    <w:p>
      <w:pPr>
        <w:ind w:left="1020" w:hanging="257"/>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contractual terms with direct and indirect customers;</w:t>
      </w:r>
    </w:p>
    <w:p>
      <w:pPr>
        <w:spacing w:after="0" w:line="123" w:lineRule="exact"/>
        <w:rPr>
          <w:rFonts w:ascii="Arial" w:cs="Arial" w:eastAsia="Arial" w:hAnsi="Arial"/>
          <w:sz w:val="14"/>
          <w:szCs w:val="14"/>
          <w:color w:val="auto"/>
        </w:rPr>
      </w:pPr>
    </w:p>
    <w:p>
      <w:pPr>
        <w:ind w:left="1020" w:hanging="257"/>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Analyses of historical levels of chargebacks, discounts and returns of product;</w:t>
      </w:r>
    </w:p>
    <w:p>
      <w:pPr>
        <w:spacing w:after="0" w:line="113" w:lineRule="exact"/>
        <w:rPr>
          <w:rFonts w:ascii="Arial" w:cs="Arial" w:eastAsia="Arial" w:hAnsi="Arial"/>
          <w:sz w:val="14"/>
          <w:szCs w:val="14"/>
          <w:color w:val="auto"/>
        </w:rPr>
      </w:pPr>
    </w:p>
    <w:p>
      <w:pPr>
        <w:ind w:left="1020" w:hanging="257"/>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Communications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66" w:name="page67"/>
    <w:bookmarkEnd w:id="66"/>
    <w:p>
      <w:pPr>
        <w:ind w:left="1020" w:hanging="257"/>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Purchased information about the rate of prescriptions being written and the level of inventory remaining in the distribution channel, if known; and</w:t>
      </w:r>
    </w:p>
    <w:p>
      <w:pPr>
        <w:spacing w:after="0" w:line="113" w:lineRule="exact"/>
        <w:rPr>
          <w:rFonts w:ascii="Arial" w:cs="Arial" w:eastAsia="Arial" w:hAnsi="Arial"/>
          <w:sz w:val="14"/>
          <w:szCs w:val="14"/>
          <w:color w:val="auto"/>
        </w:rPr>
      </w:pPr>
    </w:p>
    <w:p>
      <w:pPr>
        <w:ind w:left="1020" w:hanging="257"/>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Expectations about the market for each product, including any anticipated introduction of competitive products.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w:t>
      </w:r>
    </w:p>
    <w:p>
      <w:pPr>
        <w:spacing w:after="0" w:line="89"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The allowances for chargebacks and accruals for rebates and product returns are the most significant estimates used in the recognition of our revenue from product sales. Of the accounts receivable allowances and our sales related accruals, our accrual for fee for services and product returns represents the majority of the balance. Sales related accrued liabilities for rebates, product returns, service fees, and administrative fees totaled $3.7 million, $4.1 million and $4.6 million as of December 31, 2021, 2020 and 2019, respectively. Of these amounts, our estimated liability for fee for services represented $1.0 million, $1.0 million and $1.4 million, respectively, while our accrual for product returns totaled $1.9 million, $1.7 million and $1.9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$0.4 million for the years ended December 31, 2021, 2020 and 2019. A change in our product return estimate of one percentage point would have impacted net sales by $0.4 million for the years ended December 31, 2021, and 2020 and $0.3 million for the year ended December 31, 2019.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2021, in comparison to our expected inventory usage. The amount of actual inventory obsolescence and unmarketable inventory could differ (either higher or lower) in the near term from the estimated amounts. Changes in our estimates would be recorded in our statement of operations in the period of the change.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Non-current inventories consist of API which typically has an extended life and selected finished good products with extended life longer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Income Taxes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89" w:lineRule="exact"/>
        <w:rPr>
          <w:sz w:val="20"/>
          <w:szCs w:val="20"/>
          <w:color w:val="auto"/>
        </w:rPr>
      </w:pPr>
    </w:p>
    <w:p>
      <w:pPr>
        <w:ind w:right="1700"/>
        <w:spacing w:after="0" w:line="416" w:lineRule="auto"/>
        <w:rPr>
          <w:sz w:val="20"/>
          <w:szCs w:val="20"/>
          <w:color w:val="auto"/>
        </w:rPr>
      </w:pPr>
      <w:r>
        <w:rPr>
          <w:rFonts w:ascii="Arial" w:cs="Arial" w:eastAsia="Arial" w:hAnsi="Arial"/>
          <w:sz w:val="14"/>
          <w:szCs w:val="14"/>
          <w:color w:val="auto"/>
        </w:rPr>
        <w:t xml:space="preserve">The Company’s accounting policy with respect to interest and penalties arising from income tax settlements is to recognize them as part of the provision for income taxes. </w:t>
      </w:r>
      <w:r>
        <w:rPr>
          <w:rFonts w:ascii="Arial" w:cs="Arial" w:eastAsia="Arial" w:hAnsi="Arial"/>
          <w:sz w:val="14"/>
          <w:szCs w:val="14"/>
          <w:b w:val="1"/>
          <w:bCs w:val="1"/>
          <w:color w:val="auto"/>
        </w:rPr>
        <w:t>Share-Based Payments</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recognize compensation expense for all share-based payments based on the fair value of the award on the date of grant. In addition, incremental compensation expense is recognized upon the modification of equity awards.</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issue restricted stock and incentive stock option awards to employees, directors and consultants. Compensation expense for restricted equity awards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 and Goodwill</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68" w:name="page69"/>
    <w:bookmarkEnd w:id="68"/>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w w:val="89"/>
              </w:rPr>
              <w:t>Year ended December 31, 2021 compared to year ended December 31, 2020</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00" w:type="dxa"/>
            <w:vAlign w:val="bottom"/>
          </w:tcPr>
          <w:p>
            <w:pPr>
              <w:spacing w:after="0"/>
              <w:rPr>
                <w:sz w:val="24"/>
                <w:szCs w:val="24"/>
                <w:color w:val="auto"/>
              </w:rPr>
            </w:pPr>
          </w:p>
        </w:tc>
        <w:tc>
          <w:tcPr>
            <w:tcW w:w="8920" w:type="dxa"/>
            <w:vAlign w:val="bottom"/>
            <w:gridSpan w:val="10"/>
          </w:tcPr>
          <w:p>
            <w:pPr>
              <w:jc w:val="right"/>
              <w:ind w:right="360"/>
              <w:spacing w:after="0"/>
              <w:rPr>
                <w:sz w:val="20"/>
                <w:szCs w:val="20"/>
                <w:color w:val="auto"/>
              </w:rPr>
            </w:pPr>
            <w:r>
              <w:rPr>
                <w:rFonts w:ascii="Arial" w:cs="Arial" w:eastAsia="Arial" w:hAnsi="Arial"/>
                <w:sz w:val="14"/>
                <w:szCs w:val="14"/>
                <w:color w:val="auto"/>
              </w:rPr>
              <w:t>The following table presents the statements of operations for the years ended December 31, 2021 and 2020:</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2"/>
              </w:rPr>
              <w:t>Years ended December 31,</w:t>
            </w:r>
          </w:p>
        </w:tc>
        <w:tc>
          <w:tcPr>
            <w:tcW w:w="4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ind w:right="8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0"/>
        </w:trPr>
        <w:tc>
          <w:tcPr>
            <w:tcW w:w="100" w:type="dxa"/>
            <w:vAlign w:val="bottom"/>
            <w:tcBorders>
              <w:right w:val="single" w:sz="8" w:color="CCEEFF"/>
            </w:tcBorders>
          </w:tcPr>
          <w:p>
            <w:pPr>
              <w:spacing w:after="0"/>
              <w:rPr>
                <w:sz w:val="14"/>
                <w:szCs w:val="14"/>
                <w:color w:val="auto"/>
              </w:rPr>
            </w:pPr>
          </w:p>
        </w:tc>
        <w:tc>
          <w:tcPr>
            <w:tcW w:w="44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35,985,043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37,441,134</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(1,456,091)</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Cost of products sold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8,811,248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8,653,020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158,228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Selling and marketing</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15,015,424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14,765,465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ind w:right="30"/>
              <w:spacing w:after="0"/>
              <w:rPr>
                <w:sz w:val="20"/>
                <w:szCs w:val="20"/>
                <w:color w:val="auto"/>
              </w:rPr>
            </w:pPr>
            <w:r>
              <w:rPr>
                <w:rFonts w:ascii="Arial" w:cs="Arial" w:eastAsia="Arial" w:hAnsi="Arial"/>
                <w:sz w:val="14"/>
                <w:szCs w:val="14"/>
                <w:color w:val="auto"/>
              </w:rPr>
              <w:t>249,959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5,684,465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5,773,825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9,780,026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10,196,299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(416,273)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4,371,300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4,434,120</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(62,820)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Total costs and expenses</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43,662,463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43,822,729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(160,266)</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Borders>
              <w:right w:val="single" w:sz="8" w:color="CCEEFF"/>
            </w:tcBorders>
          </w:tcPr>
          <w:p>
            <w:pPr>
              <w:spacing w:after="0"/>
              <w:rPr>
                <w:sz w:val="14"/>
                <w:szCs w:val="14"/>
                <w:color w:val="auto"/>
              </w:rPr>
            </w:pPr>
          </w:p>
        </w:tc>
        <w:tc>
          <w:tcPr>
            <w:tcW w:w="4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(7,677,420)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(6,381,595)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(1,295,825)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75,345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(49,264)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2,187,140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2,187,140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(98,031)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(263,627)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165,596</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Borders>
              <w:right w:val="single" w:sz="8" w:color="CCEEFF"/>
            </w:tcBorders>
          </w:tcPr>
          <w:p>
            <w:pPr>
              <w:spacing w:after="0"/>
              <w:rPr>
                <w:sz w:val="14"/>
                <w:szCs w:val="14"/>
                <w:color w:val="auto"/>
              </w:rPr>
            </w:pPr>
          </w:p>
        </w:tc>
        <w:tc>
          <w:tcPr>
            <w:tcW w:w="4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(5,562,230)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(6,569,877)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1,007,647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(34,891)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(55,902)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21,011</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Borders>
              <w:right w:val="single" w:sz="8" w:color="CCEEFF"/>
            </w:tcBorders>
          </w:tcPr>
          <w:p>
            <w:pPr>
              <w:spacing w:after="0"/>
              <w:rPr>
                <w:sz w:val="14"/>
                <w:szCs w:val="14"/>
                <w:color w:val="auto"/>
              </w:rPr>
            </w:pPr>
          </w:p>
        </w:tc>
        <w:tc>
          <w:tcPr>
            <w:tcW w:w="4420" w:type="dxa"/>
            <w:vAlign w:val="bottom"/>
            <w:tcBorders>
              <w:bottom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Net income (loss) from continuing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(5,597,121)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(6,625,779)</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1,028,658</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CCEEFF"/>
            </w:tcBorders>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The following table summarizes net revenues for the years presented:</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5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44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00" w:type="dxa"/>
            <w:vAlign w:val="bottom"/>
            <w:tcBorders>
              <w:right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Kristalose</w:t>
            </w:r>
          </w:p>
        </w:tc>
        <w:tc>
          <w:tcPr>
            <w:tcW w:w="1400" w:type="dxa"/>
            <w:vAlign w:val="bottom"/>
            <w:gridSpan w:val="2"/>
          </w:tcPr>
          <w:p>
            <w:pPr>
              <w:jc w:val="right"/>
              <w:ind w:right="113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15,993,658</w:t>
            </w:r>
          </w:p>
        </w:tc>
        <w:tc>
          <w:tcPr>
            <w:tcW w:w="20" w:type="dxa"/>
            <w:vAlign w:val="bottom"/>
          </w:tcPr>
          <w:p>
            <w:pPr>
              <w:spacing w:after="0"/>
              <w:rPr>
                <w:sz w:val="15"/>
                <w:szCs w:val="15"/>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15,567,562</w:t>
            </w:r>
          </w:p>
        </w:tc>
        <w:tc>
          <w:tcPr>
            <w:tcW w:w="10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426,096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Vibativ</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11,704,062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10,870,990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833,072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Caldolor</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4,970,301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5,336,943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(366,642)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Acetadote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850,993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1,874,206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(1,023,213)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Omeclamox-Pak</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(388,657)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257,088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(645,745)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Vaprisol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1,859,581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1,077,227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782,354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RediTrex</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55,321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856,657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(801,336)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939,784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1,600,461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(660,677)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Pr>
          <w:p>
            <w:pPr>
              <w:ind w:left="520"/>
              <w:spacing w:after="0" w:line="159" w:lineRule="exact"/>
              <w:rPr>
                <w:sz w:val="20"/>
                <w:szCs w:val="20"/>
                <w:color w:val="auto"/>
              </w:rPr>
            </w:pPr>
            <w:r>
              <w:rPr>
                <w:rFonts w:ascii="Arial" w:cs="Arial" w:eastAsia="Arial" w:hAnsi="Arial"/>
                <w:sz w:val="14"/>
                <w:szCs w:val="14"/>
                <w:color w:val="auto"/>
              </w:rPr>
              <w:t>Total net revenues</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ind w:right="113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35,985,043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37,441,134</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(1,456,091)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Net revenues. </w:t>
      </w:r>
      <w:r>
        <w:rPr>
          <w:rFonts w:ascii="Arial" w:cs="Arial" w:eastAsia="Arial" w:hAnsi="Arial"/>
          <w:sz w:val="14"/>
          <w:szCs w:val="14"/>
          <w:color w:val="auto"/>
        </w:rPr>
        <w:t>Net revenues for the year ended December 31, 2021 were approximately $36.0 million compared to $37.4 million for the year ended December 31, 2020, representing a decrease of $1.5</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or 3.9%. As detailed in the table above, net revenue increased during the 2021 period for three of our marketed products: Kristalose, Vibativ and Vaprisol. The improvement was led by Vibativ which delivered $0.8 million in revenue growth, followed by Vaprisol, which delivered an additional $0.8 million during 2021 compared to 2020. Our largest product, Kristalose, contributed $0.4 million in incremental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These increases were offset by decreased net sales of Caldolor, Acetadote, Omeclamox-Pak and RediTrex.</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returned the exclusive rights to commercialize Ethyol and Totect in the United States to Clinigen effective January 1, 2020. In exchange for the return of these product license rights and associated non-compete provision, Cumberland received $5 million in financial consideration paid over the two-years following the return date. The final four installments totaling $2.0 million due from Clinigen were recorded during the year ended December 31, 2021, as discontinued operations. We do not incur expenses associated with these payments from Clinigen.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Kristalose revenue increased by $0.4 million, or 2.7%, compared to December 31, 2020 primarily as a result of improved sales volume for the product.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Vibativ revenue was $11.7 million compared to $10.9 million in the prior year. This $0.8 million or 7.7% increase in net revenue was a result of improved sales volume for the product.</w:t>
      </w:r>
    </w:p>
    <w:p>
      <w:pPr>
        <w:spacing w:after="0" w:line="124"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Caldolor revenue experienced a 6.9% decrease to $5.0 million during the year ended December 31, 2021 compared to $5.3 million in the same period last year. This decrease in Caldolor revenue for the year ended December 31, 2021 was the result of lower domestic shipments of the product, significantly impacted by COVID-19 and a reduction in elective surgeries.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Vaprisol revenue increased $0.8 million during the year ended December 31, 2021 compared to the prior year period due primarily to increased sales of the product.</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Acetadote revenue included net sales of our branded product and our share of net sales from our Authorized Generic. For the year ended December 31, 2021, the Acetadote net revenue decreased $1.0 million compared to the prior year due to a reduction in sales volume, primarily impacting the Authorized Generic.</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Omeclamox-Pak revenue decreased $0.6 million during the year ended December 31, 2021 compared to the prior year. The decrease was due to ownership changes at our packager which resulted in a tempoary out of stock situation.</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Reditrex revenue decreased $0.8 million in 2021 compared to 2020. Our wholesale customers initially stocked the product in Q420, but we delayed the launch until October 2021 due to pandemic delays and supply issues.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Cost of products sold</w:t>
      </w:r>
      <w:r>
        <w:rPr>
          <w:rFonts w:ascii="Arial" w:cs="Arial" w:eastAsia="Arial" w:hAnsi="Arial"/>
          <w:sz w:val="14"/>
          <w:szCs w:val="14"/>
          <w:color w:val="auto"/>
        </w:rPr>
        <w:t>. Cost of products sold for the year ended December 31, 2021 were $8.8 million compared to $8.7 million in the prior year. As a percentage of net revenues, cost of products sold</w:t>
      </w:r>
      <w:r>
        <w:rPr>
          <w:rFonts w:ascii="Arial" w:cs="Arial" w:eastAsia="Arial" w:hAnsi="Arial"/>
          <w:sz w:val="14"/>
          <w:szCs w:val="14"/>
          <w:i w:val="1"/>
          <w:iCs w:val="1"/>
          <w:color w:val="auto"/>
        </w:rPr>
        <w:t xml:space="preserve"> </w:t>
      </w:r>
      <w:r>
        <w:rPr>
          <w:rFonts w:ascii="Arial" w:cs="Arial" w:eastAsia="Arial" w:hAnsi="Arial"/>
          <w:sz w:val="14"/>
          <w:szCs w:val="14"/>
          <w:color w:val="auto"/>
        </w:rPr>
        <w:t>were 24.5% compared to 23.1% during the prior year. This change in costs of products sold as a percentage of revenue was attributable to a change in the product sales mix, particularly the increase in sales of Vibativ. The Vibativ inventory sold during the period was acquired and paid for by Cumberland as part of the acquisition of the brand during 2018. The increase in costs of product sold expense was due to the write off of expired inventory.</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and marketing</w:t>
      </w:r>
      <w:r>
        <w:rPr>
          <w:rFonts w:ascii="Arial" w:cs="Arial" w:eastAsia="Arial" w:hAnsi="Arial"/>
          <w:sz w:val="13"/>
          <w:szCs w:val="13"/>
          <w:color w:val="auto"/>
        </w:rPr>
        <w:t>. Selling and marketing expense for the year ended December 31, 2021 were $15.0 million compared to $14.8 million in the prior year, which was an increase of $0.2 million.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This increase was primarily a result of increases in direct promotional spending.</w:t>
      </w:r>
    </w:p>
    <w:p>
      <w:pPr>
        <w:spacing w:after="0" w:line="103" w:lineRule="exact"/>
        <w:rPr>
          <w:sz w:val="20"/>
          <w:szCs w:val="20"/>
          <w:color w:val="auto"/>
        </w:rPr>
      </w:pPr>
    </w:p>
    <w:p>
      <w:pPr>
        <w:jc w:val="both"/>
        <w:spacing w:after="0" w:line="329" w:lineRule="auto"/>
        <w:rPr>
          <w:sz w:val="20"/>
          <w:szCs w:val="20"/>
          <w:color w:val="auto"/>
        </w:rPr>
      </w:pPr>
      <w:r>
        <w:rPr>
          <w:rFonts w:ascii="Arial" w:cs="Arial" w:eastAsia="Arial" w:hAnsi="Arial"/>
          <w:sz w:val="12"/>
          <w:szCs w:val="12"/>
          <w:i w:val="1"/>
          <w:iCs w:val="1"/>
          <w:color w:val="auto"/>
        </w:rPr>
        <w:t>Research and development</w:t>
      </w:r>
      <w:r>
        <w:rPr>
          <w:rFonts w:ascii="Arial" w:cs="Arial" w:eastAsia="Arial" w:hAnsi="Arial"/>
          <w:sz w:val="12"/>
          <w:szCs w:val="12"/>
          <w:color w:val="auto"/>
        </w:rPr>
        <w:t>. Research and development costs for the year ended December 31, 2021 were $5.7 million, compared to $5.8 million last year, representing a decrease of $0.1 million. A</w:t>
      </w:r>
      <w:r>
        <w:rPr>
          <w:rFonts w:ascii="Arial" w:cs="Arial" w:eastAsia="Arial" w:hAnsi="Arial"/>
          <w:sz w:val="12"/>
          <w:szCs w:val="12"/>
          <w:i w:val="1"/>
          <w:iCs w:val="1"/>
          <w:color w:val="auto"/>
        </w:rPr>
        <w:t xml:space="preserve"> </w:t>
      </w:r>
      <w:r>
        <w:rPr>
          <w:rFonts w:ascii="Arial" w:cs="Arial" w:eastAsia="Arial" w:hAnsi="Arial"/>
          <w:sz w:val="12"/>
          <w:szCs w:val="12"/>
          <w:color w:val="auto"/>
        </w:rPr>
        <w:t>portion of our research and development costs is variable based on the number of trials, study sites, number of patients and the cost per patient in each of our clinical programs. We continue to fund our ongoing clinical initiatives associated with our pipeline products. During 2021, we experienced a decrease in study activity which was partially offset by increases in our annual FDA user fees.</w:t>
      </w:r>
    </w:p>
    <w:p>
      <w:pPr>
        <w:spacing w:after="0" w:line="5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for the year ended December 31, 2021 were $9.8 million compared to $10.2 million in the prior year. The decrease resulted from a</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 in legal and professional fees as well as lower stock based compensation during the period partially offset by corporate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9"/>
        </w:trPr>
        <w:tc>
          <w:tcPr>
            <w:tcW w:w="2200" w:type="dxa"/>
            <w:vAlign w:val="bottom"/>
          </w:tcPr>
          <w:p>
            <w:pPr>
              <w:spacing w:after="0"/>
              <w:rPr>
                <w:sz w:val="15"/>
                <w:szCs w:val="15"/>
                <w:color w:val="auto"/>
              </w:rPr>
            </w:pPr>
          </w:p>
        </w:tc>
        <w:tc>
          <w:tcPr>
            <w:tcW w:w="7160" w:type="dxa"/>
            <w:vAlign w:val="bottom"/>
            <w:gridSpan w:val="4"/>
          </w:tcPr>
          <w:p>
            <w:pPr>
              <w:ind w:left="400"/>
              <w:spacing w:after="0"/>
              <w:rPr>
                <w:sz w:val="20"/>
                <w:szCs w:val="20"/>
                <w:color w:val="auto"/>
              </w:rPr>
            </w:pPr>
            <w:r>
              <w:rPr>
                <w:rFonts w:ascii="Arial" w:cs="Arial" w:eastAsia="Arial" w:hAnsi="Arial"/>
                <w:sz w:val="14"/>
                <w:szCs w:val="14"/>
                <w:color w:val="auto"/>
              </w:rPr>
              <w:t>The components of the statements of operations discussed above reflect the following impacts from Vibativ:</w:t>
            </w: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59"/>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Financial Impact of Vibativ</w:t>
            </w:r>
          </w:p>
        </w:tc>
        <w:tc>
          <w:tcPr>
            <w:tcW w:w="5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Years ended December 31,</w:t>
            </w:r>
          </w:p>
        </w:tc>
        <w:tc>
          <w:tcPr>
            <w:tcW w:w="1140" w:type="dxa"/>
            <w:vAlign w:val="bottom"/>
            <w:tcBorders>
              <w:bottom w:val="single" w:sz="8" w:color="auto"/>
            </w:tcBorders>
          </w:tcPr>
          <w:p>
            <w:pPr>
              <w:spacing w:after="0"/>
              <w:rPr>
                <w:sz w:val="24"/>
                <w:szCs w:val="24"/>
                <w:color w:val="auto"/>
              </w:rPr>
            </w:pPr>
          </w:p>
        </w:tc>
      </w:tr>
      <w:tr>
        <w:trPr>
          <w:trHeight w:val="170"/>
        </w:trPr>
        <w:tc>
          <w:tcPr>
            <w:tcW w:w="2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750"/>
              <w:spacing w:after="0"/>
              <w:rPr>
                <w:sz w:val="20"/>
                <w:szCs w:val="20"/>
                <w:color w:val="auto"/>
              </w:rPr>
            </w:pPr>
            <w:r>
              <w:rPr>
                <w:rFonts w:ascii="Arial" w:cs="Arial" w:eastAsia="Arial" w:hAnsi="Arial"/>
                <w:sz w:val="14"/>
                <w:szCs w:val="14"/>
                <w:b w:val="1"/>
                <w:bCs w:val="1"/>
                <w:color w:val="auto"/>
                <w:w w:val="96"/>
              </w:rPr>
              <w:t>2020</w:t>
            </w:r>
          </w:p>
        </w:tc>
      </w:tr>
      <w:tr>
        <w:trPr>
          <w:trHeight w:val="17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6260" w:type="dxa"/>
            <w:vAlign w:val="bottom"/>
            <w:gridSpan w:val="2"/>
            <w:shd w:val="clear" w:color="auto" w:fill="CCEEFF"/>
          </w:tcPr>
          <w:p>
            <w:pPr>
              <w:jc w:val="right"/>
              <w:ind w:right="99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11,704,062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10,870,990</w:t>
            </w:r>
          </w:p>
        </w:tc>
      </w:tr>
      <w:tr>
        <w:trPr>
          <w:trHeight w:val="179"/>
        </w:trPr>
        <w:tc>
          <w:tcPr>
            <w:tcW w:w="2200" w:type="dxa"/>
            <w:vAlign w:val="bottom"/>
          </w:tcPr>
          <w:p>
            <w:pPr>
              <w:ind w:left="20"/>
              <w:spacing w:after="0" w:line="179" w:lineRule="exact"/>
              <w:rPr>
                <w:sz w:val="20"/>
                <w:szCs w:val="20"/>
                <w:color w:val="auto"/>
              </w:rPr>
            </w:pPr>
            <w:r>
              <w:rPr>
                <w:rFonts w:ascii="Arial" w:cs="Arial" w:eastAsia="Arial" w:hAnsi="Arial"/>
                <w:sz w:val="14"/>
                <w:szCs w:val="14"/>
                <w:color w:val="auto"/>
              </w:rPr>
              <w:t xml:space="preserve">Cost of products sold </w:t>
            </w:r>
            <w:r>
              <w:rPr>
                <w:rFonts w:ascii="Arial" w:cs="Arial" w:eastAsia="Arial" w:hAnsi="Arial"/>
                <w:sz w:val="18"/>
                <w:szCs w:val="18"/>
                <w:color w:val="auto"/>
                <w:vertAlign w:val="superscript"/>
              </w:rPr>
              <w:t>(1)</w:t>
            </w:r>
          </w:p>
        </w:tc>
        <w:tc>
          <w:tcPr>
            <w:tcW w:w="5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4,814,464</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3,366,201</w:t>
            </w:r>
          </w:p>
        </w:tc>
      </w:tr>
      <w:tr>
        <w:trPr>
          <w:trHeight w:val="17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Royalty and operating expenses</w:t>
            </w:r>
          </w:p>
        </w:tc>
        <w:tc>
          <w:tcPr>
            <w:tcW w:w="51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2,011,458</w:t>
            </w: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1,952,348</w:t>
            </w:r>
          </w:p>
        </w:tc>
      </w:tr>
      <w:tr>
        <w:trPr>
          <w:trHeight w:val="170"/>
        </w:trPr>
        <w:tc>
          <w:tcPr>
            <w:tcW w:w="2200" w:type="dxa"/>
            <w:vAlign w:val="bottom"/>
          </w:tcPr>
          <w:p>
            <w:pPr>
              <w:ind w:left="20"/>
              <w:spacing w:after="0" w:line="159" w:lineRule="exact"/>
              <w:rPr>
                <w:sz w:val="20"/>
                <w:szCs w:val="20"/>
                <w:color w:val="auto"/>
              </w:rPr>
            </w:pPr>
            <w:r>
              <w:rPr>
                <w:rFonts w:ascii="Arial" w:cs="Arial" w:eastAsia="Arial" w:hAnsi="Arial"/>
                <w:sz w:val="14"/>
                <w:szCs w:val="14"/>
                <w:color w:val="auto"/>
              </w:rPr>
              <w:t>Vibativ contribution</w:t>
            </w:r>
          </w:p>
        </w:tc>
        <w:tc>
          <w:tcPr>
            <w:tcW w:w="5120" w:type="dxa"/>
            <w:vAlign w:val="bottom"/>
          </w:tcPr>
          <w:p>
            <w:pPr>
              <w:spacing w:after="0"/>
              <w:rPr>
                <w:sz w:val="14"/>
                <w:szCs w:val="14"/>
                <w:color w:val="auto"/>
              </w:rPr>
            </w:pPr>
          </w:p>
        </w:tc>
        <w:tc>
          <w:tcPr>
            <w:tcW w:w="1140" w:type="dxa"/>
            <w:vAlign w:val="bottom"/>
            <w:tcBorders>
              <w:bottom w:val="single" w:sz="8" w:color="auto"/>
            </w:tcBorders>
          </w:tcPr>
          <w:p>
            <w:pPr>
              <w:jc w:val="right"/>
              <w:ind w:right="99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4,878,140</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5,552,441</w:t>
            </w:r>
          </w:p>
        </w:tc>
      </w:tr>
      <w:tr>
        <w:trPr>
          <w:trHeight w:val="20"/>
        </w:trPr>
        <w:tc>
          <w:tcPr>
            <w:tcW w:w="2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00" w:hanging="96"/>
        <w:spacing w:after="0"/>
        <w:tabs>
          <w:tab w:leader="none" w:pos="100" w:val="left"/>
        </w:tabs>
        <w:numPr>
          <w:ilvl w:val="0"/>
          <w:numId w:val="32"/>
        </w:numPr>
        <w:rPr>
          <w:rFonts w:ascii="Arial" w:cs="Arial" w:eastAsia="Arial" w:hAnsi="Arial"/>
          <w:sz w:val="11"/>
          <w:szCs w:val="11"/>
          <w:color w:val="auto"/>
          <w:vertAlign w:val="superscript"/>
        </w:rPr>
      </w:pPr>
      <w:r>
        <w:rPr>
          <w:rFonts w:ascii="Arial" w:cs="Arial" w:eastAsia="Arial" w:hAnsi="Arial"/>
          <w:sz w:val="9"/>
          <w:szCs w:val="9"/>
          <w:color w:val="auto"/>
        </w:rPr>
        <w:t>The Vibativ inventory included in the costs of product sold during the period was acquired and paid for by Cumberland as part of the acquisition of the brand during 2018.</w:t>
      </w:r>
    </w:p>
    <w:p>
      <w:pPr>
        <w:spacing w:after="0" w:line="110" w:lineRule="exact"/>
        <w:rPr>
          <w:sz w:val="20"/>
          <w:szCs w:val="20"/>
          <w:color w:val="auto"/>
        </w:rPr>
      </w:pPr>
    </w:p>
    <w:p>
      <w:pPr>
        <w:spacing w:after="0" w:line="278" w:lineRule="auto"/>
        <w:rPr>
          <w:sz w:val="20"/>
          <w:szCs w:val="20"/>
          <w:color w:val="auto"/>
        </w:rPr>
      </w:pPr>
      <w:r>
        <w:rPr>
          <w:rFonts w:ascii="Arial" w:cs="Arial" w:eastAsia="Arial" w:hAnsi="Arial"/>
          <w:sz w:val="14"/>
          <w:szCs w:val="14"/>
          <w:i w:val="1"/>
          <w:iCs w:val="1"/>
          <w:color w:val="auto"/>
        </w:rPr>
        <w:t xml:space="preserve">Amortization. </w:t>
      </w:r>
      <w:r>
        <w:rPr>
          <w:rFonts w:ascii="Arial" w:cs="Arial" w:eastAsia="Arial" w:hAnsi="Arial"/>
          <w:sz w:val="14"/>
          <w:szCs w:val="14"/>
          <w:color w:val="auto"/>
        </w:rPr>
        <w:t>Amortization expenses represent the ratable use of our capitalized intangible assets including product and license rights, patents, trademarks and patent defense costs. Amortization for</w:t>
      </w:r>
      <w:r>
        <w:rPr>
          <w:rFonts w:ascii="Arial" w:cs="Arial" w:eastAsia="Arial" w:hAnsi="Arial"/>
          <w:sz w:val="14"/>
          <w:szCs w:val="14"/>
          <w:i w:val="1"/>
          <w:iCs w:val="1"/>
          <w:color w:val="auto"/>
        </w:rPr>
        <w:t xml:space="preserve"> </w:t>
      </w:r>
      <w:r>
        <w:rPr>
          <w:rFonts w:ascii="Arial" w:cs="Arial" w:eastAsia="Arial" w:hAnsi="Arial"/>
          <w:sz w:val="14"/>
          <w:szCs w:val="14"/>
          <w:color w:val="auto"/>
        </w:rPr>
        <w:t>2021 totaled approximately $4.4 million consistent with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taxes totaled $34,891 for the year ended December 31, 2021 and $55,902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25"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3"/>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w w:val="89"/>
              </w:rPr>
              <w:t>Year ended December 31, 2020 compared to year ended December 31, 2019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6780" w:type="dxa"/>
            <w:vAlign w:val="bottom"/>
            <w:gridSpan w:val="7"/>
          </w:tcPr>
          <w:p>
            <w:pPr>
              <w:spacing w:after="0"/>
              <w:rPr>
                <w:sz w:val="20"/>
                <w:szCs w:val="20"/>
                <w:color w:val="auto"/>
              </w:rPr>
            </w:pPr>
            <w:r>
              <w:rPr>
                <w:rFonts w:ascii="Arial" w:cs="Arial" w:eastAsia="Arial" w:hAnsi="Arial"/>
                <w:sz w:val="14"/>
                <w:szCs w:val="14"/>
                <w:color w:val="auto"/>
              </w:rPr>
              <w:t>The following table presents the statements of operations for the years ended December 31, 2020 and 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jc w:val="right"/>
              <w:ind w:right="87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ind w:right="87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0"/>
        </w:trPr>
        <w:tc>
          <w:tcPr>
            <w:tcW w:w="100" w:type="dxa"/>
            <w:vAlign w:val="bottom"/>
            <w:tcBorders>
              <w:right w:val="single" w:sz="8" w:color="CCEEFF"/>
            </w:tcBorders>
          </w:tcPr>
          <w:p>
            <w:pPr>
              <w:spacing w:after="0"/>
              <w:rPr>
                <w:sz w:val="14"/>
                <w:szCs w:val="14"/>
                <w:color w:val="auto"/>
              </w:rPr>
            </w:pPr>
          </w:p>
        </w:tc>
        <w:tc>
          <w:tcPr>
            <w:tcW w:w="44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37,441,134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34,388,295</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3,052,839</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Cost of products sold</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8,653,020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7,421,316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1,231,704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Selling and marketing</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14,765,465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15,277,740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(512,275)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5,773,825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6,868,480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(1,094,655)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10,196,299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9,974,384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ind w:right="30"/>
              <w:spacing w:after="0"/>
              <w:rPr>
                <w:sz w:val="20"/>
                <w:szCs w:val="20"/>
                <w:color w:val="auto"/>
              </w:rPr>
            </w:pPr>
            <w:r>
              <w:rPr>
                <w:rFonts w:ascii="Arial" w:cs="Arial" w:eastAsia="Arial" w:hAnsi="Arial"/>
                <w:sz w:val="14"/>
                <w:szCs w:val="14"/>
                <w:color w:val="auto"/>
              </w:rPr>
              <w:t>221,915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4,434,120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4,134,557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299,563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Total costs and expenses</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43,822,729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43,676,477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146,252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Borders>
              <w:right w:val="single" w:sz="8" w:color="CCEEFF"/>
            </w:tcBorders>
          </w:tcPr>
          <w:p>
            <w:pPr>
              <w:spacing w:after="0"/>
              <w:rPr>
                <w:sz w:val="14"/>
                <w:szCs w:val="14"/>
                <w:color w:val="auto"/>
              </w:rPr>
            </w:pPr>
          </w:p>
        </w:tc>
        <w:tc>
          <w:tcPr>
            <w:tcW w:w="4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(6,381,595)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(9,288,182)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2,906,587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75,345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243,364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(168,019)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(263,627)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(246,186)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(17,441)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Pr>
          <w:p>
            <w:pPr>
              <w:ind w:left="200"/>
              <w:spacing w:after="0" w:line="159" w:lineRule="exact"/>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(6,569,877)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(9,291,004)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jc w:val="right"/>
              <w:ind w:right="30"/>
              <w:spacing w:after="0"/>
              <w:rPr>
                <w:sz w:val="20"/>
                <w:szCs w:val="20"/>
                <w:color w:val="auto"/>
              </w:rPr>
            </w:pPr>
            <w:r>
              <w:rPr>
                <w:rFonts w:ascii="Arial" w:cs="Arial" w:eastAsia="Arial" w:hAnsi="Arial"/>
                <w:sz w:val="14"/>
                <w:szCs w:val="14"/>
                <w:color w:val="auto"/>
              </w:rPr>
              <w:t>2,721,127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(55,902)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79,316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Pr>
          <w:p>
            <w:pPr>
              <w:ind w:left="200"/>
              <w:spacing w:after="0" w:line="159" w:lineRule="exact"/>
              <w:rPr>
                <w:sz w:val="20"/>
                <w:szCs w:val="20"/>
                <w:color w:val="auto"/>
              </w:rPr>
            </w:pPr>
            <w:r>
              <w:rPr>
                <w:rFonts w:ascii="Arial" w:cs="Arial" w:eastAsia="Arial" w:hAnsi="Arial"/>
                <w:sz w:val="14"/>
                <w:szCs w:val="14"/>
                <w:color w:val="auto"/>
              </w:rPr>
              <w:t>Net income (loss) from continuing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(6,625,779)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(9,211,688)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2,585,909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The following table summarizes net revenues for the years presented:</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5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44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00" w:type="dxa"/>
            <w:vAlign w:val="bottom"/>
            <w:tcBorders>
              <w:right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Kristalose</w:t>
            </w:r>
          </w:p>
        </w:tc>
        <w:tc>
          <w:tcPr>
            <w:tcW w:w="560" w:type="dxa"/>
            <w:vAlign w:val="bottom"/>
            <w:gridSpan w:val="2"/>
          </w:tcPr>
          <w:p>
            <w:pPr>
              <w:jc w:val="right"/>
              <w:ind w:right="29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15,567,562</w:t>
            </w:r>
          </w:p>
        </w:tc>
        <w:tc>
          <w:tcPr>
            <w:tcW w:w="20" w:type="dxa"/>
            <w:vAlign w:val="bottom"/>
          </w:tcPr>
          <w:p>
            <w:pPr>
              <w:spacing w:after="0"/>
              <w:rPr>
                <w:sz w:val="15"/>
                <w:szCs w:val="15"/>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12,895,120</w:t>
            </w:r>
          </w:p>
        </w:tc>
        <w:tc>
          <w:tcPr>
            <w:tcW w:w="10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2,672,442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Vibativ</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10,870,990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8,691,550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2,179,440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Caldolor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5,336,943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5,222,282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114,661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Acetadote</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1,874,206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3,824,449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(1,950,243)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Omeclamox-Pak</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257,088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837,829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(580,741)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Vaprisol</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1,077,227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936,615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tcPr>
          <w:p>
            <w:pPr>
              <w:ind w:left="260"/>
              <w:spacing w:after="0"/>
              <w:rPr>
                <w:sz w:val="20"/>
                <w:szCs w:val="20"/>
                <w:color w:val="auto"/>
              </w:rPr>
            </w:pPr>
            <w:r>
              <w:rPr>
                <w:rFonts w:ascii="Arial" w:cs="Arial" w:eastAsia="Arial" w:hAnsi="Arial"/>
                <w:sz w:val="14"/>
                <w:szCs w:val="14"/>
                <w:color w:val="auto"/>
              </w:rPr>
              <w:t>RediTrex</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856,657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856,657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1,600,461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1,980,450</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(379,989)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4420" w:type="dxa"/>
            <w:vAlign w:val="bottom"/>
          </w:tcPr>
          <w:p>
            <w:pPr>
              <w:ind w:left="520"/>
              <w:spacing w:after="0" w:line="159" w:lineRule="exact"/>
              <w:rPr>
                <w:sz w:val="20"/>
                <w:szCs w:val="20"/>
                <w:color w:val="auto"/>
              </w:rPr>
            </w:pPr>
            <w:r>
              <w:rPr>
                <w:rFonts w:ascii="Arial" w:cs="Arial" w:eastAsia="Arial" w:hAnsi="Arial"/>
                <w:sz w:val="14"/>
                <w:szCs w:val="14"/>
                <w:color w:val="auto"/>
              </w:rPr>
              <w:t>Total net revenues</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37,441,134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34,388,295</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3,052,839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Net revenues. </w:t>
      </w:r>
      <w:r>
        <w:rPr>
          <w:rFonts w:ascii="Arial" w:cs="Arial" w:eastAsia="Arial" w:hAnsi="Arial"/>
          <w:sz w:val="14"/>
          <w:szCs w:val="14"/>
          <w:color w:val="auto"/>
        </w:rPr>
        <w:t>Net revenues for the year ended December 31, 2020 were approximately $37.4 million compared to $34.4 million for the year ended December 31, 2019, representing an increase of $3.1</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or 8.9%. As detailed in the table above, net revenue increased during the 2020 period for four of our marketed products: Kristalose, Vibativ, Caldolor and Vaprisol. The improvement was led by largest product, Kristalose which delivered $2.7 million in revenue growth, followed by Vibativ, which delivered an additional $2.2 million during 2020 compared to 2019. Our newest product, at the time, RediTrex, contributed $0.9 million in incremental revenue during the year.</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These increases were partially offset by decreased net product sales of Acetadote and Omeclamox-Pak.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3"/>
          <w:szCs w:val="13"/>
          <w:color w:val="auto"/>
        </w:rPr>
        <w:t>We returned the exclusive rights to commercialize Ethyol and Totect in the United States to Clinigen effective January 1, 2020. As a result, the 2019 revenues and expenses associated with the products are combined and reclassified into discontinued operations in our financial statements. In exchange for the return of these product license rights and associated non-compete provision, Cumberland is receiving $5 million in financial consideration paid over the two-years following the return date. The first four installments totaling $3.0 million due from Clinigen were recorded during the year ended December 31, 2020, as discontinued operations. We do not incur expenses associated with these payments from Clinigen.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Kristalose revenue increased by $2.7 million, or 20.7%, compared to December 31, 2019 primarily as a result of improved sales volume for the product.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Vibativ revenue was $10.9 million compared to $8.7 million in the prior year. This $2.2 million or 25.1% increase in net revenue was a result of improved sales volume for the product.</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Caldolor revenue experienced a 2.2% increase to $5.3 million during the year ended December 31, 2020 compared to $5.2 million in the same period in the prior year. This increase in Caldolor revenue for the year ended December 31, 2020 was the result of an increase in international shipments when compared to the prior year, which were partially offset by lower domestic shipments of the product, significantly impacted by COVID-19 and a reduction in elective surgeries.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Vaprisol revenue increased $0.1 million during the year ended December 31, 2020 compared to the prior year period due primarily to increased sales of the product.</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Acetadote revenue included net sales of our branded product and our share of net sales from our Authorized Generic. For the year ended December 31, 2020, the Acetadote net revenue decreased $2.0 million compared to the prior year due to a reduction in sales volume, primarily impacting the Authorized Generic.</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Omeclamox-Pak revenue decreased $0.6 million during the year ended December 31, 2020 compared to the prior year. The decrease was largely the result of decreased sales volume, which were negatively impacted by COVID-19.</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i w:val="1"/>
          <w:iCs w:val="1"/>
          <w:color w:val="auto"/>
        </w:rPr>
        <w:t>Cost of products sold</w:t>
      </w:r>
      <w:r>
        <w:rPr>
          <w:rFonts w:ascii="Arial" w:cs="Arial" w:eastAsia="Arial" w:hAnsi="Arial"/>
          <w:sz w:val="13"/>
          <w:szCs w:val="13"/>
          <w:color w:val="auto"/>
        </w:rPr>
        <w:t>. Cost of products sold for the year ended December 31, 2020 were $8.7 million compared to $7.4 million in the prior year. As a percentage of net revenues, cost of products sold</w:t>
      </w:r>
      <w:r>
        <w:rPr>
          <w:rFonts w:ascii="Arial" w:cs="Arial" w:eastAsia="Arial" w:hAnsi="Arial"/>
          <w:sz w:val="13"/>
          <w:szCs w:val="13"/>
          <w:i w:val="1"/>
          <w:iCs w:val="1"/>
          <w:color w:val="auto"/>
        </w:rPr>
        <w:t xml:space="preserve"> </w:t>
      </w:r>
      <w:r>
        <w:rPr>
          <w:rFonts w:ascii="Arial" w:cs="Arial" w:eastAsia="Arial" w:hAnsi="Arial"/>
          <w:sz w:val="13"/>
          <w:szCs w:val="13"/>
          <w:color w:val="auto"/>
        </w:rPr>
        <w:t>were 23.1% compared to 21.6% during the prior year. This change in costs of products sold as a percentage of revenue was attributable to a change in the product sales mix, particularly the increase in sales of Vibativ. The Vibativ inventory sold during the period was acquired and paid for by Cumberland as part of the acquisition of the brand during 2018. The increase in costs of product sold expense was also the result of a step up in the fair value of the inventory over the cost to Theravance, as required under purchase accounting rules.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 for the year ended December 31, 2020 were $14.8 million compared to $15.3 million in the prior year, which was a decrease of $0.5 million. This</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 was primarily a result of decreases in direct promotional spending, meeting costs and travel expenses. These decreases were partially offset by increases in salaries as well as increases in royalty costs associated with growth in Vibativ sales during the period.</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Research and development costs for the year ended December 31, 2020 were $5.8 million, compared to $6.9 million in the prior year, representing a decrease of $1.1</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A portion of our research and development costs is variable based on the number of trials, study sites, number of patients and the cost per patient in each of our clinical programs. We continue to fund our ongoing clinical initiatives associated with our pipeline products. During 2020, we experienced a decrease in study activity which was partially offset by increases in our annual FDA user fees.</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for the year ended December 31, 2020 were $10.2 million compared to $10.0 million in the prior year. The increase resulted from an</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legal and professional fees partially offset by lower stock based compensation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7"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9"/>
        </w:trPr>
        <w:tc>
          <w:tcPr>
            <w:tcW w:w="420" w:type="dxa"/>
            <w:vAlign w:val="bottom"/>
          </w:tcPr>
          <w:p>
            <w:pPr>
              <w:spacing w:after="0"/>
              <w:rPr>
                <w:sz w:val="20"/>
                <w:szCs w:val="20"/>
                <w:color w:val="auto"/>
              </w:rPr>
            </w:pPr>
            <w:r>
              <w:rPr>
                <w:rFonts w:ascii="Arial" w:cs="Arial" w:eastAsia="Arial" w:hAnsi="Arial"/>
                <w:sz w:val="14"/>
                <w:szCs w:val="14"/>
                <w:color w:val="auto"/>
              </w:rPr>
              <w:t>The</w:t>
            </w:r>
          </w:p>
        </w:tc>
        <w:tc>
          <w:tcPr>
            <w:tcW w:w="1280" w:type="dxa"/>
            <w:vAlign w:val="bottom"/>
          </w:tcPr>
          <w:p>
            <w:pPr>
              <w:ind w:left="200"/>
              <w:spacing w:after="0"/>
              <w:rPr>
                <w:sz w:val="20"/>
                <w:szCs w:val="20"/>
                <w:color w:val="auto"/>
              </w:rPr>
            </w:pPr>
            <w:r>
              <w:rPr>
                <w:rFonts w:ascii="Arial" w:cs="Arial" w:eastAsia="Arial" w:hAnsi="Arial"/>
                <w:sz w:val="14"/>
                <w:szCs w:val="14"/>
                <w:color w:val="auto"/>
              </w:rPr>
              <w:t>components</w:t>
            </w:r>
          </w:p>
        </w:tc>
        <w:tc>
          <w:tcPr>
            <w:tcW w:w="340" w:type="dxa"/>
            <w:vAlign w:val="bottom"/>
          </w:tcPr>
          <w:p>
            <w:pPr>
              <w:ind w:left="20"/>
              <w:spacing w:after="0"/>
              <w:rPr>
                <w:sz w:val="20"/>
                <w:szCs w:val="20"/>
                <w:color w:val="auto"/>
              </w:rPr>
            </w:pPr>
            <w:r>
              <w:rPr>
                <w:rFonts w:ascii="Arial" w:cs="Arial" w:eastAsia="Arial" w:hAnsi="Arial"/>
                <w:sz w:val="14"/>
                <w:szCs w:val="14"/>
                <w:color w:val="auto"/>
              </w:rPr>
              <w:t>of</w:t>
            </w:r>
          </w:p>
        </w:tc>
        <w:tc>
          <w:tcPr>
            <w:tcW w:w="580" w:type="dxa"/>
            <w:vAlign w:val="bottom"/>
          </w:tcPr>
          <w:p>
            <w:pPr>
              <w:ind w:left="200"/>
              <w:spacing w:after="0"/>
              <w:rPr>
                <w:sz w:val="20"/>
                <w:szCs w:val="20"/>
                <w:color w:val="auto"/>
              </w:rPr>
            </w:pPr>
            <w:r>
              <w:rPr>
                <w:rFonts w:ascii="Arial" w:cs="Arial" w:eastAsia="Arial" w:hAnsi="Arial"/>
                <w:sz w:val="14"/>
                <w:szCs w:val="14"/>
                <w:color w:val="auto"/>
              </w:rPr>
              <w:t>the</w:t>
            </w:r>
          </w:p>
        </w:tc>
        <w:tc>
          <w:tcPr>
            <w:tcW w:w="980" w:type="dxa"/>
            <w:vAlign w:val="bottom"/>
          </w:tcPr>
          <w:p>
            <w:pPr>
              <w:ind w:left="200"/>
              <w:spacing w:after="0"/>
              <w:rPr>
                <w:sz w:val="20"/>
                <w:szCs w:val="20"/>
                <w:color w:val="auto"/>
              </w:rPr>
            </w:pPr>
            <w:r>
              <w:rPr>
                <w:rFonts w:ascii="Arial" w:cs="Arial" w:eastAsia="Arial" w:hAnsi="Arial"/>
                <w:sz w:val="14"/>
                <w:szCs w:val="14"/>
                <w:color w:val="auto"/>
              </w:rPr>
              <w:t>statements</w:t>
            </w:r>
          </w:p>
        </w:tc>
        <w:tc>
          <w:tcPr>
            <w:tcW w:w="540" w:type="dxa"/>
            <w:vAlign w:val="bottom"/>
          </w:tcPr>
          <w:p>
            <w:pPr>
              <w:ind w:left="220"/>
              <w:spacing w:after="0"/>
              <w:rPr>
                <w:sz w:val="20"/>
                <w:szCs w:val="20"/>
                <w:color w:val="auto"/>
              </w:rPr>
            </w:pPr>
            <w:r>
              <w:rPr>
                <w:rFonts w:ascii="Arial" w:cs="Arial" w:eastAsia="Arial" w:hAnsi="Arial"/>
                <w:sz w:val="14"/>
                <w:szCs w:val="14"/>
                <w:color w:val="auto"/>
              </w:rPr>
              <w:t>of</w:t>
            </w:r>
          </w:p>
        </w:tc>
        <w:tc>
          <w:tcPr>
            <w:tcW w:w="980" w:type="dxa"/>
            <w:vAlign w:val="bottom"/>
          </w:tcPr>
          <w:p>
            <w:pPr>
              <w:ind w:left="200"/>
              <w:spacing w:after="0"/>
              <w:rPr>
                <w:sz w:val="20"/>
                <w:szCs w:val="20"/>
                <w:color w:val="auto"/>
              </w:rPr>
            </w:pPr>
            <w:r>
              <w:rPr>
                <w:rFonts w:ascii="Arial" w:cs="Arial" w:eastAsia="Arial" w:hAnsi="Arial"/>
                <w:sz w:val="14"/>
                <w:szCs w:val="14"/>
                <w:color w:val="auto"/>
              </w:rPr>
              <w:t>operations</w:t>
            </w:r>
          </w:p>
        </w:tc>
        <w:tc>
          <w:tcPr>
            <w:tcW w:w="940" w:type="dxa"/>
            <w:vAlign w:val="bottom"/>
          </w:tcPr>
          <w:p>
            <w:pPr>
              <w:ind w:left="200"/>
              <w:spacing w:after="0"/>
              <w:rPr>
                <w:sz w:val="20"/>
                <w:szCs w:val="20"/>
                <w:color w:val="auto"/>
              </w:rPr>
            </w:pPr>
            <w:r>
              <w:rPr>
                <w:rFonts w:ascii="Arial" w:cs="Arial" w:eastAsia="Arial" w:hAnsi="Arial"/>
                <w:sz w:val="14"/>
                <w:szCs w:val="14"/>
                <w:color w:val="auto"/>
              </w:rPr>
              <w:t>discussed</w:t>
            </w:r>
          </w:p>
        </w:tc>
        <w:tc>
          <w:tcPr>
            <w:tcW w:w="740" w:type="dxa"/>
            <w:vAlign w:val="bottom"/>
          </w:tcPr>
          <w:p>
            <w:pPr>
              <w:ind w:left="200"/>
              <w:spacing w:after="0"/>
              <w:rPr>
                <w:sz w:val="20"/>
                <w:szCs w:val="20"/>
                <w:color w:val="auto"/>
              </w:rPr>
            </w:pPr>
            <w:r>
              <w:rPr>
                <w:rFonts w:ascii="Arial" w:cs="Arial" w:eastAsia="Arial" w:hAnsi="Arial"/>
                <w:sz w:val="14"/>
                <w:szCs w:val="14"/>
                <w:color w:val="auto"/>
              </w:rPr>
              <w:t>above</w:t>
            </w:r>
          </w:p>
        </w:tc>
        <w:tc>
          <w:tcPr>
            <w:tcW w:w="780" w:type="dxa"/>
            <w:vAlign w:val="bottom"/>
            <w:gridSpan w:val="2"/>
          </w:tcPr>
          <w:p>
            <w:pPr>
              <w:jc w:val="right"/>
              <w:ind w:right="150"/>
              <w:spacing w:after="0"/>
              <w:rPr>
                <w:sz w:val="20"/>
                <w:szCs w:val="20"/>
                <w:color w:val="auto"/>
              </w:rPr>
            </w:pPr>
            <w:r>
              <w:rPr>
                <w:rFonts w:ascii="Arial" w:cs="Arial" w:eastAsia="Arial" w:hAnsi="Arial"/>
                <w:sz w:val="14"/>
                <w:szCs w:val="14"/>
                <w:color w:val="auto"/>
              </w:rPr>
              <w:t>reflect</w:t>
            </w:r>
          </w:p>
        </w:tc>
        <w:tc>
          <w:tcPr>
            <w:tcW w:w="460" w:type="dxa"/>
            <w:vAlign w:val="bottom"/>
          </w:tcPr>
          <w:p>
            <w:pPr>
              <w:ind w:left="200"/>
              <w:spacing w:after="0"/>
              <w:rPr>
                <w:sz w:val="20"/>
                <w:szCs w:val="20"/>
                <w:color w:val="auto"/>
              </w:rPr>
            </w:pPr>
            <w:r>
              <w:rPr>
                <w:rFonts w:ascii="Arial" w:cs="Arial" w:eastAsia="Arial" w:hAnsi="Arial"/>
                <w:sz w:val="14"/>
                <w:szCs w:val="14"/>
                <w:color w:val="auto"/>
              </w:rPr>
              <w:t>the</w:t>
            </w:r>
          </w:p>
        </w:tc>
        <w:tc>
          <w:tcPr>
            <w:tcW w:w="1200" w:type="dxa"/>
            <w:vAlign w:val="bottom"/>
          </w:tcPr>
          <w:p>
            <w:pPr>
              <w:jc w:val="right"/>
              <w:ind w:right="270"/>
              <w:spacing w:after="0"/>
              <w:rPr>
                <w:sz w:val="20"/>
                <w:szCs w:val="20"/>
                <w:color w:val="auto"/>
              </w:rPr>
            </w:pPr>
            <w:r>
              <w:rPr>
                <w:rFonts w:ascii="Arial" w:cs="Arial" w:eastAsia="Arial" w:hAnsi="Arial"/>
                <w:sz w:val="14"/>
                <w:szCs w:val="14"/>
                <w:color w:val="auto"/>
              </w:rPr>
              <w:t>following</w:t>
            </w:r>
          </w:p>
        </w:tc>
        <w:tc>
          <w:tcPr>
            <w:tcW w:w="880" w:type="dxa"/>
            <w:vAlign w:val="bottom"/>
            <w:gridSpan w:val="2"/>
          </w:tcPr>
          <w:p>
            <w:pPr>
              <w:jc w:val="right"/>
              <w:ind w:right="310"/>
              <w:spacing w:after="0"/>
              <w:rPr>
                <w:sz w:val="20"/>
                <w:szCs w:val="20"/>
                <w:color w:val="auto"/>
              </w:rPr>
            </w:pPr>
            <w:r>
              <w:rPr>
                <w:rFonts w:ascii="Arial" w:cs="Arial" w:eastAsia="Arial" w:hAnsi="Arial"/>
                <w:sz w:val="14"/>
                <w:szCs w:val="14"/>
                <w:color w:val="auto"/>
                <w:w w:val="99"/>
              </w:rPr>
              <w:t>impacts</w:t>
            </w:r>
          </w:p>
        </w:tc>
        <w:tc>
          <w:tcPr>
            <w:tcW w:w="440" w:type="dxa"/>
            <w:vAlign w:val="bottom"/>
          </w:tcPr>
          <w:p>
            <w:pPr>
              <w:jc w:val="right"/>
              <w:ind w:right="70"/>
              <w:spacing w:after="0"/>
              <w:rPr>
                <w:sz w:val="20"/>
                <w:szCs w:val="20"/>
                <w:color w:val="auto"/>
              </w:rPr>
            </w:pPr>
            <w:r>
              <w:rPr>
                <w:rFonts w:ascii="Arial" w:cs="Arial" w:eastAsia="Arial" w:hAnsi="Arial"/>
                <w:sz w:val="14"/>
                <w:szCs w:val="14"/>
                <w:color w:val="auto"/>
                <w:w w:val="99"/>
              </w:rPr>
              <w:t>from</w:t>
            </w:r>
          </w:p>
        </w:tc>
        <w:tc>
          <w:tcPr>
            <w:tcW w:w="720" w:type="dxa"/>
            <w:vAlign w:val="bottom"/>
          </w:tcPr>
          <w:p>
            <w:pPr>
              <w:jc w:val="right"/>
              <w:spacing w:after="0"/>
              <w:rPr>
                <w:sz w:val="20"/>
                <w:szCs w:val="20"/>
                <w:color w:val="auto"/>
              </w:rPr>
            </w:pPr>
            <w:r>
              <w:rPr>
                <w:rFonts w:ascii="Arial" w:cs="Arial" w:eastAsia="Arial" w:hAnsi="Arial"/>
                <w:sz w:val="14"/>
                <w:szCs w:val="14"/>
                <w:color w:val="auto"/>
              </w:rPr>
              <w:t>Vibativ:</w:t>
            </w:r>
          </w:p>
        </w:tc>
      </w:tr>
      <w:tr>
        <w:trPr>
          <w:trHeight w:val="200"/>
        </w:trPr>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Financial Impact of Vibativ</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0"/>
        </w:trPr>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75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4"/>
                <w:szCs w:val="14"/>
                <w:color w:val="auto"/>
              </w:rPr>
            </w:pPr>
          </w:p>
        </w:tc>
      </w:tr>
      <w:tr>
        <w:trPr>
          <w:trHeight w:val="17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10,870,990</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8,691,550</w:t>
            </w:r>
          </w:p>
        </w:tc>
      </w:tr>
      <w:tr>
        <w:trPr>
          <w:trHeight w:val="179"/>
        </w:trPr>
        <w:tc>
          <w:tcPr>
            <w:tcW w:w="1700" w:type="dxa"/>
            <w:vAlign w:val="bottom"/>
            <w:gridSpan w:val="2"/>
          </w:tcPr>
          <w:p>
            <w:pPr>
              <w:ind w:left="20"/>
              <w:spacing w:after="0" w:line="179" w:lineRule="exact"/>
              <w:rPr>
                <w:sz w:val="20"/>
                <w:szCs w:val="20"/>
                <w:color w:val="auto"/>
              </w:rPr>
            </w:pPr>
            <w:r>
              <w:rPr>
                <w:rFonts w:ascii="Arial" w:cs="Arial" w:eastAsia="Arial" w:hAnsi="Arial"/>
                <w:sz w:val="14"/>
                <w:szCs w:val="14"/>
                <w:color w:val="auto"/>
              </w:rPr>
              <w:t xml:space="preserve">Cost of products sold </w:t>
            </w:r>
            <w:r>
              <w:rPr>
                <w:rFonts w:ascii="Arial" w:cs="Arial" w:eastAsia="Arial" w:hAnsi="Arial"/>
                <w:sz w:val="18"/>
                <w:szCs w:val="18"/>
                <w:color w:val="auto"/>
                <w:vertAlign w:val="superscript"/>
              </w:rPr>
              <w:t>(1)</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3,366,201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2,716,305</w:t>
            </w:r>
          </w:p>
        </w:tc>
      </w:tr>
      <w:tr>
        <w:trPr>
          <w:trHeight w:val="179"/>
        </w:trPr>
        <w:tc>
          <w:tcPr>
            <w:tcW w:w="2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9"/>
              </w:rPr>
              <w:t>Royalty and operating expenses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1,952,348</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1,609,564</w:t>
            </w:r>
          </w:p>
        </w:tc>
      </w:tr>
      <w:tr>
        <w:trPr>
          <w:trHeight w:val="170"/>
        </w:trPr>
        <w:tc>
          <w:tcPr>
            <w:tcW w:w="17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Vibativ contribution</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5,552,441</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4,365,681</w:t>
            </w:r>
          </w:p>
        </w:tc>
      </w:tr>
      <w:tr>
        <w:trPr>
          <w:trHeight w:val="20"/>
        </w:trPr>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100" w:hanging="96"/>
        <w:spacing w:after="0"/>
        <w:tabs>
          <w:tab w:leader="none" w:pos="100" w:val="left"/>
        </w:tabs>
        <w:numPr>
          <w:ilvl w:val="0"/>
          <w:numId w:val="33"/>
        </w:numPr>
        <w:rPr>
          <w:rFonts w:ascii="Arial" w:cs="Arial" w:eastAsia="Arial" w:hAnsi="Arial"/>
          <w:sz w:val="11"/>
          <w:szCs w:val="11"/>
          <w:color w:val="auto"/>
          <w:vertAlign w:val="superscript"/>
        </w:rPr>
      </w:pPr>
      <w:r>
        <w:rPr>
          <w:rFonts w:ascii="Arial" w:cs="Arial" w:eastAsia="Arial" w:hAnsi="Arial"/>
          <w:sz w:val="9"/>
          <w:szCs w:val="9"/>
          <w:color w:val="auto"/>
        </w:rPr>
        <w:t>The Vibativ inventory included in the costs of product sold during the period was acquired and paid for by Cumberland as part of the acquisition of the brand during 2018.</w:t>
      </w:r>
    </w:p>
    <w:p>
      <w:pPr>
        <w:spacing w:after="0" w:line="110" w:lineRule="exact"/>
        <w:rPr>
          <w:sz w:val="20"/>
          <w:szCs w:val="20"/>
          <w:color w:val="auto"/>
        </w:rPr>
      </w:pPr>
    </w:p>
    <w:p>
      <w:pPr>
        <w:spacing w:after="0" w:line="365" w:lineRule="auto"/>
        <w:rPr>
          <w:sz w:val="20"/>
          <w:szCs w:val="20"/>
          <w:color w:val="auto"/>
        </w:rPr>
      </w:pPr>
      <w:r>
        <w:rPr>
          <w:rFonts w:ascii="Arial" w:cs="Arial" w:eastAsia="Arial" w:hAnsi="Arial"/>
          <w:sz w:val="12"/>
          <w:szCs w:val="12"/>
          <w:i w:val="1"/>
          <w:iCs w:val="1"/>
          <w:color w:val="auto"/>
        </w:rPr>
        <w:t xml:space="preserve">Amortization. </w:t>
      </w:r>
      <w:r>
        <w:rPr>
          <w:rFonts w:ascii="Arial" w:cs="Arial" w:eastAsia="Arial" w:hAnsi="Arial"/>
          <w:sz w:val="12"/>
          <w:szCs w:val="12"/>
          <w:color w:val="auto"/>
        </w:rPr>
        <w:t>Amortization expenses represent the ratable use of our capitalized intangible assets including product and license rights, patents, trademarks and patent defense costs. Amortization for</w:t>
      </w:r>
      <w:r>
        <w:rPr>
          <w:rFonts w:ascii="Arial" w:cs="Arial" w:eastAsia="Arial" w:hAnsi="Arial"/>
          <w:sz w:val="12"/>
          <w:szCs w:val="12"/>
          <w:i w:val="1"/>
          <w:iCs w:val="1"/>
          <w:color w:val="auto"/>
        </w:rPr>
        <w:t xml:space="preserve"> </w:t>
      </w:r>
      <w:r>
        <w:rPr>
          <w:rFonts w:ascii="Arial" w:cs="Arial" w:eastAsia="Arial" w:hAnsi="Arial"/>
          <w:sz w:val="12"/>
          <w:szCs w:val="12"/>
          <w:color w:val="auto"/>
        </w:rPr>
        <w:t>2020 totaled approximately $4.4 million compared to $4.1 million in the prior year. The increase in expense was attributable to the amortization of additional product rights and capitalized patents.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taxes totaled $55,902 for the year ended December 31, 2020 and were an income tax benefit of $79,316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25" w:right="319" w:bottom="1440" w:gutter="0" w:footer="0" w:header="0"/>
        </w:sectPr>
      </w:pPr>
    </w:p>
    <w:bookmarkStart w:id="74" w:name="page75"/>
    <w:bookmarkEnd w:id="74"/>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primary sources of liquidity are cash flows provided by our operations,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2021 and December 31, 2020, all our investments had original maturities of less than ninety days and as a result were classified as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liquidity and working capital as of the years 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2"/>
                <w:szCs w:val="22"/>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w:t>
            </w:r>
          </w:p>
        </w:tc>
        <w:tc>
          <w:tcPr>
            <w:tcW w:w="4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27,040,816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24,753,796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40" w:type="dxa"/>
            <w:vAlign w:val="bottom"/>
            <w:tcBorders>
              <w:right w:val="single" w:sz="8" w:color="CCEEFF"/>
            </w:tcBorders>
          </w:tcPr>
          <w:p>
            <w:pPr>
              <w:spacing w:after="0"/>
              <w:rPr>
                <w:sz w:val="16"/>
                <w:szCs w:val="16"/>
                <w:color w:val="auto"/>
              </w:rPr>
            </w:pPr>
          </w:p>
        </w:tc>
        <w:tc>
          <w:tcPr>
            <w:tcW w:w="4420" w:type="dxa"/>
            <w:vAlign w:val="bottom"/>
            <w:tcBorders>
              <w:bottom w:val="single" w:sz="8" w:color="CCEEFF"/>
            </w:tcBorders>
            <w:shd w:val="clear" w:color="auto" w:fill="CCEEFF"/>
          </w:tcPr>
          <w:p>
            <w:pPr>
              <w:ind w:left="160"/>
              <w:spacing w:after="0" w:line="159" w:lineRule="exact"/>
              <w:rPr>
                <w:sz w:val="20"/>
                <w:szCs w:val="20"/>
                <w:color w:val="auto"/>
              </w:rPr>
            </w:pPr>
            <w:r>
              <w:rPr>
                <w:rFonts w:ascii="Arial" w:cs="Arial" w:eastAsia="Arial" w:hAnsi="Arial"/>
                <w:sz w:val="14"/>
                <w:szCs w:val="14"/>
                <w:color w:val="auto"/>
              </w:rPr>
              <w:t>Total cash and cash equivalents</w:t>
            </w: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27,040,816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24,753,796</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40" w:type="dxa"/>
            <w:vAlign w:val="bottom"/>
            <w:tcBorders>
              <w:right w:val="single" w:sz="8" w:color="CCEEFF"/>
            </w:tcBorders>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 (current assets less current liabilities)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26,409,053</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24,302,146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Current ratio (multiple of current assets to current liabilities)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40" w:type="dxa"/>
            <w:vAlign w:val="bottom"/>
            <w:tcBorders>
              <w:right w:val="single" w:sz="8" w:color="CCEEFF"/>
            </w:tcBorders>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4420" w:type="dxa"/>
            <w:vAlign w:val="bottom"/>
          </w:tcPr>
          <w:p>
            <w:pPr>
              <w:spacing w:after="0" w:line="159" w:lineRule="exact"/>
              <w:rPr>
                <w:sz w:val="20"/>
                <w:szCs w:val="20"/>
                <w:color w:val="auto"/>
              </w:rPr>
            </w:pPr>
            <w:r>
              <w:rPr>
                <w:rFonts w:ascii="Arial" w:cs="Arial" w:eastAsia="Arial" w:hAnsi="Arial"/>
                <w:sz w:val="14"/>
                <w:szCs w:val="14"/>
                <w:color w:val="auto"/>
              </w:rPr>
              <w:t>Revolving line of credit availability</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60" w:type="dxa"/>
            <w:vAlign w:val="bottom"/>
            <w:gridSpan w:val="5"/>
            <w:vMerge w:val="restart"/>
          </w:tcPr>
          <w:p>
            <w:pPr>
              <w:spacing w:after="0"/>
              <w:rPr>
                <w:sz w:val="20"/>
                <w:szCs w:val="20"/>
                <w:color w:val="auto"/>
              </w:rPr>
            </w:pPr>
            <w:r>
              <w:rPr>
                <w:rFonts w:ascii="Arial" w:cs="Arial" w:eastAsia="Arial" w:hAnsi="Arial"/>
                <w:sz w:val="14"/>
                <w:szCs w:val="14"/>
                <w:color w:val="auto"/>
                <w:w w:val="97"/>
              </w:rPr>
              <w:t>The following table summarizes our net changes in cash and cash equivalents for the years ended December 31:</w:t>
            </w: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86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Cash provided by (used in):</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6,342,443</w:t>
            </w: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5,415,061</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3,056,356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420" w:type="dxa"/>
            <w:vAlign w:val="bottom"/>
          </w:tcPr>
          <w:p>
            <w:pPr>
              <w:ind w:left="180"/>
              <w:spacing w:after="0"/>
              <w:rPr>
                <w:sz w:val="20"/>
                <w:szCs w:val="20"/>
                <w:color w:val="auto"/>
              </w:rPr>
            </w:pPr>
            <w:r>
              <w:rPr>
                <w:rFonts w:ascii="Arial" w:cs="Arial" w:eastAsia="Arial" w:hAnsi="Arial"/>
                <w:sz w:val="14"/>
                <w:szCs w:val="14"/>
                <w:color w:val="auto"/>
              </w:rPr>
              <w:t>Investing activities</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(501,893)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(1,757,789)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2,297,848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(3,553,530)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(7,116,111)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(5,080,529)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4420" w:type="dxa"/>
            <w:vAlign w:val="bottom"/>
          </w:tcPr>
          <w:p>
            <w:pPr>
              <w:spacing w:after="0" w:line="117" w:lineRule="exact"/>
              <w:rPr>
                <w:sz w:val="20"/>
                <w:szCs w:val="20"/>
                <w:color w:val="auto"/>
              </w:rPr>
            </w:pPr>
            <w:r>
              <w:rPr>
                <w:rFonts w:ascii="Arial" w:cs="Arial" w:eastAsia="Arial" w:hAnsi="Arial"/>
                <w:sz w:val="13"/>
                <w:szCs w:val="13"/>
                <w:color w:val="auto"/>
              </w:rPr>
              <w:t>Net (decrease) increase in cash and</w:t>
            </w:r>
          </w:p>
        </w:tc>
        <w:tc>
          <w:tcPr>
            <w:tcW w:w="400" w:type="dxa"/>
            <w:vAlign w:val="bottom"/>
            <w:vMerge w:val="restart"/>
          </w:tcPr>
          <w:p>
            <w:pPr>
              <w:jc w:val="right"/>
              <w:ind w:right="250"/>
              <w:spacing w:after="0"/>
              <w:rPr>
                <w:sz w:val="20"/>
                <w:szCs w:val="20"/>
                <w:color w:val="auto"/>
              </w:rPr>
            </w:pPr>
            <w:r>
              <w:rPr>
                <w:rFonts w:ascii="Arial" w:cs="Arial" w:eastAsia="Arial" w:hAnsi="Arial"/>
                <w:sz w:val="14"/>
                <w:szCs w:val="14"/>
                <w:color w:val="auto"/>
                <w:w w:val="76"/>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2,287,020</w:t>
            </w:r>
          </w:p>
        </w:tc>
        <w:tc>
          <w:tcPr>
            <w:tcW w:w="40" w:type="dxa"/>
            <w:vAlign w:val="bottom"/>
          </w:tcPr>
          <w:p>
            <w:pPr>
              <w:spacing w:after="0"/>
              <w:rPr>
                <w:sz w:val="10"/>
                <w:szCs w:val="10"/>
                <w:color w:val="auto"/>
              </w:rPr>
            </w:pPr>
          </w:p>
        </w:tc>
        <w:tc>
          <w:tcPr>
            <w:tcW w:w="4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(3,458,839)</w:t>
            </w:r>
          </w:p>
        </w:tc>
        <w:tc>
          <w:tcPr>
            <w:tcW w:w="100" w:type="dxa"/>
            <w:vAlign w:val="bottom"/>
          </w:tcPr>
          <w:p>
            <w:pPr>
              <w:spacing w:after="0"/>
              <w:rPr>
                <w:sz w:val="10"/>
                <w:szCs w:val="10"/>
                <w:color w:val="auto"/>
              </w:rPr>
            </w:pPr>
          </w:p>
        </w:tc>
        <w:tc>
          <w:tcPr>
            <w:tcW w:w="4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273,675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4420" w:type="dxa"/>
            <w:vAlign w:val="bottom"/>
          </w:tcPr>
          <w:p>
            <w:pPr>
              <w:spacing w:after="0" w:line="158" w:lineRule="exact"/>
              <w:rPr>
                <w:sz w:val="20"/>
                <w:szCs w:val="20"/>
                <w:color w:val="auto"/>
              </w:rPr>
            </w:pPr>
            <w:r>
              <w:rPr>
                <w:rFonts w:ascii="Arial" w:cs="Arial" w:eastAsia="Arial" w:hAnsi="Arial"/>
                <w:sz w:val="14"/>
                <w:szCs w:val="14"/>
                <w:color w:val="auto"/>
              </w:rPr>
              <w:t>cash equivalents</w:t>
            </w:r>
          </w:p>
        </w:tc>
        <w:tc>
          <w:tcPr>
            <w:tcW w:w="4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net $2.3 million increase in cash and cash equivalents for the year ended December 31, 2021 was attributable to cash provided by operating activities partially offset by cash used by investing and financing activities. Cash provided by operating activities of $6.3 million includes a reduction of inventory of $4.8 million, most of which was Vibativ related, and cash payments received of $2.0 million provided by discontinued operations. Cash used by investing activities of $0.5 million was the result of additions to intangibles of $0.3 million, additions to property and equipment of $0.1 million and the payment of $0.2 million to the WHC joint venture. Our financing activities included payments of $2.2 million of contingent consideration for Vibativ and $1.4 million in cash used to repurchase shares of our common stock.</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As noted above, we continue to repurchase shares of our common stock, as discussed in Part II, Item 5, </w:t>
      </w:r>
      <w:r>
        <w:rPr>
          <w:rFonts w:ascii="Arial" w:cs="Arial" w:eastAsia="Arial" w:hAnsi="Arial"/>
          <w:sz w:val="14"/>
          <w:szCs w:val="14"/>
          <w:i w:val="1"/>
          <w:iCs w:val="1"/>
          <w:color w:val="auto"/>
        </w:rPr>
        <w:t>"Market for Registrant’s Common Equity, Related Stockholder Matters and Issuer Purchases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Securities", </w:t>
      </w:r>
      <w:r>
        <w:rPr>
          <w:rFonts w:ascii="Arial" w:cs="Arial" w:eastAsia="Arial" w:hAnsi="Arial"/>
          <w:sz w:val="14"/>
          <w:szCs w:val="14"/>
          <w:color w:val="auto"/>
        </w:rPr>
        <w:t>of this Form 10-K.</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net $3.5 million decrease in cash and cash equivalents for the year ended December 31, 2020 was attributable to cash used by investing and financing activities partially offset by cash provided by operating activities. Cash provided by operating activities of $5.4 million included non-cash expense add backs for depreciation and amortization and share-based compensation expense totaling $5.8 million and changes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5" w:name="page76"/>
    <w:bookmarkEnd w:id="75"/>
    <w:p>
      <w:pPr>
        <w:jc w:val="both"/>
        <w:spacing w:after="0" w:line="286" w:lineRule="auto"/>
        <w:rPr>
          <w:sz w:val="20"/>
          <w:szCs w:val="20"/>
          <w:color w:val="auto"/>
        </w:rPr>
      </w:pPr>
      <w:r>
        <w:rPr>
          <w:rFonts w:ascii="Arial" w:cs="Arial" w:eastAsia="Arial" w:hAnsi="Arial"/>
          <w:sz w:val="13"/>
          <w:szCs w:val="13"/>
          <w:color w:val="auto"/>
        </w:rPr>
        <w:t>working capital that provided net cash of $5.4 million. The cash provided by operating activities included $3.5 million provided by discontinued operations. This increase was partially offset by a net loss for the period of $6.6 million. Cash used by investing activities of $1.8 million was the result of additions to intangibles of $2.0 million, which included the payment of $1.0 million for product rights, additions to property and equipment of $0.1 million and partially offset by proceeds from the surrender of life insurance of $0.5 million. Our financing activities included a net repayment of $3.5 million under our line of credit net, $1.9 million in cash used to repurchase shares of our common stock as well as the $0.8 million used for the repurchase of a portion of CET's shares.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net $0.3 million increase in cash and cash equivalents for the year ended December 31, 2019 was attributable to cash provided by operating and investing activities offset by cash used in financing activities. Cash provided by operating activities of $3.1 million included non-cash expense add backs for depreciation and amortization and share-based compensation expense totaling $5.9 million. The cash provided by operating activities included $5.5 million provided by discontinued operations. These increases were partially offset by a net loss for the period of $3.5 million. Changes in our working capital provided net cash of $1.6 million. Cash provided by investing activities of $2.3 million included net sales of marketable securities of $8.3 million, partially offset by the $5 million payment to Theravance as part of the acquisition of Vibativ and the addition to intangibles of $0.8 million. Our financing activities included a net repayment of $1.5 million under our line of credit net and $3.5 million in cash used to repurchase shares of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Shelf Registration</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 The Company intends to continue an ATM feature through B. Riley FBR, Inc. that would allow the Company to issue shares of its common stock. The Company did not issue any shares under this ATM during the year ended December 31, 2021.</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December 27, 2021, the Company filed a related prospectus supplement in connection with the sale and issuance of shares having an aggregate gross sales price of up to $19 million. The Company amended the At the Market Sales Agreement on December 27, 2021, in order to allow the Company to continue using its ATM feature to sell shares at market prices. The Company intends to continue an ATM feature through B. Riley FBR, Inc. which allows the Company to issue shares of its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Agreement</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On December 31, 2021, the Company entered into a Fifth Amendment (“Fifth Amendment”) to the Revolving Credit Note and Sixth Amendment to Revolving Credit Loan Agreement with Pinnacle Bank (the Pinnacle Agreement). The Fifth Amendment increased the principal amount by $5 million to $20 million. On October 28, 2021, the Company entered into a Fourth Amendment to the Revolving Credit Note and Fifth Amendment to Revolving Credit Loan Agreement with Pinnacle Bank. Among other terms, the Fourth Amendment extended the maturity date to October 1, 2024.</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Under the Pinnacle Agreement, we were initially subject to one financial covenant, the maintenance of a Funded Debt Ratio.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December 31, 2021 and we expect to maintain compliance with the Tangible Capital Ratio financial covenant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25"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i w:val="1"/>
          <w:iCs w:val="1"/>
          <w:color w:val="auto"/>
        </w:rPr>
        <w:t>Paycheck Protection Program</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4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Under the terms of the PPP, certain amounts of the loan may be forgiven if they are used for qualifying expenses as described in the CARES Act, including qualifying payroll costs, covered rent payments, and covered utilities. From the date of funding we have used the loan amount for such qualifying expenses.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 xml:space="preserve">Cumberland elected to account for the proceeds of the loan as a government grant under </w:t>
      </w:r>
      <w:r>
        <w:rPr>
          <w:rFonts w:ascii="Arial" w:cs="Arial" w:eastAsia="Arial" w:hAnsi="Arial"/>
          <w:sz w:val="13"/>
          <w:szCs w:val="13"/>
          <w:i w:val="1"/>
          <w:iCs w:val="1"/>
          <w:color w:val="auto"/>
        </w:rPr>
        <w:t>International Accounting Standard 20 ("IAS 20"), Accounting for Government Grants and Disclosure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Government Assistance. </w:t>
      </w:r>
      <w:r>
        <w:rPr>
          <w:rFonts w:ascii="Arial" w:cs="Arial" w:eastAsia="Arial" w:hAnsi="Arial"/>
          <w:sz w:val="13"/>
          <w:szCs w:val="13"/>
          <w:color w:val="auto"/>
        </w:rPr>
        <w:t>The permitted analogous use of IAS 20 outlines a model for the accounting for government assistance, including forgivable loans. As a result, the Company recorded the</w:t>
      </w:r>
      <w:r>
        <w:rPr>
          <w:rFonts w:ascii="Arial" w:cs="Arial" w:eastAsia="Arial" w:hAnsi="Arial"/>
          <w:sz w:val="13"/>
          <w:szCs w:val="13"/>
          <w:i w:val="1"/>
          <w:iCs w:val="1"/>
          <w:color w:val="auto"/>
        </w:rPr>
        <w:t xml:space="preserve"> </w:t>
      </w:r>
      <w:r>
        <w:rPr>
          <w:rFonts w:ascii="Arial" w:cs="Arial" w:eastAsia="Arial" w:hAnsi="Arial"/>
          <w:sz w:val="13"/>
          <w:szCs w:val="13"/>
          <w:color w:val="auto"/>
        </w:rPr>
        <w:t>$2,187,140 as a deferred income liability, which was included as a component of other current liabilities on the condensed consolidated balance sheet at December 31, 2020.</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October 2020, Cumberland submitted a request for the loan’s forgiveness. On June 11, 2021, the Company received a formal notice from the SBA that the full amount of the loan was forgiven. The Company accounted for the forgiveness of the PPP loan under IAS 20 and recorded the $2,187,140 as other income.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Minimum Product Purchase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Our manufacturing and supply agreements do not require minimum annual purchase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cash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cash obligations as of December 31, 2021:</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Payments Due by Year</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60" w:type="dxa"/>
            <w:vAlign w:val="bottom"/>
          </w:tcPr>
          <w:p>
            <w:pPr>
              <w:spacing w:after="0"/>
              <w:rPr>
                <w:sz w:val="20"/>
                <w:szCs w:val="20"/>
                <w:color w:val="auto"/>
              </w:rPr>
            </w:pPr>
            <w:r>
              <w:rPr>
                <w:rFonts w:ascii="Arial" w:cs="Arial" w:eastAsia="Arial" w:hAnsi="Arial"/>
                <w:sz w:val="13"/>
                <w:szCs w:val="13"/>
                <w:b w:val="1"/>
                <w:bCs w:val="1"/>
                <w:color w:val="auto"/>
              </w:rPr>
              <w:t>Contractual obligations</w:t>
            </w:r>
            <w:r>
              <w:rPr>
                <w:rFonts w:ascii="Arial" w:cs="Arial" w:eastAsia="Arial" w:hAnsi="Arial"/>
                <w:sz w:val="16"/>
                <w:szCs w:val="16"/>
                <w:b w:val="1"/>
                <w:bCs w:val="1"/>
                <w:color w:val="auto"/>
                <w:vertAlign w:val="superscript"/>
              </w:rPr>
              <w:t>(1)</w:t>
            </w:r>
          </w:p>
        </w:tc>
        <w:tc>
          <w:tcPr>
            <w:tcW w:w="30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7"/>
                <w:szCs w:val="17"/>
                <w:color w:val="auto"/>
              </w:rPr>
            </w:pPr>
          </w:p>
        </w:tc>
        <w:tc>
          <w:tcPr>
            <w:tcW w:w="1020" w:type="dxa"/>
            <w:vAlign w:val="bottom"/>
          </w:tcPr>
          <w:p>
            <w:pPr>
              <w:jc w:val="right"/>
              <w:ind w:right="47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31"/>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31"/>
              <w:spacing w:after="0"/>
              <w:rPr>
                <w:sz w:val="20"/>
                <w:szCs w:val="20"/>
                <w:color w:val="auto"/>
              </w:rPr>
            </w:pPr>
            <w:r>
              <w:rPr>
                <w:rFonts w:ascii="Arial" w:cs="Arial" w:eastAsia="Arial" w:hAnsi="Arial"/>
                <w:sz w:val="13"/>
                <w:szCs w:val="13"/>
                <w:b w:val="1"/>
                <w:bCs w:val="1"/>
                <w:color w:val="auto"/>
                <w:w w:val="88"/>
              </w:rPr>
              <w:t>2026 and thereafter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660" w:type="dxa"/>
            <w:vAlign w:val="bottom"/>
            <w:shd w:val="clear" w:color="auto" w:fill="CCEEFF"/>
          </w:tcPr>
          <w:p>
            <w:pPr>
              <w:spacing w:after="0" w:line="179" w:lineRule="exact"/>
              <w:rPr>
                <w:sz w:val="20"/>
                <w:szCs w:val="20"/>
                <w:color w:val="auto"/>
              </w:rPr>
            </w:pPr>
            <w:r>
              <w:rPr>
                <w:rFonts w:ascii="Arial" w:cs="Arial" w:eastAsia="Arial" w:hAnsi="Arial"/>
                <w:sz w:val="14"/>
                <w:szCs w:val="14"/>
                <w:color w:val="auto"/>
              </w:rPr>
              <w:t>Line of credit</w:t>
            </w:r>
            <w:r>
              <w:rPr>
                <w:rFonts w:ascii="Arial" w:cs="Arial" w:eastAsia="Arial" w:hAnsi="Arial"/>
                <w:sz w:val="18"/>
                <w:szCs w:val="18"/>
                <w:color w:val="auto"/>
                <w:vertAlign w:val="superscript"/>
              </w:rPr>
              <w:t>(2)</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660" w:type="dxa"/>
            <w:vAlign w:val="bottom"/>
          </w:tcPr>
          <w:p>
            <w:pPr>
              <w:spacing w:after="0" w:line="179" w:lineRule="exact"/>
              <w:rPr>
                <w:sz w:val="20"/>
                <w:szCs w:val="20"/>
                <w:color w:val="auto"/>
              </w:rPr>
            </w:pPr>
            <w:r>
              <w:rPr>
                <w:rFonts w:ascii="Arial" w:cs="Arial" w:eastAsia="Arial" w:hAnsi="Arial"/>
                <w:sz w:val="14"/>
                <w:szCs w:val="14"/>
                <w:color w:val="auto"/>
              </w:rPr>
              <w:t xml:space="preserve">Estimated interest on debt </w:t>
            </w:r>
            <w:r>
              <w:rPr>
                <w:rFonts w:ascii="Arial" w:cs="Arial" w:eastAsia="Arial" w:hAnsi="Arial"/>
                <w:sz w:val="18"/>
                <w:szCs w:val="18"/>
                <w:color w:val="auto"/>
                <w:vertAlign w:val="superscript"/>
              </w:rPr>
              <w:t>(2)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1,505,625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547,500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547,500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410,625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Vibativ contingent consideration liability</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6,515,627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2,353,789</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727,489</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636,761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469,455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2,328,133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660" w:type="dxa"/>
            <w:vAlign w:val="bottom"/>
            <w:shd w:val="clear" w:color="auto" w:fill="CCEEFF"/>
          </w:tcPr>
          <w:p>
            <w:pPr>
              <w:spacing w:after="0" w:line="179" w:lineRule="exact"/>
              <w:rPr>
                <w:sz w:val="20"/>
                <w:szCs w:val="20"/>
                <w:color w:val="auto"/>
              </w:rPr>
            </w:pPr>
            <w:r>
              <w:rPr>
                <w:rFonts w:ascii="Arial" w:cs="Arial" w:eastAsia="Arial" w:hAnsi="Arial"/>
                <w:sz w:val="14"/>
                <w:szCs w:val="14"/>
                <w:color w:val="auto"/>
              </w:rPr>
              <w:t xml:space="preserve">payments </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20"/>
                <w:szCs w:val="20"/>
                <w:color w:val="auto"/>
              </w:rPr>
            </w:pPr>
            <w:r>
              <w:rPr>
                <w:rFonts w:ascii="Arial" w:cs="Arial" w:eastAsia="Arial" w:hAnsi="Arial"/>
                <w:sz w:val="14"/>
                <w:szCs w:val="14"/>
                <w:color w:val="auto"/>
              </w:rPr>
              <w:t>Sancuso upfront purchase payment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13,500,000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13,500,000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66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Sancuso contingent consideration liability</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5,814,448</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1,071,480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1,746,534</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1,200,082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375,267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1,421,085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660" w:type="dxa"/>
            <w:vAlign w:val="bottom"/>
            <w:shd w:val="clear" w:color="auto" w:fill="CCEEFF"/>
          </w:tcPr>
          <w:p>
            <w:pPr>
              <w:spacing w:after="0" w:line="179" w:lineRule="exact"/>
              <w:rPr>
                <w:sz w:val="20"/>
                <w:szCs w:val="20"/>
                <w:color w:val="auto"/>
              </w:rPr>
            </w:pPr>
            <w:r>
              <w:rPr>
                <w:rFonts w:ascii="Arial" w:cs="Arial" w:eastAsia="Arial" w:hAnsi="Arial"/>
                <w:sz w:val="14"/>
                <w:szCs w:val="14"/>
                <w:color w:val="auto"/>
              </w:rPr>
              <w:t xml:space="preserve">payments </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line="179" w:lineRule="exact"/>
              <w:rPr>
                <w:sz w:val="20"/>
                <w:szCs w:val="20"/>
                <w:color w:val="auto"/>
              </w:rPr>
            </w:pPr>
            <w:r>
              <w:rPr>
                <w:rFonts w:ascii="Arial" w:cs="Arial" w:eastAsia="Arial" w:hAnsi="Arial"/>
                <w:sz w:val="14"/>
                <w:szCs w:val="14"/>
                <w:color w:val="auto"/>
              </w:rPr>
              <w:t>Operating leases</w:t>
            </w:r>
            <w:r>
              <w:rPr>
                <w:rFonts w:ascii="Arial" w:cs="Arial" w:eastAsia="Arial" w:hAnsi="Arial"/>
                <w:sz w:val="18"/>
                <w:szCs w:val="18"/>
                <w:color w:val="auto"/>
                <w:vertAlign w:val="superscript"/>
              </w:rPr>
              <w:t>(5)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1,111,791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1,019,313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92,478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6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43,447,491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18,492,082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3,114,001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17,247,468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844,722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3,749,218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20" w:hanging="263"/>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sum of the individual amounts may not agree due to rounding.</w:t>
      </w:r>
    </w:p>
    <w:p>
      <w:pPr>
        <w:spacing w:after="0" w:line="114" w:lineRule="exact"/>
        <w:rPr>
          <w:rFonts w:ascii="Arial" w:cs="Arial" w:eastAsia="Arial" w:hAnsi="Arial"/>
          <w:sz w:val="13"/>
          <w:szCs w:val="13"/>
          <w:color w:val="auto"/>
        </w:rPr>
      </w:pPr>
    </w:p>
    <w:p>
      <w:pPr>
        <w:jc w:val="both"/>
        <w:ind w:left="520" w:hanging="263"/>
        <w:spacing w:after="0" w:line="245" w:lineRule="auto"/>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line of credit payments represent the estimated unused line of credit payments and the amount due at maturity. The estimated interest on debt represents the interest on the principal outstanding on the line of credit. These amounts are based on the $15.0 million line of credit assuming the current $15.0 million balance outstanding on December 31, 2021 is consistently outstanding through maturity of October 2024. Interest and unused line of credit payments are due and payable quarterly in arrears.</w:t>
      </w:r>
    </w:p>
    <w:p>
      <w:pPr>
        <w:spacing w:after="0" w:line="90" w:lineRule="exact"/>
        <w:rPr>
          <w:rFonts w:ascii="Arial" w:cs="Arial" w:eastAsia="Arial" w:hAnsi="Arial"/>
          <w:sz w:val="13"/>
          <w:szCs w:val="13"/>
          <w:color w:val="auto"/>
        </w:rPr>
      </w:pPr>
    </w:p>
    <w:p>
      <w:pPr>
        <w:ind w:left="520" w:hanging="263"/>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contingent consideration liability represents the fair value of the royalty payments of up to 20% of future net sales as part of the Vibativ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25" w:right="319" w:bottom="1440" w:gutter="0" w:footer="0" w:header="0"/>
        </w:sectPr>
      </w:pPr>
    </w:p>
    <w:bookmarkStart w:id="77" w:name="page78"/>
    <w:bookmarkEnd w:id="77"/>
    <w:p>
      <w:pPr>
        <w:ind w:left="520" w:hanging="263"/>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contingent consideration liability represents the fair value of the royalty payments of up to 10% of future net sales as part of the Sancuso acquisition.</w:t>
      </w:r>
    </w:p>
    <w:p>
      <w:pPr>
        <w:spacing w:after="0" w:line="103" w:lineRule="exact"/>
        <w:rPr>
          <w:rFonts w:ascii="Arial" w:cs="Arial" w:eastAsia="Arial" w:hAnsi="Arial"/>
          <w:sz w:val="13"/>
          <w:szCs w:val="13"/>
          <w:color w:val="auto"/>
        </w:rPr>
      </w:pPr>
    </w:p>
    <w:p>
      <w:pPr>
        <w:ind w:left="520" w:hanging="263"/>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Broadwest contractual cash obligation will begin upon commencement in Q4 2022.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During 2021, 2020 and 2019, we did not engage in any off-balance sheet arrangements.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 - Not Yet Adopted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We will adopt both ASU 2016-13 and ASU 2019-05 on January 1, 2023. The adoption of ASU 2016-13 and ASU 2019-05 are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1"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auto"/>
        </w:rPr>
        <w:t>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exposed to market risk related to changes in interest rates on our cash on deposit in highly-liquid money market accounts and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Our investment policy focuses on principal preservation and liquidity.</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in marketable securities at December 31, 2021.</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interest rate risk related to borrowings under our line of credit is based on LIBOR plus an interest rate spread. There is no LIBOR minimum and the LIBOR pricing provides for an interest rate spread of 1.75% to 2.75% (representing an interest rate of 3.65% at December 31, 2021). When the LIBOR rate is discontinued, the Pinnacle Agreement allows for the LIBOR rate to be replaced by a Benchmark Rate, which may be the Daily Simple SOFR (Secured Overnight Financing Rate). The Benchmark Rage will be determined in consultation with Pinnacle Bank. As of December 31, 2021, we had $15.0 million in borrowings outstanding under our revolving line of credit.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 Rate Risk</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While we operate primarily in the U.S., we are exposed to foreign currency risk. A portion of our research and development is performed abroad.</w:t>
      </w:r>
    </w:p>
    <w:p>
      <w:pPr>
        <w:spacing w:after="0" w:line="113"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losses were immaterial for 2021, 2020 and 2019. Neither a five percent increase nor decrease from current exchange rates would have had a material effect on our operating results or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8. Financial Statements and Supplementary Data.</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See consolidated financial statements, including the reports of the independent registered public accounting firm, starting on page F-1, which is incorporated herein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 Changes in and Disagreements with Accountants on Accounting and Financial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9A. Controls and Procedures.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December 31, 2021.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is recorded, processed, summarized, and reported, within the time periods specified in the SEC’s rules and forms and to ensure that such information is accumulated and communicated to the Company’s management, including its Chief Executive Officer and Chief Financial Officer, as appropriate to allow timely decisions regarding required disclosure.</w:t>
      </w:r>
    </w:p>
    <w:p>
      <w:pPr>
        <w:jc w:val="both"/>
        <w:spacing w:after="0" w:line="262" w:lineRule="auto"/>
        <w:rPr>
          <w:sz w:val="20"/>
          <w:szCs w:val="20"/>
          <w:color w:val="auto"/>
        </w:rPr>
      </w:pPr>
      <w:r>
        <w:rPr>
          <w:rFonts w:ascii="Arial" w:cs="Arial" w:eastAsia="Arial" w:hAnsi="Arial"/>
          <w:sz w:val="14"/>
          <w:szCs w:val="14"/>
          <w:color w:val="auto"/>
        </w:rPr>
        <w:t>Management’s report on internal control over financial reporting is included on page F-1 of this annual report on Form 10-K, and incorporated herein by reference. During our fourth quarter of 2021, there were no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3" w:right="319" w:bottom="1440" w:gutter="0" w:footer="0" w:header="0"/>
        </w:sectPr>
      </w:pPr>
    </w:p>
    <w:bookmarkStart w:id="79" w:name="page80"/>
    <w:bookmarkEnd w:id="79"/>
    <w:p>
      <w:pPr>
        <w:jc w:val="both"/>
        <w:spacing w:after="0" w:line="278" w:lineRule="auto"/>
        <w:rPr>
          <w:sz w:val="20"/>
          <w:szCs w:val="20"/>
          <w:color w:val="auto"/>
        </w:rPr>
      </w:pPr>
      <w:r>
        <w:rPr>
          <w:rFonts w:ascii="Arial" w:cs="Arial" w:eastAsia="Arial" w:hAnsi="Arial"/>
          <w:sz w:val="14"/>
          <w:szCs w:val="14"/>
          <w:color w:val="auto"/>
        </w:rPr>
        <w:t>our internal control over financial reporting (as defined in Rule 13a-15(f) or 15d-15(f))that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9C: Disclosure Regarding Foreign Jurisdictions that Prevent Inspections.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12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information called for by Part III of Form 10-K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Item 14 – Principal Accountant Fees and Services), is incorporated by reference from our proxy statement related to our 2022 annual meeting of shareholders, which is expected to be filed with the SEC on or around March 11, 2022.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80" w:name="page81"/>
    <w:bookmarkEnd w:id="80"/>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IV</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15. Exhibits, Financial Statement Schedules.</w:t>
      </w:r>
    </w:p>
    <w:p>
      <w:pPr>
        <w:spacing w:after="0" w:line="128" w:lineRule="exact"/>
        <w:rPr>
          <w:sz w:val="20"/>
          <w:szCs w:val="20"/>
          <w:color w:val="auto"/>
        </w:rPr>
      </w:pPr>
    </w:p>
    <w:p>
      <w:pPr>
        <w:ind w:left="520" w:hanging="263"/>
        <w:spacing w:after="0"/>
        <w:tabs>
          <w:tab w:leader="none" w:pos="5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Documents filed as part of this report: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12"/>
          </w:tcPr>
          <w:p>
            <w:pPr>
              <w:jc w:val="center"/>
              <w:ind w:right="180"/>
              <w:spacing w:after="0"/>
              <w:rPr>
                <w:sz w:val="20"/>
                <w:szCs w:val="20"/>
                <w:color w:val="auto"/>
              </w:rPr>
            </w:pPr>
            <w:r>
              <w:rPr>
                <w:rFonts w:ascii="Arial" w:cs="Arial" w:eastAsia="Arial" w:hAnsi="Arial"/>
                <w:sz w:val="13"/>
                <w:szCs w:val="13"/>
                <w:b w:val="1"/>
                <w:bCs w:val="1"/>
                <w:color w:val="auto"/>
                <w:w w:val="88"/>
              </w:rPr>
              <w:t>Page Number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bottom w:val="single" w:sz="8" w:color="0000FF"/>
            </w:tcBorders>
            <w:gridSpan w:val="10"/>
          </w:tcPr>
          <w:p>
            <w:pPr>
              <w:spacing w:after="0"/>
              <w:rPr>
                <w:rFonts w:ascii="Arial" w:cs="Arial" w:eastAsia="Arial" w:hAnsi="Arial"/>
                <w:sz w:val="14"/>
                <w:szCs w:val="14"/>
                <w:color w:val="0000FF"/>
                <w:w w:val="91"/>
              </w:rPr>
            </w:pPr>
            <w:hyperlink w:anchor="page88">
              <w:r>
                <w:rPr>
                  <w:rFonts w:ascii="Arial" w:cs="Arial" w:eastAsia="Arial" w:hAnsi="Arial"/>
                  <w:sz w:val="14"/>
                  <w:szCs w:val="14"/>
                  <w:color w:val="0000FF"/>
                  <w:w w:val="91"/>
                </w:rPr>
                <w:t>Management’s Report on Internal Control over Financial Reporting</w:t>
              </w:r>
            </w:hyperlink>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3051F2"/>
            </w:tcBorders>
          </w:tcPr>
          <w:p>
            <w:pPr>
              <w:jc w:val="center"/>
              <w:spacing w:after="0"/>
              <w:rPr>
                <w:sz w:val="20"/>
                <w:szCs w:val="20"/>
                <w:color w:val="auto"/>
              </w:rPr>
            </w:pPr>
            <w:r>
              <w:rPr>
                <w:rFonts w:ascii="Arial" w:cs="Arial" w:eastAsia="Arial" w:hAnsi="Arial"/>
                <w:sz w:val="14"/>
                <w:szCs w:val="14"/>
                <w:color w:val="3051F2"/>
                <w:w w:val="95"/>
              </w:rPr>
              <w:t>F-1</w:t>
            </w:r>
          </w:p>
        </w:tc>
        <w:tc>
          <w:tcPr>
            <w:tcW w:w="260" w:type="dxa"/>
            <w:vAlign w:val="bottom"/>
            <w:tcBorders>
              <w:top w:val="single" w:sz="8" w:color="auto"/>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gridSpan w:val="29"/>
          </w:tcPr>
          <w:p>
            <w:pPr>
              <w:spacing w:after="0"/>
              <w:rPr>
                <w:rFonts w:ascii="Arial" w:cs="Arial" w:eastAsia="Arial" w:hAnsi="Arial"/>
                <w:sz w:val="14"/>
                <w:szCs w:val="14"/>
                <w:color w:val="0000FF"/>
              </w:rPr>
            </w:pPr>
            <w:hyperlink w:anchor="page89">
              <w:r>
                <w:rPr>
                  <w:rFonts w:ascii="Arial" w:cs="Arial" w:eastAsia="Arial" w:hAnsi="Arial"/>
                  <w:sz w:val="14"/>
                  <w:szCs w:val="14"/>
                  <w:color w:val="0000FF"/>
                </w:rPr>
                <w:t xml:space="preserve">Reports of Independent Registered Public Accounting Firm – Consolidated Financial Statements </w:t>
              </w:r>
            </w:hyperlink>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color w:val="000000"/>
              </w:rPr>
              <w:t>BKD, LLP; Nashville, TN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11"/>
          </w:tcPr>
          <w:p>
            <w:pPr>
              <w:ind w:left="260"/>
              <w:spacing w:after="0" w:line="117" w:lineRule="exact"/>
              <w:rPr>
                <w:sz w:val="20"/>
                <w:szCs w:val="20"/>
                <w:color w:val="auto"/>
              </w:rPr>
            </w:pPr>
            <w:r>
              <w:rPr>
                <w:rFonts w:ascii="Arial" w:cs="Arial" w:eastAsia="Arial" w:hAnsi="Arial"/>
                <w:sz w:val="13"/>
                <w:szCs w:val="13"/>
                <w:color w:val="auto"/>
              </w:rPr>
              <w:t>PCAOB ID: 686 and BDO USA, LLP; Nashville, TN PCAOB ID : 243</w:t>
            </w:r>
          </w:p>
        </w:tc>
        <w:tc>
          <w:tcPr>
            <w:tcW w:w="800" w:type="dxa"/>
            <w:vAlign w:val="bottom"/>
            <w:tcBorders>
              <w:top w:val="single" w:sz="8" w:color="0000FF"/>
            </w:tcBorders>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3051F2"/>
            </w:tcBorders>
          </w:tcPr>
          <w:p>
            <w:pPr>
              <w:jc w:val="center"/>
              <w:spacing w:after="0" w:line="117" w:lineRule="exact"/>
              <w:rPr>
                <w:rFonts w:ascii="Arial" w:cs="Arial" w:eastAsia="Arial" w:hAnsi="Arial"/>
                <w:sz w:val="13"/>
                <w:szCs w:val="13"/>
                <w:color w:val="3051F2"/>
              </w:rPr>
            </w:pPr>
            <w:r>
              <w:rPr>
                <w:rFonts w:ascii="Arial" w:cs="Arial" w:eastAsia="Arial" w:hAnsi="Arial"/>
                <w:sz w:val="13"/>
                <w:szCs w:val="13"/>
                <w:color w:val="3051F2"/>
              </w:rPr>
              <w:t>F-</w:t>
            </w:r>
            <w:hyperlink w:anchor="page89">
              <w:r>
                <w:rPr>
                  <w:rFonts w:ascii="Arial" w:cs="Arial" w:eastAsia="Arial" w:hAnsi="Arial"/>
                  <w:sz w:val="13"/>
                  <w:szCs w:val="13"/>
                  <w:color w:val="3051F2"/>
                </w:rPr>
                <w:t>1</w:t>
              </w:r>
            </w:hyperlink>
          </w:p>
        </w:tc>
        <w:tc>
          <w:tcPr>
            <w:tcW w:w="44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40" w:type="dxa"/>
            <w:vAlign w:val="bottom"/>
            <w:gridSpan w:val="11"/>
          </w:tcPr>
          <w:p>
            <w:pPr>
              <w:spacing w:after="0"/>
              <w:rPr>
                <w:rFonts w:ascii="Arial" w:cs="Arial" w:eastAsia="Arial" w:hAnsi="Arial"/>
                <w:sz w:val="14"/>
                <w:szCs w:val="14"/>
                <w:color w:val="0000FF"/>
              </w:rPr>
            </w:pPr>
            <w:hyperlink w:anchor="page93">
              <w:r>
                <w:rPr>
                  <w:rFonts w:ascii="Arial" w:cs="Arial" w:eastAsia="Arial" w:hAnsi="Arial"/>
                  <w:sz w:val="14"/>
                  <w:szCs w:val="14"/>
                  <w:color w:val="0000FF"/>
                </w:rPr>
                <w:t>Consolidated Balance Sheets</w:t>
              </w:r>
            </w:hyperlink>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gridSpan w:val="4"/>
          </w:tcPr>
          <w:p>
            <w:pPr>
              <w:jc w:val="center"/>
              <w:ind w:right="440"/>
              <w:spacing w:after="0"/>
              <w:rPr>
                <w:rFonts w:ascii="Arial" w:cs="Arial" w:eastAsia="Arial" w:hAnsi="Arial"/>
                <w:sz w:val="14"/>
                <w:szCs w:val="14"/>
                <w:color w:val="3051F2"/>
                <w:w w:val="94"/>
              </w:rPr>
            </w:pPr>
            <w:r>
              <w:rPr>
                <w:rFonts w:ascii="Arial" w:cs="Arial" w:eastAsia="Arial" w:hAnsi="Arial"/>
                <w:sz w:val="14"/>
                <w:szCs w:val="14"/>
                <w:color w:val="3051F2"/>
                <w:w w:val="94"/>
              </w:rPr>
              <w:t>F-</w:t>
            </w:r>
            <w:hyperlink w:anchor="page93">
              <w:r>
                <w:rPr>
                  <w:rFonts w:ascii="Arial" w:cs="Arial" w:eastAsia="Arial" w:hAnsi="Arial"/>
                  <w:sz w:val="14"/>
                  <w:szCs w:val="14"/>
                  <w:color w:val="3051F2"/>
                  <w:w w:val="94"/>
                </w:rPr>
                <w:t>6</w:t>
              </w:r>
            </w:hyperlink>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tcBorders>
              <w:bottom w:val="single" w:sz="8" w:color="0000FF"/>
            </w:tcBorders>
            <w:gridSpan w:val="6"/>
          </w:tcPr>
          <w:p>
            <w:pPr>
              <w:spacing w:after="0"/>
              <w:rPr>
                <w:rFonts w:ascii="Arial" w:cs="Arial" w:eastAsia="Arial" w:hAnsi="Arial"/>
                <w:sz w:val="14"/>
                <w:szCs w:val="14"/>
                <w:color w:val="0000FF"/>
                <w:w w:val="89"/>
              </w:rPr>
            </w:pPr>
            <w:hyperlink w:anchor="page94">
              <w:r>
                <w:rPr>
                  <w:rFonts w:ascii="Arial" w:cs="Arial" w:eastAsia="Arial" w:hAnsi="Arial"/>
                  <w:sz w:val="14"/>
                  <w:szCs w:val="14"/>
                  <w:color w:val="0000FF"/>
                  <w:w w:val="89"/>
                </w:rPr>
                <w:t>Consolidated Statements of Operations</w:t>
              </w:r>
            </w:hyperlink>
          </w:p>
        </w:tc>
        <w:tc>
          <w:tcPr>
            <w:tcW w:w="2440" w:type="dxa"/>
            <w:vAlign w:val="bottom"/>
            <w:gridSpan w:val="5"/>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3051F2"/>
            </w:tcBorders>
          </w:tcPr>
          <w:p>
            <w:pPr>
              <w:jc w:val="center"/>
              <w:spacing w:after="0"/>
              <w:rPr>
                <w:rFonts w:ascii="Arial" w:cs="Arial" w:eastAsia="Arial" w:hAnsi="Arial"/>
                <w:sz w:val="14"/>
                <w:szCs w:val="14"/>
                <w:color w:val="3051F2"/>
                <w:w w:val="94"/>
              </w:rPr>
            </w:pPr>
            <w:r>
              <w:rPr>
                <w:rFonts w:ascii="Arial" w:cs="Arial" w:eastAsia="Arial" w:hAnsi="Arial"/>
                <w:sz w:val="14"/>
                <w:szCs w:val="14"/>
                <w:color w:val="3051F2"/>
                <w:w w:val="94"/>
              </w:rPr>
              <w:t>F-</w:t>
            </w:r>
            <w:hyperlink w:anchor="page94">
              <w:r>
                <w:rPr>
                  <w:rFonts w:ascii="Arial" w:cs="Arial" w:eastAsia="Arial" w:hAnsi="Arial"/>
                  <w:sz w:val="14"/>
                  <w:szCs w:val="14"/>
                  <w:color w:val="3051F2"/>
                  <w:w w:val="94"/>
                </w:rPr>
                <w:t>6</w:t>
              </w:r>
            </w:hyperlink>
          </w:p>
        </w:tc>
        <w:tc>
          <w:tcPr>
            <w:tcW w:w="44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bottom w:val="single" w:sz="8" w:color="0000FF"/>
            </w:tcBorders>
            <w:gridSpan w:val="7"/>
          </w:tcPr>
          <w:p>
            <w:pPr>
              <w:spacing w:after="0"/>
              <w:rPr>
                <w:rFonts w:ascii="Arial" w:cs="Arial" w:eastAsia="Arial" w:hAnsi="Arial"/>
                <w:sz w:val="14"/>
                <w:szCs w:val="14"/>
                <w:color w:val="0000FF"/>
                <w:w w:val="89"/>
              </w:rPr>
            </w:pPr>
            <w:hyperlink w:anchor="page95">
              <w:r>
                <w:rPr>
                  <w:rFonts w:ascii="Arial" w:cs="Arial" w:eastAsia="Arial" w:hAnsi="Arial"/>
                  <w:sz w:val="14"/>
                  <w:szCs w:val="14"/>
                  <w:color w:val="0000FF"/>
                  <w:w w:val="89"/>
                </w:rPr>
                <w:t>Consolidated Statements of Cash Flows</w:t>
              </w:r>
            </w:hyperlink>
          </w:p>
        </w:tc>
        <w:tc>
          <w:tcPr>
            <w:tcW w:w="240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3051F2"/>
            </w:tcBorders>
          </w:tcPr>
          <w:p>
            <w:pPr>
              <w:jc w:val="center"/>
              <w:spacing w:after="0"/>
              <w:rPr>
                <w:rFonts w:ascii="Arial" w:cs="Arial" w:eastAsia="Arial" w:hAnsi="Arial"/>
                <w:sz w:val="14"/>
                <w:szCs w:val="14"/>
                <w:color w:val="3051F2"/>
                <w:w w:val="94"/>
              </w:rPr>
            </w:pPr>
            <w:r>
              <w:rPr>
                <w:rFonts w:ascii="Arial" w:cs="Arial" w:eastAsia="Arial" w:hAnsi="Arial"/>
                <w:sz w:val="14"/>
                <w:szCs w:val="14"/>
                <w:color w:val="3051F2"/>
                <w:w w:val="94"/>
              </w:rPr>
              <w:t>F-</w:t>
            </w:r>
            <w:hyperlink w:anchor="page95">
              <w:r>
                <w:rPr>
                  <w:rFonts w:ascii="Arial" w:cs="Arial" w:eastAsia="Arial" w:hAnsi="Arial"/>
                  <w:sz w:val="14"/>
                  <w:szCs w:val="14"/>
                  <w:color w:val="3051F2"/>
                  <w:w w:val="94"/>
                </w:rPr>
                <w:t>8</w:t>
              </w:r>
            </w:hyperlink>
          </w:p>
        </w:tc>
        <w:tc>
          <w:tcPr>
            <w:tcW w:w="44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4"/>
          </w:tcPr>
          <w:p>
            <w:pPr>
              <w:spacing w:after="0"/>
              <w:rPr>
                <w:rFonts w:ascii="Arial" w:cs="Arial" w:eastAsia="Arial" w:hAnsi="Arial"/>
                <w:sz w:val="14"/>
                <w:szCs w:val="14"/>
                <w:color w:val="0000FF"/>
                <w:w w:val="90"/>
              </w:rPr>
            </w:pPr>
            <w:hyperlink w:anchor="page97">
              <w:r>
                <w:rPr>
                  <w:rFonts w:ascii="Arial" w:cs="Arial" w:eastAsia="Arial" w:hAnsi="Arial"/>
                  <w:sz w:val="14"/>
                  <w:szCs w:val="14"/>
                  <w:color w:val="0000FF"/>
                  <w:w w:val="90"/>
                </w:rPr>
                <w:t>Consolidated Statements of Equity</w:t>
              </w:r>
            </w:hyperlink>
          </w:p>
        </w:tc>
        <w:tc>
          <w:tcPr>
            <w:tcW w:w="268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center"/>
              <w:ind w:right="420"/>
              <w:spacing w:after="0"/>
              <w:rPr>
                <w:rFonts w:ascii="Arial" w:cs="Arial" w:eastAsia="Arial" w:hAnsi="Arial"/>
                <w:sz w:val="14"/>
                <w:szCs w:val="14"/>
                <w:color w:val="3051F2"/>
                <w:w w:val="90"/>
              </w:rPr>
            </w:pPr>
            <w:r>
              <w:rPr>
                <w:rFonts w:ascii="Arial" w:cs="Arial" w:eastAsia="Arial" w:hAnsi="Arial"/>
                <w:sz w:val="14"/>
                <w:szCs w:val="14"/>
                <w:color w:val="3051F2"/>
                <w:w w:val="90"/>
              </w:rPr>
              <w:t>F-</w:t>
            </w:r>
            <w:hyperlink w:anchor="page97">
              <w:r>
                <w:rPr>
                  <w:rFonts w:ascii="Arial" w:cs="Arial" w:eastAsia="Arial" w:hAnsi="Arial"/>
                  <w:sz w:val="14"/>
                  <w:szCs w:val="14"/>
                  <w:color w:val="3051F2"/>
                  <w:w w:val="90"/>
                </w:rPr>
                <w:t>10</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11"/>
          </w:tcPr>
          <w:p>
            <w:pPr>
              <w:spacing w:after="0"/>
              <w:rPr>
                <w:rFonts w:ascii="Arial" w:cs="Arial" w:eastAsia="Arial" w:hAnsi="Arial"/>
                <w:sz w:val="14"/>
                <w:szCs w:val="14"/>
                <w:u w:val="single" w:color="auto"/>
                <w:color w:val="0000FF"/>
              </w:rPr>
            </w:pPr>
            <w:hyperlink w:anchor="page98">
              <w:r>
                <w:rPr>
                  <w:rFonts w:ascii="Arial" w:cs="Arial" w:eastAsia="Arial" w:hAnsi="Arial"/>
                  <w:sz w:val="14"/>
                  <w:szCs w:val="14"/>
                  <w:u w:val="single" w:color="auto"/>
                  <w:color w:val="0000FF"/>
                </w:rPr>
                <w:t>Notes to the Consolidated Financial Statements</w:t>
              </w:r>
            </w:hyperlink>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5"/>
          </w:tcPr>
          <w:p>
            <w:pPr>
              <w:jc w:val="center"/>
              <w:ind w:right="420"/>
              <w:spacing w:after="0"/>
              <w:rPr>
                <w:rFonts w:ascii="Arial" w:cs="Arial" w:eastAsia="Arial" w:hAnsi="Arial"/>
                <w:sz w:val="14"/>
                <w:szCs w:val="14"/>
                <w:color w:val="3051F2"/>
                <w:w w:val="90"/>
              </w:rPr>
            </w:pPr>
            <w:r>
              <w:rPr>
                <w:rFonts w:ascii="Arial" w:cs="Arial" w:eastAsia="Arial" w:hAnsi="Arial"/>
                <w:sz w:val="14"/>
                <w:szCs w:val="14"/>
                <w:color w:val="3051F2"/>
                <w:w w:val="90"/>
              </w:rPr>
              <w:t>F-</w:t>
            </w:r>
            <w:hyperlink w:anchor="page98">
              <w:r>
                <w:rPr>
                  <w:rFonts w:ascii="Arial" w:cs="Arial" w:eastAsia="Arial" w:hAnsi="Arial"/>
                  <w:sz w:val="14"/>
                  <w:szCs w:val="14"/>
                  <w:color w:val="3051F2"/>
                  <w:w w:val="90"/>
                </w:rPr>
                <w:t>11</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360" w:type="dxa"/>
            <w:vAlign w:val="bottom"/>
            <w:gridSpan w:val="14"/>
          </w:tcPr>
          <w:p>
            <w:pPr>
              <w:ind w:left="520"/>
              <w:spacing w:after="0" w:line="158" w:lineRule="exact"/>
              <w:rPr>
                <w:sz w:val="20"/>
                <w:szCs w:val="20"/>
                <w:color w:val="auto"/>
              </w:rPr>
            </w:pPr>
            <w:r>
              <w:rPr>
                <w:rFonts w:ascii="Arial" w:cs="Arial" w:eastAsia="Arial" w:hAnsi="Arial"/>
                <w:sz w:val="14"/>
                <w:szCs w:val="14"/>
                <w:color w:val="auto"/>
              </w:rPr>
              <w:t>1.  Financial Statements</w:t>
            </w:r>
          </w:p>
        </w:tc>
        <w:tc>
          <w:tcPr>
            <w:tcW w:w="198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3051F2"/>
            </w:tcBorders>
          </w:tcPr>
          <w:p>
            <w:pPr>
              <w:spacing w:after="0"/>
              <w:rPr>
                <w:sz w:val="13"/>
                <w:szCs w:val="13"/>
                <w:color w:val="auto"/>
              </w:rPr>
            </w:pPr>
          </w:p>
        </w:tc>
        <w:tc>
          <w:tcPr>
            <w:tcW w:w="20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560" w:type="dxa"/>
            <w:vAlign w:val="bottom"/>
            <w:gridSpan w:val="2"/>
          </w:tcPr>
          <w:p>
            <w:pPr>
              <w:ind w:left="5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color w:val="auto"/>
              </w:rPr>
              <w:t>Financial</w:t>
            </w:r>
          </w:p>
        </w:tc>
        <w:tc>
          <w:tcPr>
            <w:tcW w:w="2660" w:type="dxa"/>
            <w:vAlign w:val="bottom"/>
            <w:gridSpan w:val="16"/>
          </w:tcPr>
          <w:p>
            <w:pPr>
              <w:ind w:left="760"/>
              <w:spacing w:after="0"/>
              <w:rPr>
                <w:sz w:val="20"/>
                <w:szCs w:val="20"/>
                <w:color w:val="auto"/>
              </w:rPr>
            </w:pPr>
            <w:r>
              <w:rPr>
                <w:rFonts w:ascii="Arial" w:cs="Arial" w:eastAsia="Arial" w:hAnsi="Arial"/>
                <w:sz w:val="14"/>
                <w:szCs w:val="14"/>
                <w:color w:val="auto"/>
              </w:rPr>
              <w:t>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Schedule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2000" w:type="dxa"/>
            <w:vAlign w:val="bottom"/>
            <w:tcBorders>
              <w:bottom w:val="single" w:sz="8" w:color="0000FF"/>
            </w:tcBorders>
            <w:gridSpan w:val="6"/>
          </w:tcPr>
          <w:p>
            <w:pPr>
              <w:spacing w:after="0"/>
              <w:rPr>
                <w:rFonts w:ascii="Arial" w:cs="Arial" w:eastAsia="Arial" w:hAnsi="Arial"/>
                <w:sz w:val="14"/>
                <w:szCs w:val="14"/>
                <w:color w:val="0000FF"/>
                <w:w w:val="92"/>
              </w:rPr>
            </w:pPr>
            <w:hyperlink w:anchor="page129">
              <w:r>
                <w:rPr>
                  <w:rFonts w:ascii="Arial" w:cs="Arial" w:eastAsia="Arial" w:hAnsi="Arial"/>
                  <w:sz w:val="14"/>
                  <w:szCs w:val="14"/>
                  <w:color w:val="0000FF"/>
                  <w:w w:val="92"/>
                </w:rPr>
                <w:t>Valuation and Qualifying Accounts</w:t>
              </w:r>
            </w:hyperlink>
          </w:p>
        </w:tc>
        <w:tc>
          <w:tcPr>
            <w:tcW w:w="3820" w:type="dxa"/>
            <w:vAlign w:val="bottom"/>
            <w:gridSpan w:val="9"/>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0000FF"/>
            </w:tcBorders>
          </w:tcPr>
          <w:p>
            <w:pPr>
              <w:spacing w:after="0"/>
              <w:rPr>
                <w:rFonts w:ascii="Arial" w:cs="Arial" w:eastAsia="Arial" w:hAnsi="Arial"/>
                <w:sz w:val="14"/>
                <w:szCs w:val="14"/>
                <w:color w:val="0000FF"/>
                <w:w w:val="90"/>
              </w:rPr>
            </w:pPr>
            <w:r>
              <w:rPr>
                <w:rFonts w:ascii="Arial" w:cs="Arial" w:eastAsia="Arial" w:hAnsi="Arial"/>
                <w:sz w:val="14"/>
                <w:szCs w:val="14"/>
                <w:color w:val="0000FF"/>
                <w:w w:val="90"/>
              </w:rPr>
              <w:t>F-</w:t>
            </w:r>
            <w:hyperlink w:anchor="page129">
              <w:r>
                <w:rPr>
                  <w:rFonts w:ascii="Arial" w:cs="Arial" w:eastAsia="Arial" w:hAnsi="Arial"/>
                  <w:sz w:val="14"/>
                  <w:szCs w:val="14"/>
                  <w:color w:val="0000FF"/>
                  <w:w w:val="90"/>
                </w:rPr>
                <w:t>42</w:t>
              </w:r>
            </w:hyperlink>
          </w:p>
        </w:tc>
        <w:tc>
          <w:tcPr>
            <w:tcW w:w="1580" w:type="dxa"/>
            <w:vAlign w:val="bottom"/>
            <w:gridSpan w:val="14"/>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1660" w:type="dxa"/>
            <w:vAlign w:val="bottom"/>
            <w:gridSpan w:val="3"/>
          </w:tcPr>
          <w:p>
            <w:pPr>
              <w:spacing w:after="0"/>
              <w:rPr>
                <w:sz w:val="20"/>
                <w:szCs w:val="20"/>
                <w:color w:val="auto"/>
              </w:rPr>
            </w:pPr>
            <w:r>
              <w:rPr>
                <w:rFonts w:ascii="Arial" w:cs="Arial" w:eastAsia="Arial" w:hAnsi="Arial"/>
                <w:sz w:val="14"/>
                <w:szCs w:val="14"/>
                <w:i w:val="1"/>
                <w:iCs w:val="1"/>
                <w:color w:val="auto"/>
              </w:rPr>
              <w:t>b.</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Exhibits</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140" w:type="dxa"/>
            <w:vAlign w:val="bottom"/>
            <w:gridSpan w:val="2"/>
          </w:tcPr>
          <w:p>
            <w:pPr>
              <w:jc w:val="center"/>
              <w:ind w:right="620"/>
              <w:spacing w:after="0" w:line="148" w:lineRule="exact"/>
              <w:rPr>
                <w:sz w:val="20"/>
                <w:szCs w:val="20"/>
                <w:color w:val="auto"/>
              </w:rPr>
            </w:pPr>
            <w:r>
              <w:rPr>
                <w:rFonts w:ascii="Arial" w:cs="Arial" w:eastAsia="Arial" w:hAnsi="Arial"/>
                <w:sz w:val="13"/>
                <w:szCs w:val="13"/>
                <w:b w:val="1"/>
                <w:bCs w:val="1"/>
                <w:color w:val="auto"/>
                <w:w w:val="92"/>
              </w:rPr>
              <w:t>Exhibit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vMerge w:val="restart"/>
          </w:tcPr>
          <w:p>
            <w:pPr>
              <w:ind w:left="1020"/>
              <w:spacing w:after="0"/>
              <w:rPr>
                <w:sz w:val="20"/>
                <w:szCs w:val="20"/>
                <w:color w:val="auto"/>
              </w:rPr>
            </w:pPr>
            <w:r>
              <w:rPr>
                <w:rFonts w:ascii="Arial" w:cs="Arial" w:eastAsia="Arial" w:hAnsi="Arial"/>
                <w:sz w:val="13"/>
                <w:szCs w:val="13"/>
                <w:b w:val="1"/>
                <w:bCs w:val="1"/>
                <w:color w:val="auto"/>
              </w:rPr>
              <w:t>Description</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54"/>
              <w:spacing w:after="0"/>
              <w:rPr>
                <w:sz w:val="20"/>
                <w:szCs w:val="20"/>
                <w:color w:val="auto"/>
              </w:rPr>
            </w:pPr>
            <w:r>
              <w:rPr>
                <w:rFonts w:ascii="Arial" w:cs="Arial" w:eastAsia="Arial" w:hAnsi="Arial"/>
                <w:sz w:val="13"/>
                <w:szCs w:val="13"/>
                <w:b w:val="1"/>
                <w:bCs w:val="1"/>
                <w:color w:val="auto"/>
                <w:w w:val="89"/>
              </w:rPr>
              <w:t>Number</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2"/>
              </w:rPr>
              <w:t>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20" w:type="dxa"/>
            <w:vAlign w:val="bottom"/>
            <w:gridSpan w:val="30"/>
          </w:tcPr>
          <w:p>
            <w:pPr>
              <w:spacing w:after="0"/>
              <w:rPr>
                <w:rFonts w:ascii="Arial" w:cs="Arial" w:eastAsia="Arial" w:hAnsi="Arial"/>
                <w:sz w:val="14"/>
                <w:szCs w:val="14"/>
                <w:color w:val="0000FF"/>
              </w:rPr>
            </w:pPr>
            <w:hyperlink r:id="rId90">
              <w:r>
                <w:rPr>
                  <w:rFonts w:ascii="Arial" w:cs="Arial" w:eastAsia="Arial" w:hAnsi="Arial"/>
                  <w:sz w:val="14"/>
                  <w:szCs w:val="14"/>
                  <w:color w:val="0000FF"/>
                </w:rPr>
                <w:t>At Market Issuance Sales Agreement, dated November 7, 2017, by and between Cumberland Pharmaceuticals Inc. and B. Riley FBR, Inc.,</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40" w:type="dxa"/>
            <w:vAlign w:val="bottom"/>
            <w:tcBorders>
              <w:top w:val="single" w:sz="8" w:color="0000FF"/>
              <w:bottom w:val="single" w:sz="8" w:color="0000FF"/>
            </w:tcBorders>
            <w:gridSpan w:val="20"/>
          </w:tcPr>
          <w:p>
            <w:pPr>
              <w:spacing w:after="0" w:line="117" w:lineRule="exact"/>
              <w:rPr>
                <w:rFonts w:ascii="Arial" w:cs="Arial" w:eastAsia="Arial" w:hAnsi="Arial"/>
                <w:sz w:val="13"/>
                <w:szCs w:val="13"/>
                <w:color w:val="0000FF"/>
              </w:rPr>
            </w:pPr>
            <w:hyperlink r:id="rId90">
              <w:r>
                <w:rPr>
                  <w:rFonts w:ascii="Arial" w:cs="Arial" w:eastAsia="Arial" w:hAnsi="Arial"/>
                  <w:sz w:val="13"/>
                  <w:szCs w:val="13"/>
                  <w:color w:val="0000FF"/>
                </w:rPr>
                <w:t>incorporated herein by reference to the corresponding Exhibit 1.1 of our Registration Statement on Form S-3 (File No. 333-221402) as filed</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820" w:type="dxa"/>
            <w:vAlign w:val="bottom"/>
            <w:gridSpan w:val="7"/>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2"/>
          </w:tcPr>
          <w:p>
            <w:pPr>
              <w:spacing w:after="0" w:line="117" w:lineRule="exact"/>
              <w:rPr>
                <w:rFonts w:ascii="Arial" w:cs="Arial" w:eastAsia="Arial" w:hAnsi="Arial"/>
                <w:sz w:val="13"/>
                <w:szCs w:val="13"/>
                <w:color w:val="0000FF"/>
              </w:rPr>
            </w:pPr>
            <w:hyperlink r:id="rId90">
              <w:r>
                <w:rPr>
                  <w:rFonts w:ascii="Arial" w:cs="Arial" w:eastAsia="Arial" w:hAnsi="Arial"/>
                  <w:sz w:val="13"/>
                  <w:szCs w:val="13"/>
                  <w:color w:val="0000FF"/>
                </w:rPr>
                <w:t>with the SEC on November 7, 2017.</w:t>
              </w:r>
            </w:hyperlink>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2"/>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gridSpan w:val="30"/>
          </w:tcPr>
          <w:p>
            <w:pPr>
              <w:spacing w:after="0"/>
              <w:rPr>
                <w:rFonts w:ascii="Arial" w:cs="Arial" w:eastAsia="Arial" w:hAnsi="Arial"/>
                <w:sz w:val="14"/>
                <w:szCs w:val="14"/>
                <w:color w:val="0000FF"/>
              </w:rPr>
            </w:pPr>
            <w:hyperlink r:id="rId91">
              <w:r>
                <w:rPr>
                  <w:rFonts w:ascii="Arial" w:cs="Arial" w:eastAsia="Arial" w:hAnsi="Arial"/>
                  <w:sz w:val="14"/>
                  <w:szCs w:val="14"/>
                  <w:color w:val="0000FF"/>
                </w:rPr>
                <w:t>Amendment No. 1 to At Market Issuance Sales Agreement, dated December 27, 2021, by and between Cumberland Pharmaceuticals Inc. and</w:t>
              </w:r>
            </w:hyperlink>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23"/>
          </w:tcPr>
          <w:p>
            <w:pPr>
              <w:spacing w:after="0" w:line="117" w:lineRule="exact"/>
              <w:rPr>
                <w:rFonts w:ascii="Arial" w:cs="Arial" w:eastAsia="Arial" w:hAnsi="Arial"/>
                <w:sz w:val="13"/>
                <w:szCs w:val="13"/>
                <w:color w:val="0000FF"/>
              </w:rPr>
            </w:pPr>
            <w:hyperlink r:id="rId91">
              <w:r>
                <w:rPr>
                  <w:rFonts w:ascii="Arial" w:cs="Arial" w:eastAsia="Arial" w:hAnsi="Arial"/>
                  <w:sz w:val="13"/>
                  <w:szCs w:val="13"/>
                  <w:color w:val="0000FF"/>
                </w:rPr>
                <w:t>B. Riley Securities, Inc., incorporated herein by reference to the corresponding exhibit 1.2 of the Registrant’s Form 8-K (File No. 001-33637)</w:t>
              </w:r>
            </w:hyperlink>
          </w:p>
        </w:tc>
        <w:tc>
          <w:tcPr>
            <w:tcW w:w="820" w:type="dxa"/>
            <w:vAlign w:val="bottom"/>
            <w:gridSpan w:val="7"/>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bottom w:val="single" w:sz="8" w:color="0000FF"/>
            </w:tcBorders>
            <w:gridSpan w:val="9"/>
          </w:tcPr>
          <w:p>
            <w:pPr>
              <w:spacing w:after="0" w:line="117" w:lineRule="exact"/>
              <w:rPr>
                <w:rFonts w:ascii="Arial" w:cs="Arial" w:eastAsia="Arial" w:hAnsi="Arial"/>
                <w:sz w:val="13"/>
                <w:szCs w:val="13"/>
                <w:color w:val="0000FF"/>
                <w:w w:val="97"/>
              </w:rPr>
            </w:pPr>
            <w:hyperlink r:id="rId91">
              <w:r>
                <w:rPr>
                  <w:rFonts w:ascii="Arial" w:cs="Arial" w:eastAsia="Arial" w:hAnsi="Arial"/>
                  <w:sz w:val="13"/>
                  <w:szCs w:val="13"/>
                  <w:color w:val="0000FF"/>
                  <w:w w:val="97"/>
                </w:rPr>
                <w:t>as filed with the SEC on December 27, 2021</w:t>
              </w:r>
            </w:hyperlink>
          </w:p>
        </w:tc>
        <w:tc>
          <w:tcPr>
            <w:tcW w:w="214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gridSpan w:val="30"/>
          </w:tcPr>
          <w:p>
            <w:pPr>
              <w:spacing w:after="0"/>
              <w:rPr>
                <w:rFonts w:ascii="Arial" w:cs="Arial" w:eastAsia="Arial" w:hAnsi="Arial"/>
                <w:sz w:val="14"/>
                <w:szCs w:val="14"/>
                <w:color w:val="0000FF"/>
              </w:rPr>
            </w:pPr>
            <w:hyperlink r:id="rId92">
              <w:r>
                <w:rPr>
                  <w:rFonts w:ascii="Arial" w:cs="Arial" w:eastAsia="Arial" w:hAnsi="Arial"/>
                  <w:sz w:val="14"/>
                  <w:szCs w:val="14"/>
                  <w:color w:val="0000FF"/>
                </w:rPr>
                <w:t>Asset Purchase Agreement, dated December 31, 2021, by and between Cumberland Pharmaceuticals Inc. and Kyowa Kirin, Inc., incorporated</w:t>
              </w:r>
            </w:hyperlink>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60" w:type="dxa"/>
            <w:vAlign w:val="bottom"/>
            <w:tcBorders>
              <w:top w:val="single" w:sz="8" w:color="0000FF"/>
            </w:tcBorders>
            <w:gridSpan w:val="21"/>
          </w:tcPr>
          <w:p>
            <w:pPr>
              <w:spacing w:after="0" w:line="117" w:lineRule="exact"/>
              <w:rPr>
                <w:rFonts w:ascii="Arial" w:cs="Arial" w:eastAsia="Arial" w:hAnsi="Arial"/>
                <w:sz w:val="13"/>
                <w:szCs w:val="13"/>
                <w:color w:val="0000FF"/>
                <w:w w:val="99"/>
              </w:rPr>
            </w:pPr>
            <w:hyperlink r:id="rId92">
              <w:r>
                <w:rPr>
                  <w:rFonts w:ascii="Arial" w:cs="Arial" w:eastAsia="Arial" w:hAnsi="Arial"/>
                  <w:sz w:val="13"/>
                  <w:szCs w:val="13"/>
                  <w:color w:val="0000FF"/>
                  <w:w w:val="99"/>
                </w:rPr>
                <w:t>herein by reference to the corresponding exhibit 2.1 of the Registrant’s Form 8-K (File No. 001- 001-33637) as filed with the SEC on January</w:t>
              </w:r>
            </w:hyperlink>
          </w:p>
        </w:tc>
        <w:tc>
          <w:tcPr>
            <w:tcW w:w="20" w:type="dxa"/>
            <w:vAlign w:val="bottom"/>
          </w:tcPr>
          <w:p>
            <w:pPr>
              <w:spacing w:after="0"/>
              <w:rPr>
                <w:sz w:val="10"/>
                <w:szCs w:val="10"/>
                <w:color w:val="auto"/>
              </w:rPr>
            </w:pPr>
          </w:p>
        </w:tc>
        <w:tc>
          <w:tcPr>
            <w:tcW w:w="840" w:type="dxa"/>
            <w:vAlign w:val="bottom"/>
            <w:gridSpan w:val="8"/>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0000FF"/>
              <w:bottom w:val="single" w:sz="8" w:color="0000FF"/>
            </w:tcBorders>
            <w:gridSpan w:val="2"/>
          </w:tcPr>
          <w:p>
            <w:pPr>
              <w:spacing w:after="0" w:line="117" w:lineRule="exact"/>
              <w:rPr>
                <w:rFonts w:ascii="Arial" w:cs="Arial" w:eastAsia="Arial" w:hAnsi="Arial"/>
                <w:sz w:val="13"/>
                <w:szCs w:val="13"/>
                <w:color w:val="0000FF"/>
                <w:w w:val="92"/>
              </w:rPr>
            </w:pPr>
            <w:hyperlink r:id="rId92">
              <w:r>
                <w:rPr>
                  <w:rFonts w:ascii="Arial" w:cs="Arial" w:eastAsia="Arial" w:hAnsi="Arial"/>
                  <w:sz w:val="13"/>
                  <w:szCs w:val="13"/>
                  <w:color w:val="0000FF"/>
                  <w:w w:val="92"/>
                </w:rPr>
                <w:t>6, 2022</w:t>
              </w:r>
            </w:hyperlink>
          </w:p>
        </w:tc>
        <w:tc>
          <w:tcPr>
            <w:tcW w:w="42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gridSpan w:val="30"/>
          </w:tcPr>
          <w:p>
            <w:pPr>
              <w:spacing w:after="0"/>
              <w:rPr>
                <w:rFonts w:ascii="Arial" w:cs="Arial" w:eastAsia="Arial" w:hAnsi="Arial"/>
                <w:sz w:val="14"/>
                <w:szCs w:val="14"/>
                <w:color w:val="0000FF"/>
              </w:rPr>
            </w:pPr>
            <w:hyperlink r:id="rId93">
              <w:r>
                <w:rPr>
                  <w:rFonts w:ascii="Arial" w:cs="Arial" w:eastAsia="Arial" w:hAnsi="Arial"/>
                  <w:sz w:val="14"/>
                  <w:szCs w:val="14"/>
                  <w:color w:val="0000FF"/>
                </w:rPr>
                <w:t>Third Amended and Restated Charter of Cumberland Pharmaceuticals Inc., incorporated herein by reference to the corresponding exhibit to</w:t>
              </w:r>
            </w:hyperlink>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760" w:type="dxa"/>
            <w:vAlign w:val="bottom"/>
            <w:tcBorders>
              <w:top w:val="single" w:sz="8" w:color="0000FF"/>
              <w:bottom w:val="single" w:sz="8" w:color="0000FF"/>
            </w:tcBorders>
            <w:gridSpan w:val="17"/>
          </w:tcPr>
          <w:p>
            <w:pPr>
              <w:spacing w:after="0" w:line="117" w:lineRule="exact"/>
              <w:rPr>
                <w:rFonts w:ascii="Arial" w:cs="Arial" w:eastAsia="Arial" w:hAnsi="Arial"/>
                <w:sz w:val="13"/>
                <w:szCs w:val="13"/>
                <w:color w:val="0000FF"/>
                <w:w w:val="98"/>
              </w:rPr>
            </w:pPr>
            <w:hyperlink r:id="rId93">
              <w:r>
                <w:rPr>
                  <w:rFonts w:ascii="Arial" w:cs="Arial" w:eastAsia="Arial" w:hAnsi="Arial"/>
                  <w:sz w:val="13"/>
                  <w:szCs w:val="13"/>
                  <w:color w:val="0000FF"/>
                  <w:w w:val="98"/>
                </w:rPr>
                <w:t>Amendment No. 19 of the Registrant’s Registration Statement on Form S-1 (File No. 333-142535) as filed with the SEC on July 17, 2009</w:t>
              </w:r>
            </w:hyperlink>
          </w:p>
        </w:tc>
        <w:tc>
          <w:tcPr>
            <w:tcW w:w="320" w:type="dxa"/>
            <w:vAlign w:val="bottom"/>
            <w:tcBorders>
              <w:top w:val="single" w:sz="8" w:color="0000FF"/>
            </w:tcBorders>
            <w:gridSpan w:val="5"/>
          </w:tcPr>
          <w:p>
            <w:pPr>
              <w:spacing w:after="0"/>
              <w:rPr>
                <w:sz w:val="10"/>
                <w:szCs w:val="10"/>
                <w:color w:val="auto"/>
              </w:rPr>
            </w:pPr>
          </w:p>
        </w:tc>
        <w:tc>
          <w:tcPr>
            <w:tcW w:w="840" w:type="dxa"/>
            <w:vAlign w:val="bottom"/>
            <w:gridSpan w:val="8"/>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20" w:type="dxa"/>
            <w:vAlign w:val="bottom"/>
            <w:gridSpan w:val="30"/>
          </w:tcPr>
          <w:p>
            <w:pPr>
              <w:spacing w:after="0"/>
              <w:rPr>
                <w:rFonts w:ascii="Arial" w:cs="Arial" w:eastAsia="Arial" w:hAnsi="Arial"/>
                <w:sz w:val="14"/>
                <w:szCs w:val="14"/>
                <w:color w:val="0000FF"/>
              </w:rPr>
            </w:pPr>
            <w:hyperlink r:id="rId94">
              <w:r>
                <w:rPr>
                  <w:rFonts w:ascii="Arial" w:cs="Arial" w:eastAsia="Arial" w:hAnsi="Arial"/>
                  <w:sz w:val="14"/>
                  <w:szCs w:val="14"/>
                  <w:color w:val="0000FF"/>
                </w:rPr>
                <w:t>Second Amended and Restated Bylaws of Cumberland Pharmaceuticals Inc., incorporated herein by reference to the corresponding exhibit to</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760" w:type="dxa"/>
            <w:vAlign w:val="bottom"/>
            <w:tcBorders>
              <w:top w:val="single" w:sz="8" w:color="0000FF"/>
              <w:bottom w:val="single" w:sz="8" w:color="0000FF"/>
            </w:tcBorders>
            <w:gridSpan w:val="17"/>
          </w:tcPr>
          <w:p>
            <w:pPr>
              <w:spacing w:after="0" w:line="117" w:lineRule="exact"/>
              <w:rPr>
                <w:rFonts w:ascii="Arial" w:cs="Arial" w:eastAsia="Arial" w:hAnsi="Arial"/>
                <w:sz w:val="13"/>
                <w:szCs w:val="13"/>
                <w:color w:val="0000FF"/>
                <w:w w:val="98"/>
              </w:rPr>
            </w:pPr>
            <w:hyperlink r:id="rId94">
              <w:r>
                <w:rPr>
                  <w:rFonts w:ascii="Arial" w:cs="Arial" w:eastAsia="Arial" w:hAnsi="Arial"/>
                  <w:sz w:val="13"/>
                  <w:szCs w:val="13"/>
                  <w:color w:val="0000FF"/>
                  <w:w w:val="98"/>
                </w:rPr>
                <w:t>Amendment No. 19 of the Registrant’s Registration Statement on Form S-1 (File No. 333-142535) as filed with the SEC on July 17, 2009</w:t>
              </w:r>
            </w:hyperlink>
          </w:p>
        </w:tc>
        <w:tc>
          <w:tcPr>
            <w:tcW w:w="260" w:type="dxa"/>
            <w:vAlign w:val="bottom"/>
            <w:tcBorders>
              <w:top w:val="single" w:sz="8" w:color="0000FF"/>
            </w:tcBorders>
            <w:gridSpan w:val="2"/>
          </w:tcPr>
          <w:p>
            <w:pPr>
              <w:spacing w:after="0"/>
              <w:rPr>
                <w:sz w:val="10"/>
                <w:szCs w:val="10"/>
                <w:color w:val="auto"/>
              </w:rPr>
            </w:pPr>
          </w:p>
        </w:tc>
        <w:tc>
          <w:tcPr>
            <w:tcW w:w="900" w:type="dxa"/>
            <w:vAlign w:val="bottom"/>
            <w:gridSpan w:val="11"/>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92"/>
              </w:rPr>
              <w:t>4.1</w:t>
            </w:r>
          </w:p>
        </w:tc>
        <w:tc>
          <w:tcPr>
            <w:tcW w:w="8340" w:type="dxa"/>
            <w:vAlign w:val="bottom"/>
            <w:gridSpan w:val="31"/>
          </w:tcPr>
          <w:p>
            <w:pPr>
              <w:spacing w:after="0"/>
              <w:rPr>
                <w:rFonts w:ascii="Arial" w:cs="Arial" w:eastAsia="Arial" w:hAnsi="Arial"/>
                <w:sz w:val="14"/>
                <w:szCs w:val="14"/>
                <w:color w:val="0000FF"/>
                <w:w w:val="96"/>
              </w:rPr>
            </w:pPr>
            <w:hyperlink r:id="rId96">
              <w:r>
                <w:rPr>
                  <w:rFonts w:ascii="Arial" w:cs="Arial" w:eastAsia="Arial" w:hAnsi="Arial"/>
                  <w:sz w:val="14"/>
                  <w:szCs w:val="14"/>
                  <w:color w:val="0000FF"/>
                  <w:w w:val="96"/>
                </w:rPr>
                <w:t>Specimen Common Stock Certificate of Cumberland Pharmaceuticals Inc., incorporated herein by reference to the corresponding exhibit to</w:t>
              </w:r>
            </w:hyperlink>
          </w:p>
        </w:tc>
      </w:tr>
      <w:tr>
        <w:trPr>
          <w:trHeight w:val="117"/>
        </w:trPr>
        <w:tc>
          <w:tcPr>
            <w:tcW w:w="1100" w:type="dxa"/>
            <w:vAlign w:val="bottom"/>
          </w:tcPr>
          <w:p>
            <w:pPr>
              <w:spacing w:after="0"/>
              <w:rPr>
                <w:sz w:val="10"/>
                <w:szCs w:val="10"/>
                <w:color w:val="auto"/>
              </w:rPr>
            </w:pPr>
          </w:p>
        </w:tc>
        <w:tc>
          <w:tcPr>
            <w:tcW w:w="8220" w:type="dxa"/>
            <w:vAlign w:val="bottom"/>
            <w:tcBorders>
              <w:top w:val="single" w:sz="8" w:color="0000FF"/>
            </w:tcBorders>
            <w:gridSpan w:val="25"/>
          </w:tcPr>
          <w:p>
            <w:pPr>
              <w:spacing w:after="0" w:line="117" w:lineRule="exact"/>
              <w:rPr>
                <w:rFonts w:ascii="Arial" w:cs="Arial" w:eastAsia="Arial" w:hAnsi="Arial"/>
                <w:sz w:val="13"/>
                <w:szCs w:val="13"/>
                <w:color w:val="0000FF"/>
              </w:rPr>
            </w:pPr>
            <w:hyperlink r:id="rId96">
              <w:r>
                <w:rPr>
                  <w:rFonts w:ascii="Arial" w:cs="Arial" w:eastAsia="Arial" w:hAnsi="Arial"/>
                  <w:sz w:val="13"/>
                  <w:szCs w:val="13"/>
                  <w:color w:val="0000FF"/>
                </w:rPr>
                <w:t>Amendment No. 5 of the Registrant’s Registration Statement on Form S-1 (File No. 333-142535) as filed with the SEC on August 6, 2007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92"/>
              </w:rPr>
              <w:t>4.2</w:t>
            </w:r>
          </w:p>
        </w:tc>
        <w:tc>
          <w:tcPr>
            <w:tcW w:w="8340" w:type="dxa"/>
            <w:vAlign w:val="bottom"/>
            <w:gridSpan w:val="31"/>
          </w:tcPr>
          <w:p>
            <w:pPr>
              <w:spacing w:after="0"/>
              <w:rPr>
                <w:rFonts w:ascii="Arial" w:cs="Arial" w:eastAsia="Arial" w:hAnsi="Arial"/>
                <w:sz w:val="14"/>
                <w:szCs w:val="14"/>
                <w:color w:val="0000FF"/>
                <w:w w:val="98"/>
              </w:rPr>
            </w:pPr>
            <w:hyperlink r:id="rId97">
              <w:r>
                <w:rPr>
                  <w:rFonts w:ascii="Arial" w:cs="Arial" w:eastAsia="Arial" w:hAnsi="Arial"/>
                  <w:sz w:val="14"/>
                  <w:szCs w:val="14"/>
                  <w:color w:val="0000FF"/>
                  <w:w w:val="98"/>
                </w:rPr>
                <w:t>Preferred Stock Terms, Rights, and Provisions, incorporated herein by reference to the corresponding exhibit to Registrant's Registration</w:t>
              </w:r>
            </w:hyperlink>
          </w:p>
        </w:tc>
      </w:tr>
      <w:tr>
        <w:trPr>
          <w:trHeight w:val="117"/>
        </w:trPr>
        <w:tc>
          <w:tcPr>
            <w:tcW w:w="1100" w:type="dxa"/>
            <w:vAlign w:val="bottom"/>
          </w:tcPr>
          <w:p>
            <w:pPr>
              <w:spacing w:after="0"/>
              <w:rPr>
                <w:sz w:val="10"/>
                <w:szCs w:val="10"/>
                <w:color w:val="auto"/>
              </w:rPr>
            </w:pPr>
          </w:p>
        </w:tc>
        <w:tc>
          <w:tcPr>
            <w:tcW w:w="8260" w:type="dxa"/>
            <w:vAlign w:val="bottom"/>
            <w:tcBorders>
              <w:top w:val="single" w:sz="8" w:color="0000FF"/>
            </w:tcBorders>
            <w:gridSpan w:val="27"/>
          </w:tcPr>
          <w:p>
            <w:pPr>
              <w:spacing w:after="0" w:line="117" w:lineRule="exact"/>
              <w:rPr>
                <w:rFonts w:ascii="Arial" w:cs="Arial" w:eastAsia="Arial" w:hAnsi="Arial"/>
                <w:sz w:val="13"/>
                <w:szCs w:val="13"/>
                <w:color w:val="0000FF"/>
              </w:rPr>
            </w:pPr>
            <w:hyperlink r:id="rId97">
              <w:r>
                <w:rPr>
                  <w:rFonts w:ascii="Arial" w:cs="Arial" w:eastAsia="Arial" w:hAnsi="Arial"/>
                  <w:sz w:val="13"/>
                  <w:szCs w:val="13"/>
                  <w:color w:val="0000FF"/>
                </w:rPr>
                <w:t>Statement Form S-3 (File No. 333-221402) as filed with the SEC on December 19,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92"/>
              </w:rPr>
              <w:t>4.3</w:t>
            </w:r>
          </w:p>
        </w:tc>
        <w:tc>
          <w:tcPr>
            <w:tcW w:w="8340" w:type="dxa"/>
            <w:vAlign w:val="bottom"/>
            <w:gridSpan w:val="31"/>
          </w:tcPr>
          <w:p>
            <w:pPr>
              <w:spacing w:after="0"/>
              <w:rPr>
                <w:rFonts w:ascii="Arial" w:cs="Arial" w:eastAsia="Arial" w:hAnsi="Arial"/>
                <w:sz w:val="14"/>
                <w:szCs w:val="14"/>
                <w:color w:val="0000FF"/>
                <w:w w:val="95"/>
              </w:rPr>
            </w:pPr>
            <w:hyperlink r:id="rId98">
              <w:r>
                <w:rPr>
                  <w:rFonts w:ascii="Arial" w:cs="Arial" w:eastAsia="Arial" w:hAnsi="Arial"/>
                  <w:sz w:val="14"/>
                  <w:szCs w:val="14"/>
                  <w:color w:val="0000FF"/>
                  <w:w w:val="95"/>
                </w:rPr>
                <w:t>Form of Senior Indenture, incorporated herein by reference to the corresponding exhibit to Registrant's Registration Statement Form S-3 (File</w:t>
              </w:r>
            </w:hyperlink>
          </w:p>
        </w:tc>
      </w:tr>
      <w:tr>
        <w:trPr>
          <w:trHeight w:val="117"/>
        </w:trPr>
        <w:tc>
          <w:tcPr>
            <w:tcW w:w="1100" w:type="dxa"/>
            <w:vAlign w:val="bottom"/>
          </w:tcPr>
          <w:p>
            <w:pPr>
              <w:spacing w:after="0"/>
              <w:rPr>
                <w:sz w:val="10"/>
                <w:szCs w:val="10"/>
                <w:color w:val="auto"/>
              </w:rPr>
            </w:pPr>
          </w:p>
        </w:tc>
        <w:tc>
          <w:tcPr>
            <w:tcW w:w="8000" w:type="dxa"/>
            <w:vAlign w:val="bottom"/>
            <w:tcBorders>
              <w:top w:val="single" w:sz="8" w:color="0000FF"/>
            </w:tcBorders>
            <w:gridSpan w:val="14"/>
          </w:tcPr>
          <w:p>
            <w:pPr>
              <w:spacing w:after="0" w:line="117" w:lineRule="exact"/>
              <w:rPr>
                <w:rFonts w:ascii="Arial" w:cs="Arial" w:eastAsia="Arial" w:hAnsi="Arial"/>
                <w:sz w:val="13"/>
                <w:szCs w:val="13"/>
                <w:color w:val="0000FF"/>
              </w:rPr>
            </w:pPr>
            <w:hyperlink r:id="rId98">
              <w:r>
                <w:rPr>
                  <w:rFonts w:ascii="Arial" w:cs="Arial" w:eastAsia="Arial" w:hAnsi="Arial"/>
                  <w:sz w:val="13"/>
                  <w:szCs w:val="13"/>
                  <w:color w:val="0000FF"/>
                </w:rPr>
                <w:t>No. 333-221402) as filed with the SEC on November 7,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92"/>
              </w:rPr>
              <w:t>4.4</w:t>
            </w:r>
          </w:p>
        </w:tc>
        <w:tc>
          <w:tcPr>
            <w:tcW w:w="8340" w:type="dxa"/>
            <w:vAlign w:val="bottom"/>
            <w:gridSpan w:val="31"/>
          </w:tcPr>
          <w:p>
            <w:pPr>
              <w:spacing w:after="0"/>
              <w:rPr>
                <w:rFonts w:ascii="Arial" w:cs="Arial" w:eastAsia="Arial" w:hAnsi="Arial"/>
                <w:sz w:val="14"/>
                <w:szCs w:val="14"/>
                <w:color w:val="0000FF"/>
                <w:w w:val="94"/>
              </w:rPr>
            </w:pPr>
            <w:hyperlink r:id="rId99">
              <w:r>
                <w:rPr>
                  <w:rFonts w:ascii="Arial" w:cs="Arial" w:eastAsia="Arial" w:hAnsi="Arial"/>
                  <w:sz w:val="14"/>
                  <w:szCs w:val="14"/>
                  <w:color w:val="0000FF"/>
                  <w:w w:val="94"/>
                </w:rPr>
                <w:t>Form of Subordinated Indenture, incorporated herein by reference to the corresponding exhibit to Registrant's Registration Statement Form S-</w:t>
              </w:r>
            </w:hyperlink>
          </w:p>
        </w:tc>
      </w:tr>
      <w:tr>
        <w:trPr>
          <w:trHeight w:val="117"/>
        </w:trPr>
        <w:tc>
          <w:tcPr>
            <w:tcW w:w="1100" w:type="dxa"/>
            <w:vAlign w:val="bottom"/>
          </w:tcPr>
          <w:p>
            <w:pPr>
              <w:spacing w:after="0"/>
              <w:rPr>
                <w:sz w:val="10"/>
                <w:szCs w:val="10"/>
                <w:color w:val="auto"/>
              </w:rPr>
            </w:pPr>
          </w:p>
        </w:tc>
        <w:tc>
          <w:tcPr>
            <w:tcW w:w="3880" w:type="dxa"/>
            <w:vAlign w:val="bottom"/>
            <w:tcBorders>
              <w:top w:val="single" w:sz="8" w:color="0000FF"/>
              <w:bottom w:val="single" w:sz="8" w:color="0000FF"/>
            </w:tcBorders>
            <w:gridSpan w:val="9"/>
          </w:tcPr>
          <w:p>
            <w:pPr>
              <w:spacing w:after="0" w:line="117" w:lineRule="exact"/>
              <w:rPr>
                <w:rFonts w:ascii="Arial" w:cs="Arial" w:eastAsia="Arial" w:hAnsi="Arial"/>
                <w:sz w:val="13"/>
                <w:szCs w:val="13"/>
                <w:color w:val="0000FF"/>
                <w:w w:val="99"/>
              </w:rPr>
            </w:pPr>
            <w:hyperlink r:id="rId99">
              <w:r>
                <w:rPr>
                  <w:rFonts w:ascii="Arial" w:cs="Arial" w:eastAsia="Arial" w:hAnsi="Arial"/>
                  <w:sz w:val="13"/>
                  <w:szCs w:val="13"/>
                  <w:color w:val="0000FF"/>
                  <w:w w:val="99"/>
                </w:rPr>
                <w:t>3 (File No. 333-221402) as filed with the SEC on November 7, 2017</w:t>
              </w:r>
            </w:hyperlink>
          </w:p>
        </w:tc>
        <w:tc>
          <w:tcPr>
            <w:tcW w:w="416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91"/>
        </w:trPr>
        <w:tc>
          <w:tcPr>
            <w:tcW w:w="1100" w:type="dxa"/>
            <w:vAlign w:val="bottom"/>
          </w:tcPr>
          <w:p>
            <w:pPr>
              <w:jc w:val="center"/>
              <w:ind w:right="630"/>
              <w:spacing w:after="0"/>
              <w:rPr>
                <w:sz w:val="20"/>
                <w:szCs w:val="20"/>
                <w:color w:val="auto"/>
              </w:rPr>
            </w:pPr>
            <w:r>
              <w:rPr>
                <w:rFonts w:ascii="Arial" w:cs="Arial" w:eastAsia="Arial" w:hAnsi="Arial"/>
                <w:sz w:val="14"/>
                <w:szCs w:val="14"/>
                <w:color w:val="auto"/>
                <w:w w:val="87"/>
              </w:rPr>
              <w:t>4.5#</w:t>
            </w:r>
          </w:p>
        </w:tc>
        <w:tc>
          <w:tcPr>
            <w:tcW w:w="8340" w:type="dxa"/>
            <w:vAlign w:val="bottom"/>
            <w:gridSpan w:val="31"/>
          </w:tcPr>
          <w:p>
            <w:pPr>
              <w:spacing w:after="0"/>
              <w:rPr>
                <w:rFonts w:ascii="Arial" w:cs="Arial" w:eastAsia="Arial" w:hAnsi="Arial"/>
                <w:sz w:val="14"/>
                <w:szCs w:val="14"/>
                <w:color w:val="0000FF"/>
                <w:w w:val="99"/>
              </w:rPr>
            </w:pPr>
            <w:hyperlink r:id="rId100">
              <w:r>
                <w:rPr>
                  <w:rFonts w:ascii="Arial" w:cs="Arial" w:eastAsia="Arial" w:hAnsi="Arial"/>
                  <w:sz w:val="14"/>
                  <w:szCs w:val="14"/>
                  <w:color w:val="0000FF"/>
                  <w:w w:val="99"/>
                </w:rPr>
                <w:t>Form of Option Agreement under 1999 Stock Option Plan of Cumberland Pharmaceuticals Inc., incorporated herein by reference to the</w:t>
              </w:r>
            </w:hyperlink>
          </w:p>
        </w:tc>
      </w:tr>
      <w:tr>
        <w:trPr>
          <w:trHeight w:val="117"/>
        </w:trPr>
        <w:tc>
          <w:tcPr>
            <w:tcW w:w="1100" w:type="dxa"/>
            <w:vAlign w:val="bottom"/>
          </w:tcPr>
          <w:p>
            <w:pPr>
              <w:spacing w:after="0"/>
              <w:rPr>
                <w:sz w:val="10"/>
                <w:szCs w:val="10"/>
                <w:color w:val="auto"/>
              </w:rPr>
            </w:pPr>
          </w:p>
        </w:tc>
        <w:tc>
          <w:tcPr>
            <w:tcW w:w="7820" w:type="dxa"/>
            <w:vAlign w:val="bottom"/>
            <w:tcBorders>
              <w:top w:val="single" w:sz="8" w:color="0000FF"/>
              <w:bottom w:val="single" w:sz="8" w:color="0000FF"/>
            </w:tcBorders>
            <w:gridSpan w:val="13"/>
          </w:tcPr>
          <w:p>
            <w:pPr>
              <w:spacing w:after="0" w:line="117" w:lineRule="exact"/>
              <w:rPr>
                <w:rFonts w:ascii="Arial" w:cs="Arial" w:eastAsia="Arial" w:hAnsi="Arial"/>
                <w:sz w:val="13"/>
                <w:szCs w:val="13"/>
                <w:color w:val="0000FF"/>
                <w:w w:val="98"/>
              </w:rPr>
            </w:pPr>
            <w:hyperlink r:id="rId100">
              <w:r>
                <w:rPr>
                  <w:rFonts w:ascii="Arial" w:cs="Arial" w:eastAsia="Arial" w:hAnsi="Arial"/>
                  <w:sz w:val="13"/>
                  <w:szCs w:val="13"/>
                  <w:color w:val="0000FF"/>
                  <w:w w:val="98"/>
                </w:rPr>
                <w:t>corresponding exhibit to the Registrant’s Registration Statement on Form S-1 (File No. 333-142535) as filed with the SEC on May 1, 2007</w:t>
              </w:r>
            </w:hyperlink>
          </w:p>
        </w:tc>
        <w:tc>
          <w:tcPr>
            <w:tcW w:w="200" w:type="dxa"/>
            <w:vAlign w:val="bottom"/>
            <w:tcBorders>
              <w:top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1100" w:type="dxa"/>
            <w:vAlign w:val="bottom"/>
          </w:tcPr>
          <w:p>
            <w:pPr>
              <w:jc w:val="center"/>
              <w:ind w:right="630"/>
              <w:spacing w:after="0"/>
              <w:rPr>
                <w:sz w:val="20"/>
                <w:szCs w:val="20"/>
                <w:color w:val="auto"/>
              </w:rPr>
            </w:pPr>
            <w:r>
              <w:rPr>
                <w:rFonts w:ascii="Arial" w:cs="Arial" w:eastAsia="Arial" w:hAnsi="Arial"/>
                <w:sz w:val="14"/>
                <w:szCs w:val="14"/>
                <w:color w:val="auto"/>
                <w:w w:val="92"/>
              </w:rPr>
              <w:t>4.6.1#</w:t>
            </w:r>
          </w:p>
        </w:tc>
        <w:tc>
          <w:tcPr>
            <w:tcW w:w="8340" w:type="dxa"/>
            <w:vAlign w:val="bottom"/>
            <w:gridSpan w:val="31"/>
          </w:tcPr>
          <w:p>
            <w:pPr>
              <w:spacing w:after="0"/>
              <w:rPr>
                <w:rFonts w:ascii="Arial" w:cs="Arial" w:eastAsia="Arial" w:hAnsi="Arial"/>
                <w:sz w:val="14"/>
                <w:szCs w:val="14"/>
                <w:color w:val="0000FF"/>
                <w:w w:val="95"/>
              </w:rPr>
            </w:pPr>
            <w:hyperlink r:id="rId101">
              <w:r>
                <w:rPr>
                  <w:rFonts w:ascii="Arial" w:cs="Arial" w:eastAsia="Arial" w:hAnsi="Arial"/>
                  <w:sz w:val="14"/>
                  <w:szCs w:val="14"/>
                  <w:color w:val="0000FF"/>
                  <w:w w:val="95"/>
                </w:rPr>
                <w:t>Form of Incentive Stock Option Agreement under the Amended and Restated 2007 Long-Term Incentive Compensation Plan of Cumberland</w:t>
              </w:r>
            </w:hyperlink>
          </w:p>
        </w:tc>
      </w:tr>
      <w:tr>
        <w:trPr>
          <w:trHeight w:val="117"/>
        </w:trPr>
        <w:tc>
          <w:tcPr>
            <w:tcW w:w="1100" w:type="dxa"/>
            <w:vAlign w:val="bottom"/>
          </w:tcPr>
          <w:p>
            <w:pPr>
              <w:spacing w:after="0"/>
              <w:rPr>
                <w:sz w:val="10"/>
                <w:szCs w:val="10"/>
                <w:color w:val="auto"/>
              </w:rPr>
            </w:pPr>
          </w:p>
        </w:tc>
        <w:tc>
          <w:tcPr>
            <w:tcW w:w="8160" w:type="dxa"/>
            <w:vAlign w:val="bottom"/>
            <w:tcBorders>
              <w:top w:val="single" w:sz="8" w:color="0000FF"/>
            </w:tcBorders>
            <w:gridSpan w:val="22"/>
          </w:tcPr>
          <w:p>
            <w:pPr>
              <w:spacing w:after="0" w:line="117" w:lineRule="exact"/>
              <w:rPr>
                <w:rFonts w:ascii="Arial" w:cs="Arial" w:eastAsia="Arial" w:hAnsi="Arial"/>
                <w:sz w:val="13"/>
                <w:szCs w:val="13"/>
                <w:color w:val="0000FF"/>
              </w:rPr>
            </w:pPr>
            <w:hyperlink r:id="rId101">
              <w:r>
                <w:rPr>
                  <w:rFonts w:ascii="Arial" w:cs="Arial" w:eastAsia="Arial" w:hAnsi="Arial"/>
                  <w:sz w:val="13"/>
                  <w:szCs w:val="13"/>
                  <w:color w:val="0000FF"/>
                </w:rPr>
                <w:t>Pharmaceuticals Inc. incorporated herein by reference to the corresponding exhibit to the Registrant’s Annual Report on Form 10-K (File No.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10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5"/>
          </w:tcPr>
          <w:p>
            <w:pPr>
              <w:spacing w:after="0" w:line="117" w:lineRule="exact"/>
              <w:rPr>
                <w:rFonts w:ascii="Arial" w:cs="Arial" w:eastAsia="Arial" w:hAnsi="Arial"/>
                <w:sz w:val="13"/>
                <w:szCs w:val="13"/>
                <w:color w:val="0000FF"/>
                <w:w w:val="98"/>
              </w:rPr>
            </w:pPr>
            <w:hyperlink r:id="rId101">
              <w:r>
                <w:rPr>
                  <w:rFonts w:ascii="Arial" w:cs="Arial" w:eastAsia="Arial" w:hAnsi="Arial"/>
                  <w:sz w:val="13"/>
                  <w:szCs w:val="13"/>
                  <w:color w:val="0000FF"/>
                  <w:w w:val="98"/>
                </w:rPr>
                <w:t>001-33637) as filed with the SEC on March 12, 2013</w:t>
              </w:r>
            </w:hyperlink>
          </w:p>
        </w:tc>
        <w:tc>
          <w:tcPr>
            <w:tcW w:w="508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1100" w:type="dxa"/>
            <w:vAlign w:val="bottom"/>
          </w:tcPr>
          <w:p>
            <w:pPr>
              <w:jc w:val="center"/>
              <w:ind w:right="630"/>
              <w:spacing w:after="0"/>
              <w:rPr>
                <w:sz w:val="20"/>
                <w:szCs w:val="20"/>
                <w:color w:val="auto"/>
              </w:rPr>
            </w:pPr>
            <w:r>
              <w:rPr>
                <w:rFonts w:ascii="Arial" w:cs="Arial" w:eastAsia="Arial" w:hAnsi="Arial"/>
                <w:sz w:val="14"/>
                <w:szCs w:val="14"/>
                <w:color w:val="auto"/>
                <w:w w:val="92"/>
              </w:rPr>
              <w:t>4.6.2#</w:t>
            </w:r>
          </w:p>
        </w:tc>
        <w:tc>
          <w:tcPr>
            <w:tcW w:w="8340" w:type="dxa"/>
            <w:vAlign w:val="bottom"/>
            <w:gridSpan w:val="31"/>
          </w:tcPr>
          <w:p>
            <w:pPr>
              <w:spacing w:after="0"/>
              <w:rPr>
                <w:rFonts w:ascii="Arial" w:cs="Arial" w:eastAsia="Arial" w:hAnsi="Arial"/>
                <w:sz w:val="14"/>
                <w:szCs w:val="14"/>
                <w:color w:val="0000FF"/>
              </w:rPr>
            </w:pPr>
            <w:hyperlink r:id="rId102">
              <w:r>
                <w:rPr>
                  <w:rFonts w:ascii="Arial" w:cs="Arial" w:eastAsia="Arial" w:hAnsi="Arial"/>
                  <w:sz w:val="14"/>
                  <w:szCs w:val="14"/>
                  <w:color w:val="0000FF"/>
                </w:rPr>
                <w:t>Form of Non-Statutory Stock Option Agreement under the Amended and Restated 2007 Long-Term Incentive Compensation Plan of</w:t>
              </w:r>
            </w:hyperlink>
          </w:p>
        </w:tc>
      </w:tr>
      <w:tr>
        <w:trPr>
          <w:trHeight w:val="117"/>
        </w:trPr>
        <w:tc>
          <w:tcPr>
            <w:tcW w:w="1100" w:type="dxa"/>
            <w:vAlign w:val="bottom"/>
          </w:tcPr>
          <w:p>
            <w:pPr>
              <w:spacing w:after="0"/>
              <w:rPr>
                <w:sz w:val="10"/>
                <w:szCs w:val="10"/>
                <w:color w:val="auto"/>
              </w:rPr>
            </w:pPr>
          </w:p>
        </w:tc>
        <w:tc>
          <w:tcPr>
            <w:tcW w:w="8320" w:type="dxa"/>
            <w:vAlign w:val="bottom"/>
            <w:tcBorders>
              <w:top w:val="single" w:sz="8" w:color="0000FF"/>
            </w:tcBorders>
            <w:gridSpan w:val="30"/>
          </w:tcPr>
          <w:p>
            <w:pPr>
              <w:spacing w:after="0" w:line="117" w:lineRule="exact"/>
              <w:rPr>
                <w:rFonts w:ascii="Arial" w:cs="Arial" w:eastAsia="Arial" w:hAnsi="Arial"/>
                <w:sz w:val="13"/>
                <w:szCs w:val="13"/>
                <w:color w:val="0000FF"/>
              </w:rPr>
            </w:pPr>
            <w:hyperlink r:id="rId102">
              <w:r>
                <w:rPr>
                  <w:rFonts w:ascii="Arial" w:cs="Arial" w:eastAsia="Arial" w:hAnsi="Arial"/>
                  <w:sz w:val="13"/>
                  <w:szCs w:val="13"/>
                  <w:color w:val="0000FF"/>
                </w:rPr>
                <w:t>Cumberland Pharmaceuticals Inc. incorporated herein by reference to the corresponding exhibit to the Registrant’s Annual Report on Form</w:t>
              </w:r>
            </w:hyperlink>
          </w:p>
        </w:tc>
        <w:tc>
          <w:tcPr>
            <w:tcW w:w="20" w:type="dxa"/>
            <w:vAlign w:val="bottom"/>
          </w:tcPr>
          <w:p>
            <w:pPr>
              <w:spacing w:after="0"/>
              <w:rPr>
                <w:sz w:val="10"/>
                <w:szCs w:val="10"/>
                <w:color w:val="auto"/>
              </w:rPr>
            </w:pPr>
          </w:p>
        </w:tc>
      </w:tr>
      <w:tr>
        <w:trPr>
          <w:trHeight w:val="117"/>
        </w:trPr>
        <w:tc>
          <w:tcPr>
            <w:tcW w:w="1100" w:type="dxa"/>
            <w:vAlign w:val="bottom"/>
          </w:tcPr>
          <w:p>
            <w:pPr>
              <w:spacing w:after="0"/>
              <w:rPr>
                <w:sz w:val="10"/>
                <w:szCs w:val="10"/>
                <w:color w:val="auto"/>
              </w:rPr>
            </w:pPr>
          </w:p>
        </w:tc>
        <w:tc>
          <w:tcPr>
            <w:tcW w:w="3860" w:type="dxa"/>
            <w:vAlign w:val="bottom"/>
            <w:tcBorders>
              <w:top w:val="single" w:sz="8" w:color="0000FF"/>
              <w:bottom w:val="single" w:sz="8" w:color="0000FF"/>
            </w:tcBorders>
            <w:gridSpan w:val="8"/>
          </w:tcPr>
          <w:p>
            <w:pPr>
              <w:spacing w:after="0" w:line="117" w:lineRule="exact"/>
              <w:rPr>
                <w:rFonts w:ascii="Arial" w:cs="Arial" w:eastAsia="Arial" w:hAnsi="Arial"/>
                <w:sz w:val="13"/>
                <w:szCs w:val="13"/>
                <w:color w:val="0000FF"/>
                <w:w w:val="99"/>
              </w:rPr>
            </w:pPr>
            <w:hyperlink r:id="rId102">
              <w:r>
                <w:rPr>
                  <w:rFonts w:ascii="Arial" w:cs="Arial" w:eastAsia="Arial" w:hAnsi="Arial"/>
                  <w:sz w:val="13"/>
                  <w:szCs w:val="13"/>
                  <w:color w:val="0000FF"/>
                  <w:w w:val="99"/>
                </w:rPr>
                <w:t>10-K (File No. 001-33637) as filed with the SEC on March 12, 2013</w:t>
              </w:r>
            </w:hyperlink>
          </w:p>
        </w:tc>
        <w:tc>
          <w:tcPr>
            <w:tcW w:w="426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00" w:type="dxa"/>
            <w:vAlign w:val="bottom"/>
          </w:tcPr>
          <w:p>
            <w:pPr>
              <w:jc w:val="center"/>
              <w:ind w:right="630"/>
              <w:spacing w:after="0"/>
              <w:rPr>
                <w:sz w:val="20"/>
                <w:szCs w:val="20"/>
                <w:color w:val="auto"/>
              </w:rPr>
            </w:pPr>
            <w:r>
              <w:rPr>
                <w:rFonts w:ascii="Arial" w:cs="Arial" w:eastAsia="Arial" w:hAnsi="Arial"/>
                <w:sz w:val="14"/>
                <w:szCs w:val="14"/>
                <w:color w:val="auto"/>
                <w:w w:val="87"/>
              </w:rPr>
              <w:t>4.7#</w:t>
            </w:r>
          </w:p>
        </w:tc>
        <w:tc>
          <w:tcPr>
            <w:tcW w:w="8340" w:type="dxa"/>
            <w:vAlign w:val="bottom"/>
            <w:gridSpan w:val="31"/>
          </w:tcPr>
          <w:p>
            <w:pPr>
              <w:spacing w:after="0"/>
              <w:rPr>
                <w:rFonts w:ascii="Arial" w:cs="Arial" w:eastAsia="Arial" w:hAnsi="Arial"/>
                <w:sz w:val="14"/>
                <w:szCs w:val="14"/>
                <w:color w:val="0000FF"/>
              </w:rPr>
            </w:pPr>
            <w:hyperlink r:id="rId103">
              <w:r>
                <w:rPr>
                  <w:rFonts w:ascii="Arial" w:cs="Arial" w:eastAsia="Arial" w:hAnsi="Arial"/>
                  <w:sz w:val="14"/>
                  <w:szCs w:val="14"/>
                  <w:color w:val="0000FF"/>
                </w:rPr>
                <w:t>Form of Non-Statutory Stock Option Agreement under the Amended and Restated 2007 Directors’ Compensation Plan of Cumberland</w:t>
              </w:r>
            </w:hyperlink>
          </w:p>
        </w:tc>
      </w:tr>
      <w:tr>
        <w:trPr>
          <w:trHeight w:val="117"/>
        </w:trPr>
        <w:tc>
          <w:tcPr>
            <w:tcW w:w="1100" w:type="dxa"/>
            <w:vAlign w:val="bottom"/>
          </w:tcPr>
          <w:p>
            <w:pPr>
              <w:spacing w:after="0"/>
              <w:rPr>
                <w:sz w:val="10"/>
                <w:szCs w:val="10"/>
                <w:color w:val="auto"/>
              </w:rPr>
            </w:pPr>
          </w:p>
        </w:tc>
        <w:tc>
          <w:tcPr>
            <w:tcW w:w="8280" w:type="dxa"/>
            <w:vAlign w:val="bottom"/>
            <w:tcBorders>
              <w:top w:val="single" w:sz="8" w:color="0000FF"/>
            </w:tcBorders>
            <w:gridSpan w:val="28"/>
          </w:tcPr>
          <w:p>
            <w:pPr>
              <w:spacing w:after="0" w:line="117" w:lineRule="exact"/>
              <w:rPr>
                <w:rFonts w:ascii="Arial" w:cs="Arial" w:eastAsia="Arial" w:hAnsi="Arial"/>
                <w:sz w:val="13"/>
                <w:szCs w:val="13"/>
                <w:color w:val="0000FF"/>
              </w:rPr>
            </w:pPr>
            <w:hyperlink r:id="rId103">
              <w:r>
                <w:rPr>
                  <w:rFonts w:ascii="Arial" w:cs="Arial" w:eastAsia="Arial" w:hAnsi="Arial"/>
                  <w:sz w:val="13"/>
                  <w:szCs w:val="13"/>
                  <w:color w:val="0000FF"/>
                </w:rPr>
                <w:t>Pharmaceuticals Inc. incorporated herein by reference to the corresponding exhibit to the Registrant’s Annual Report on Form 10-K (File No.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7"/>
        </w:trPr>
        <w:tc>
          <w:tcPr>
            <w:tcW w:w="110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5"/>
          </w:tcPr>
          <w:p>
            <w:pPr>
              <w:spacing w:after="0" w:line="117" w:lineRule="exact"/>
              <w:rPr>
                <w:rFonts w:ascii="Arial" w:cs="Arial" w:eastAsia="Arial" w:hAnsi="Arial"/>
                <w:sz w:val="13"/>
                <w:szCs w:val="13"/>
                <w:color w:val="0000FF"/>
                <w:w w:val="98"/>
              </w:rPr>
            </w:pPr>
            <w:hyperlink r:id="rId103">
              <w:r>
                <w:rPr>
                  <w:rFonts w:ascii="Arial" w:cs="Arial" w:eastAsia="Arial" w:hAnsi="Arial"/>
                  <w:sz w:val="13"/>
                  <w:szCs w:val="13"/>
                  <w:color w:val="0000FF"/>
                  <w:w w:val="98"/>
                </w:rPr>
                <w:t>001-33637) as filed with the SEC on March 12, 2013</w:t>
              </w:r>
            </w:hyperlink>
          </w:p>
        </w:tc>
        <w:tc>
          <w:tcPr>
            <w:tcW w:w="508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92"/>
              </w:rPr>
              <w:t>4.8</w:t>
            </w:r>
          </w:p>
        </w:tc>
        <w:tc>
          <w:tcPr>
            <w:tcW w:w="8340" w:type="dxa"/>
            <w:vAlign w:val="bottom"/>
            <w:gridSpan w:val="31"/>
          </w:tcPr>
          <w:p>
            <w:pPr>
              <w:spacing w:after="0"/>
              <w:rPr>
                <w:rFonts w:ascii="Arial" w:cs="Arial" w:eastAsia="Arial" w:hAnsi="Arial"/>
                <w:sz w:val="14"/>
                <w:szCs w:val="14"/>
                <w:color w:val="0000FF"/>
                <w:w w:val="97"/>
              </w:rPr>
            </w:pPr>
            <w:hyperlink r:id="rId104">
              <w:r>
                <w:rPr>
                  <w:rFonts w:ascii="Arial" w:cs="Arial" w:eastAsia="Arial" w:hAnsi="Arial"/>
                  <w:sz w:val="14"/>
                  <w:szCs w:val="14"/>
                  <w:color w:val="0000FF"/>
                  <w:w w:val="97"/>
                </w:rPr>
                <w:t>Warrant to Purchase Common Stock of Cumberland Pharmaceuticals Inc., issued to Bank of America, N.A. on July 22, 2009, incorporated</w:t>
              </w:r>
            </w:hyperlink>
          </w:p>
        </w:tc>
      </w:tr>
      <w:tr>
        <w:trPr>
          <w:trHeight w:val="117"/>
        </w:trPr>
        <w:tc>
          <w:tcPr>
            <w:tcW w:w="1100" w:type="dxa"/>
            <w:vAlign w:val="bottom"/>
          </w:tcPr>
          <w:p>
            <w:pPr>
              <w:spacing w:after="0"/>
              <w:rPr>
                <w:sz w:val="10"/>
                <w:szCs w:val="10"/>
                <w:color w:val="auto"/>
              </w:rPr>
            </w:pPr>
          </w:p>
        </w:tc>
        <w:tc>
          <w:tcPr>
            <w:tcW w:w="8240" w:type="dxa"/>
            <w:vAlign w:val="bottom"/>
            <w:tcBorders>
              <w:top w:val="single" w:sz="8" w:color="0000FF"/>
            </w:tcBorders>
            <w:gridSpan w:val="26"/>
          </w:tcPr>
          <w:p>
            <w:pPr>
              <w:spacing w:after="0" w:line="117" w:lineRule="exact"/>
              <w:rPr>
                <w:rFonts w:ascii="Arial" w:cs="Arial" w:eastAsia="Arial" w:hAnsi="Arial"/>
                <w:sz w:val="13"/>
                <w:szCs w:val="13"/>
                <w:color w:val="0000FF"/>
              </w:rPr>
            </w:pPr>
            <w:hyperlink r:id="rId104">
              <w:r>
                <w:rPr>
                  <w:rFonts w:ascii="Arial" w:cs="Arial" w:eastAsia="Arial" w:hAnsi="Arial"/>
                  <w:sz w:val="13"/>
                  <w:szCs w:val="13"/>
                  <w:color w:val="0000FF"/>
                </w:rPr>
                <w:t>herein by reference to the corresponding exhibit to the Registrant’s Annual Report on Form 10-K (File No. 001-33637) as filed with the SEC</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7"/>
        </w:trPr>
        <w:tc>
          <w:tcPr>
            <w:tcW w:w="1100" w:type="dxa"/>
            <w:vAlign w:val="bottom"/>
          </w:tcPr>
          <w:p>
            <w:pPr>
              <w:spacing w:after="0"/>
              <w:rPr>
                <w:sz w:val="10"/>
                <w:szCs w:val="10"/>
                <w:color w:val="auto"/>
              </w:rPr>
            </w:pPr>
          </w:p>
        </w:tc>
        <w:tc>
          <w:tcPr>
            <w:tcW w:w="1080" w:type="dxa"/>
            <w:vAlign w:val="bottom"/>
            <w:tcBorders>
              <w:top w:val="single" w:sz="8" w:color="0000FF"/>
              <w:bottom w:val="single" w:sz="8" w:color="0000FF"/>
            </w:tcBorders>
          </w:tcPr>
          <w:p>
            <w:pPr>
              <w:spacing w:after="0" w:line="117" w:lineRule="exact"/>
              <w:rPr>
                <w:rFonts w:ascii="Arial" w:cs="Arial" w:eastAsia="Arial" w:hAnsi="Arial"/>
                <w:sz w:val="13"/>
                <w:szCs w:val="13"/>
                <w:color w:val="0000FF"/>
                <w:w w:val="97"/>
              </w:rPr>
            </w:pPr>
            <w:hyperlink r:id="rId104">
              <w:r>
                <w:rPr>
                  <w:rFonts w:ascii="Arial" w:cs="Arial" w:eastAsia="Arial" w:hAnsi="Arial"/>
                  <w:sz w:val="13"/>
                  <w:szCs w:val="13"/>
                  <w:color w:val="0000FF"/>
                  <w:w w:val="97"/>
                </w:rPr>
                <w:t>on March 19, 2010</w:t>
              </w:r>
            </w:hyperlink>
          </w:p>
        </w:tc>
        <w:tc>
          <w:tcPr>
            <w:tcW w:w="7060" w:type="dxa"/>
            <w:vAlign w:val="bottom"/>
            <w:tcBorders>
              <w:top w:val="single" w:sz="8" w:color="0000FF"/>
            </w:tcBorders>
            <w:gridSpan w:val="20"/>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92"/>
              </w:rPr>
              <w:t>4.9</w:t>
            </w:r>
          </w:p>
        </w:tc>
        <w:tc>
          <w:tcPr>
            <w:tcW w:w="8340" w:type="dxa"/>
            <w:vAlign w:val="bottom"/>
            <w:gridSpan w:val="31"/>
          </w:tcPr>
          <w:p>
            <w:pPr>
              <w:spacing w:after="0"/>
              <w:rPr>
                <w:rFonts w:ascii="Arial" w:cs="Arial" w:eastAsia="Arial" w:hAnsi="Arial"/>
                <w:sz w:val="14"/>
                <w:szCs w:val="14"/>
                <w:color w:val="0000FF"/>
                <w:w w:val="95"/>
              </w:rPr>
            </w:pPr>
            <w:hyperlink r:id="rId98">
              <w:r>
                <w:rPr>
                  <w:rFonts w:ascii="Arial" w:cs="Arial" w:eastAsia="Arial" w:hAnsi="Arial"/>
                  <w:sz w:val="14"/>
                  <w:szCs w:val="14"/>
                  <w:color w:val="0000FF"/>
                  <w:w w:val="95"/>
                </w:rPr>
                <w:t>Form of Senior Indenture, incorporated herein by reference to the corresponding exhibit to Registrant's Registration Statement Form S-3 (File</w:t>
              </w:r>
            </w:hyperlink>
          </w:p>
        </w:tc>
      </w:tr>
      <w:tr>
        <w:trPr>
          <w:trHeight w:val="117"/>
        </w:trPr>
        <w:tc>
          <w:tcPr>
            <w:tcW w:w="1100" w:type="dxa"/>
            <w:vAlign w:val="bottom"/>
          </w:tcPr>
          <w:p>
            <w:pPr>
              <w:spacing w:after="0"/>
              <w:rPr>
                <w:sz w:val="10"/>
                <w:szCs w:val="10"/>
                <w:color w:val="auto"/>
              </w:rPr>
            </w:pPr>
          </w:p>
        </w:tc>
        <w:tc>
          <w:tcPr>
            <w:tcW w:w="3580" w:type="dxa"/>
            <w:vAlign w:val="bottom"/>
            <w:tcBorders>
              <w:top w:val="single" w:sz="8" w:color="0000FF"/>
              <w:bottom w:val="single" w:sz="8" w:color="0000FF"/>
            </w:tcBorders>
            <w:gridSpan w:val="7"/>
          </w:tcPr>
          <w:p>
            <w:pPr>
              <w:spacing w:after="0" w:line="117" w:lineRule="exact"/>
              <w:rPr>
                <w:rFonts w:ascii="Arial" w:cs="Arial" w:eastAsia="Arial" w:hAnsi="Arial"/>
                <w:sz w:val="13"/>
                <w:szCs w:val="13"/>
                <w:color w:val="0000FF"/>
                <w:w w:val="97"/>
              </w:rPr>
            </w:pPr>
            <w:hyperlink r:id="rId98">
              <w:r>
                <w:rPr>
                  <w:rFonts w:ascii="Arial" w:cs="Arial" w:eastAsia="Arial" w:hAnsi="Arial"/>
                  <w:sz w:val="13"/>
                  <w:szCs w:val="13"/>
                  <w:color w:val="0000FF"/>
                  <w:w w:val="97"/>
                </w:rPr>
                <w:t>No. 333-184091) as filed with the SEC on September 25, 2012.</w:t>
              </w:r>
            </w:hyperlink>
          </w:p>
        </w:tc>
        <w:tc>
          <w:tcPr>
            <w:tcW w:w="4420" w:type="dxa"/>
            <w:vAlign w:val="bottom"/>
            <w:tcBorders>
              <w:top w:val="single" w:sz="8" w:color="0000FF"/>
            </w:tcBorders>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00" w:type="dxa"/>
            <w:vAlign w:val="bottom"/>
          </w:tcPr>
          <w:p>
            <w:pPr>
              <w:jc w:val="center"/>
              <w:ind w:right="630"/>
              <w:spacing w:after="0"/>
              <w:rPr>
                <w:sz w:val="20"/>
                <w:szCs w:val="20"/>
                <w:color w:val="auto"/>
              </w:rPr>
            </w:pPr>
            <w:r>
              <w:rPr>
                <w:rFonts w:ascii="Arial" w:cs="Arial" w:eastAsia="Arial" w:hAnsi="Arial"/>
                <w:sz w:val="14"/>
                <w:szCs w:val="14"/>
                <w:color w:val="auto"/>
                <w:w w:val="87"/>
              </w:rPr>
              <w:t>4.10</w:t>
            </w:r>
          </w:p>
        </w:tc>
        <w:tc>
          <w:tcPr>
            <w:tcW w:w="8340" w:type="dxa"/>
            <w:vAlign w:val="bottom"/>
            <w:gridSpan w:val="31"/>
          </w:tcPr>
          <w:p>
            <w:pPr>
              <w:spacing w:after="0"/>
              <w:rPr>
                <w:rFonts w:ascii="Arial" w:cs="Arial" w:eastAsia="Arial" w:hAnsi="Arial"/>
                <w:sz w:val="14"/>
                <w:szCs w:val="14"/>
                <w:color w:val="0000FF"/>
                <w:w w:val="94"/>
              </w:rPr>
            </w:pPr>
            <w:hyperlink r:id="rId99">
              <w:r>
                <w:rPr>
                  <w:rFonts w:ascii="Arial" w:cs="Arial" w:eastAsia="Arial" w:hAnsi="Arial"/>
                  <w:sz w:val="14"/>
                  <w:szCs w:val="14"/>
                  <w:color w:val="0000FF"/>
                  <w:w w:val="94"/>
                </w:rPr>
                <w:t>Form of Subordinated Indenture, incorporated herein by reference to the corresponding exhibit to Registrant's Registration Statement Form S-</w:t>
              </w:r>
            </w:hyperlink>
          </w:p>
        </w:tc>
      </w:tr>
      <w:tr>
        <w:trPr>
          <w:trHeight w:val="117"/>
        </w:trPr>
        <w:tc>
          <w:tcPr>
            <w:tcW w:w="1100" w:type="dxa"/>
            <w:vAlign w:val="bottom"/>
          </w:tcPr>
          <w:p>
            <w:pPr>
              <w:spacing w:after="0"/>
              <w:rPr>
                <w:sz w:val="10"/>
                <w:szCs w:val="10"/>
                <w:color w:val="auto"/>
              </w:rPr>
            </w:pPr>
          </w:p>
        </w:tc>
        <w:tc>
          <w:tcPr>
            <w:tcW w:w="8040" w:type="dxa"/>
            <w:vAlign w:val="bottom"/>
            <w:tcBorders>
              <w:top w:val="single" w:sz="8" w:color="0000FF"/>
            </w:tcBorders>
            <w:gridSpan w:val="16"/>
          </w:tcPr>
          <w:p>
            <w:pPr>
              <w:spacing w:after="0" w:line="117" w:lineRule="exact"/>
              <w:rPr>
                <w:rFonts w:ascii="Arial" w:cs="Arial" w:eastAsia="Arial" w:hAnsi="Arial"/>
                <w:sz w:val="13"/>
                <w:szCs w:val="13"/>
                <w:color w:val="0000FF"/>
              </w:rPr>
            </w:pPr>
            <w:hyperlink r:id="rId99">
              <w:r>
                <w:rPr>
                  <w:rFonts w:ascii="Arial" w:cs="Arial" w:eastAsia="Arial" w:hAnsi="Arial"/>
                  <w:sz w:val="13"/>
                  <w:szCs w:val="13"/>
                  <w:color w:val="0000FF"/>
                </w:rPr>
                <w:t>3 (File No. 333-184091) as filed with the SEC on September 25, 2012</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00" w:type="dxa"/>
            <w:vAlign w:val="bottom"/>
          </w:tcPr>
          <w:p>
            <w:pPr>
              <w:jc w:val="center"/>
              <w:ind w:right="630"/>
              <w:spacing w:after="0"/>
              <w:rPr>
                <w:sz w:val="20"/>
                <w:szCs w:val="20"/>
                <w:color w:val="auto"/>
              </w:rPr>
            </w:pPr>
            <w:r>
              <w:rPr>
                <w:rFonts w:ascii="Arial" w:cs="Arial" w:eastAsia="Arial" w:hAnsi="Arial"/>
                <w:sz w:val="14"/>
                <w:szCs w:val="14"/>
                <w:color w:val="auto"/>
                <w:w w:val="87"/>
              </w:rPr>
              <w:t>4.11</w:t>
            </w:r>
          </w:p>
        </w:tc>
        <w:tc>
          <w:tcPr>
            <w:tcW w:w="3460" w:type="dxa"/>
            <w:vAlign w:val="bottom"/>
            <w:tcBorders>
              <w:top w:val="single" w:sz="8" w:color="0000FF"/>
              <w:bottom w:val="single" w:sz="8" w:color="0000FF"/>
            </w:tcBorders>
            <w:gridSpan w:val="6"/>
          </w:tcPr>
          <w:p>
            <w:pPr>
              <w:spacing w:after="0"/>
              <w:rPr>
                <w:rFonts w:ascii="Arial" w:cs="Arial" w:eastAsia="Arial" w:hAnsi="Arial"/>
                <w:sz w:val="14"/>
                <w:szCs w:val="14"/>
                <w:color w:val="0000FF"/>
                <w:w w:val="91"/>
              </w:rPr>
            </w:pPr>
            <w:hyperlink w:anchor="page131">
              <w:r>
                <w:rPr>
                  <w:rFonts w:ascii="Arial" w:cs="Arial" w:eastAsia="Arial" w:hAnsi="Arial"/>
                  <w:sz w:val="14"/>
                  <w:szCs w:val="14"/>
                  <w:color w:val="0000FF"/>
                  <w:w w:val="91"/>
                </w:rPr>
                <w:t>Description of Cumberland Pharmaceutical's Common Stock</w:t>
              </w:r>
            </w:hyperlink>
          </w:p>
        </w:tc>
        <w:tc>
          <w:tcPr>
            <w:tcW w:w="480" w:type="dxa"/>
            <w:vAlign w:val="bottom"/>
            <w:tcBorders>
              <w:top w:val="single" w:sz="8" w:color="0000FF"/>
            </w:tcBorders>
            <w:gridSpan w:val="4"/>
          </w:tcPr>
          <w:p>
            <w:pPr>
              <w:spacing w:after="0"/>
              <w:rPr>
                <w:sz w:val="17"/>
                <w:szCs w:val="17"/>
                <w:color w:val="auto"/>
              </w:rPr>
            </w:pPr>
          </w:p>
        </w:tc>
        <w:tc>
          <w:tcPr>
            <w:tcW w:w="4400" w:type="dxa"/>
            <w:vAlign w:val="bottom"/>
            <w:gridSpan w:val="21"/>
          </w:tcPr>
          <w:p>
            <w:pPr>
              <w:spacing w:after="0"/>
              <w:rPr>
                <w:sz w:val="17"/>
                <w:szCs w:val="17"/>
                <w:color w:val="auto"/>
              </w:rPr>
            </w:pPr>
          </w:p>
        </w:tc>
      </w:tr>
      <w:tr>
        <w:trPr>
          <w:trHeight w:val="201"/>
        </w:trPr>
        <w:tc>
          <w:tcPr>
            <w:tcW w:w="1100" w:type="dxa"/>
            <w:vAlign w:val="bottom"/>
          </w:tcPr>
          <w:p>
            <w:pPr>
              <w:jc w:val="center"/>
              <w:ind w:right="630"/>
              <w:spacing w:after="0"/>
              <w:rPr>
                <w:sz w:val="20"/>
                <w:szCs w:val="20"/>
                <w:color w:val="auto"/>
              </w:rPr>
            </w:pPr>
            <w:r>
              <w:rPr>
                <w:rFonts w:ascii="Arial" w:cs="Arial" w:eastAsia="Arial" w:hAnsi="Arial"/>
                <w:sz w:val="14"/>
                <w:szCs w:val="14"/>
                <w:color w:val="auto"/>
                <w:w w:val="91"/>
              </w:rPr>
              <w:t>10.7†</w:t>
            </w:r>
          </w:p>
        </w:tc>
        <w:tc>
          <w:tcPr>
            <w:tcW w:w="8340" w:type="dxa"/>
            <w:vAlign w:val="bottom"/>
            <w:gridSpan w:val="31"/>
          </w:tcPr>
          <w:p>
            <w:pPr>
              <w:spacing w:after="0"/>
              <w:rPr>
                <w:rFonts w:ascii="Arial" w:cs="Arial" w:eastAsia="Arial" w:hAnsi="Arial"/>
                <w:sz w:val="14"/>
                <w:szCs w:val="14"/>
                <w:color w:val="0000FF"/>
                <w:w w:val="96"/>
              </w:rPr>
            </w:pPr>
            <w:hyperlink r:id="rId105">
              <w:r>
                <w:rPr>
                  <w:rFonts w:ascii="Arial" w:cs="Arial" w:eastAsia="Arial" w:hAnsi="Arial"/>
                  <w:sz w:val="14"/>
                  <w:szCs w:val="14"/>
                  <w:color w:val="0000FF"/>
                  <w:w w:val="96"/>
                </w:rPr>
                <w:t>Exclusive Distribution Agreement, effective as of July 1, 2010, by and between Cardinal Health 105, Inc. and Cumberland Pharmaceuticals</w:t>
              </w:r>
            </w:hyperlink>
          </w:p>
        </w:tc>
      </w:tr>
      <w:tr>
        <w:trPr>
          <w:trHeight w:val="117"/>
        </w:trPr>
        <w:tc>
          <w:tcPr>
            <w:tcW w:w="1100" w:type="dxa"/>
            <w:vAlign w:val="bottom"/>
          </w:tcPr>
          <w:p>
            <w:pPr>
              <w:spacing w:after="0"/>
              <w:rPr>
                <w:sz w:val="10"/>
                <w:szCs w:val="10"/>
                <w:color w:val="auto"/>
              </w:rPr>
            </w:pPr>
          </w:p>
        </w:tc>
        <w:tc>
          <w:tcPr>
            <w:tcW w:w="8180" w:type="dxa"/>
            <w:vAlign w:val="bottom"/>
            <w:tcBorders>
              <w:top w:val="single" w:sz="8" w:color="0000FF"/>
              <w:bottom w:val="single" w:sz="8" w:color="0000FF"/>
            </w:tcBorders>
            <w:gridSpan w:val="23"/>
          </w:tcPr>
          <w:p>
            <w:pPr>
              <w:spacing w:after="0" w:line="117" w:lineRule="exact"/>
              <w:rPr>
                <w:rFonts w:ascii="Arial" w:cs="Arial" w:eastAsia="Arial" w:hAnsi="Arial"/>
                <w:sz w:val="13"/>
                <w:szCs w:val="13"/>
                <w:color w:val="0000FF"/>
              </w:rPr>
            </w:pPr>
            <w:hyperlink r:id="rId105">
              <w:r>
                <w:rPr>
                  <w:rFonts w:ascii="Arial" w:cs="Arial" w:eastAsia="Arial" w:hAnsi="Arial"/>
                  <w:sz w:val="13"/>
                  <w:szCs w:val="13"/>
                  <w:color w:val="0000FF"/>
                </w:rPr>
                <w:t>Inc., incorporated herein by reference to the corresponding exhibit of the Registrant’s Current Report on Form 8-K (File No. 001-33637) as</w:t>
              </w:r>
            </w:hyperlink>
          </w:p>
        </w:tc>
        <w:tc>
          <w:tcPr>
            <w:tcW w:w="20" w:type="dxa"/>
            <w:vAlign w:val="bottom"/>
            <w:tcBorders>
              <w:bottom w:val="single" w:sz="8" w:color="0000FF"/>
            </w:tcBorders>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7"/>
        </w:trPr>
        <w:tc>
          <w:tcPr>
            <w:tcW w:w="1100" w:type="dxa"/>
            <w:vAlign w:val="bottom"/>
          </w:tcPr>
          <w:p>
            <w:pPr>
              <w:spacing w:after="0"/>
              <w:rPr>
                <w:sz w:val="10"/>
                <w:szCs w:val="10"/>
                <w:color w:val="auto"/>
              </w:rPr>
            </w:pPr>
          </w:p>
        </w:tc>
        <w:tc>
          <w:tcPr>
            <w:tcW w:w="8200" w:type="dxa"/>
            <w:vAlign w:val="bottom"/>
            <w:gridSpan w:val="24"/>
          </w:tcPr>
          <w:p>
            <w:pPr>
              <w:spacing w:after="0" w:line="117" w:lineRule="exact"/>
              <w:rPr>
                <w:rFonts w:ascii="Arial" w:cs="Arial" w:eastAsia="Arial" w:hAnsi="Arial"/>
                <w:sz w:val="13"/>
                <w:szCs w:val="13"/>
                <w:color w:val="0000FF"/>
              </w:rPr>
            </w:pPr>
            <w:hyperlink r:id="rId105">
              <w:r>
                <w:rPr>
                  <w:rFonts w:ascii="Arial" w:cs="Arial" w:eastAsia="Arial" w:hAnsi="Arial"/>
                  <w:sz w:val="13"/>
                  <w:szCs w:val="13"/>
                  <w:color w:val="0000FF"/>
                </w:rPr>
                <w:t>filed with the SEC on August 13, 2010</w:t>
              </w:r>
            </w:hyperlink>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1"/>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89"/>
              </w:rPr>
              <w:t>10.7.1†</w:t>
            </w:r>
          </w:p>
        </w:tc>
        <w:tc>
          <w:tcPr>
            <w:tcW w:w="8340" w:type="dxa"/>
            <w:vAlign w:val="bottom"/>
            <w:gridSpan w:val="31"/>
          </w:tcPr>
          <w:p>
            <w:pPr>
              <w:spacing w:after="0"/>
              <w:rPr>
                <w:rFonts w:ascii="Arial" w:cs="Arial" w:eastAsia="Arial" w:hAnsi="Arial"/>
                <w:sz w:val="14"/>
                <w:szCs w:val="14"/>
                <w:color w:val="0000FF"/>
                <w:w w:val="98"/>
              </w:rPr>
            </w:pPr>
            <w:hyperlink r:id="rId106">
              <w:r>
                <w:rPr>
                  <w:rFonts w:ascii="Arial" w:cs="Arial" w:eastAsia="Arial" w:hAnsi="Arial"/>
                  <w:sz w:val="14"/>
                  <w:szCs w:val="14"/>
                  <w:color w:val="0000FF"/>
                  <w:w w:val="98"/>
                </w:rPr>
                <w:t>First Amendment to Exclusive Distribution Agreement, dated March 31, 2013, by and between Cardinal Health 105, Inc. and Cumberland</w:t>
              </w:r>
            </w:hyperlink>
          </w:p>
        </w:tc>
      </w:tr>
      <w:tr>
        <w:trPr>
          <w:trHeight w:val="117"/>
        </w:trPr>
        <w:tc>
          <w:tcPr>
            <w:tcW w:w="110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19"/>
          </w:tcPr>
          <w:p>
            <w:pPr>
              <w:spacing w:after="0" w:line="117" w:lineRule="exact"/>
              <w:rPr>
                <w:rFonts w:ascii="Arial" w:cs="Arial" w:eastAsia="Arial" w:hAnsi="Arial"/>
                <w:sz w:val="13"/>
                <w:szCs w:val="13"/>
                <w:color w:val="0000FF"/>
              </w:rPr>
            </w:pPr>
            <w:hyperlink r:id="rId106">
              <w:r>
                <w:rPr>
                  <w:rFonts w:ascii="Arial" w:cs="Arial" w:eastAsia="Arial" w:hAnsi="Arial"/>
                  <w:sz w:val="13"/>
                  <w:szCs w:val="13"/>
                  <w:color w:val="0000FF"/>
                </w:rPr>
                <w:t>Pharmaceuticals Inc., incorporated herein by reference to the corresponding exhibit of the Registrant's Current Report on Form 8-K (File No.</w:t>
              </w:r>
            </w:hyperlink>
          </w:p>
        </w:tc>
        <w:tc>
          <w:tcPr>
            <w:tcW w:w="200" w:type="dxa"/>
            <w:vAlign w:val="bottom"/>
            <w:tcBorders>
              <w:bottom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7"/>
        </w:trPr>
        <w:tc>
          <w:tcPr>
            <w:tcW w:w="1100" w:type="dxa"/>
            <w:vAlign w:val="bottom"/>
          </w:tcPr>
          <w:p>
            <w:pPr>
              <w:spacing w:after="0"/>
              <w:rPr>
                <w:sz w:val="10"/>
                <w:szCs w:val="10"/>
                <w:color w:val="auto"/>
              </w:rPr>
            </w:pPr>
          </w:p>
        </w:tc>
        <w:tc>
          <w:tcPr>
            <w:tcW w:w="2820" w:type="dxa"/>
            <w:vAlign w:val="bottom"/>
            <w:tcBorders>
              <w:bottom w:val="single" w:sz="8" w:color="0000FF"/>
            </w:tcBorders>
            <w:gridSpan w:val="4"/>
          </w:tcPr>
          <w:p>
            <w:pPr>
              <w:spacing w:after="0" w:line="117" w:lineRule="exact"/>
              <w:rPr>
                <w:rFonts w:ascii="Arial" w:cs="Arial" w:eastAsia="Arial" w:hAnsi="Arial"/>
                <w:sz w:val="13"/>
                <w:szCs w:val="13"/>
                <w:color w:val="0000FF"/>
                <w:w w:val="97"/>
              </w:rPr>
            </w:pPr>
            <w:hyperlink r:id="rId106">
              <w:r>
                <w:rPr>
                  <w:rFonts w:ascii="Arial" w:cs="Arial" w:eastAsia="Arial" w:hAnsi="Arial"/>
                  <w:sz w:val="13"/>
                  <w:szCs w:val="13"/>
                  <w:color w:val="0000FF"/>
                  <w:w w:val="97"/>
                </w:rPr>
                <w:t>001-33637) as filed with the SEC on June 3, 2013</w:t>
              </w:r>
            </w:hyperlink>
          </w:p>
        </w:tc>
        <w:tc>
          <w:tcPr>
            <w:tcW w:w="5480" w:type="dxa"/>
            <w:vAlign w:val="bottom"/>
            <w:gridSpan w:val="2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00" w:type="dxa"/>
            <w:vAlign w:val="bottom"/>
          </w:tcPr>
          <w:p>
            <w:pPr>
              <w:jc w:val="center"/>
              <w:ind w:right="610"/>
              <w:spacing w:after="0"/>
              <w:rPr>
                <w:sz w:val="20"/>
                <w:szCs w:val="20"/>
                <w:color w:val="auto"/>
              </w:rPr>
            </w:pPr>
            <w:r>
              <w:rPr>
                <w:rFonts w:ascii="Arial" w:cs="Arial" w:eastAsia="Arial" w:hAnsi="Arial"/>
                <w:sz w:val="14"/>
                <w:szCs w:val="14"/>
                <w:color w:val="auto"/>
                <w:w w:val="88"/>
              </w:rPr>
              <w:t>10.10†</w:t>
            </w:r>
          </w:p>
        </w:tc>
        <w:tc>
          <w:tcPr>
            <w:tcW w:w="8340" w:type="dxa"/>
            <w:vAlign w:val="bottom"/>
            <w:gridSpan w:val="31"/>
          </w:tcPr>
          <w:p>
            <w:pPr>
              <w:spacing w:after="0"/>
              <w:rPr>
                <w:rFonts w:ascii="Arial" w:cs="Arial" w:eastAsia="Arial" w:hAnsi="Arial"/>
                <w:sz w:val="14"/>
                <w:szCs w:val="14"/>
                <w:color w:val="0000FF"/>
                <w:w w:val="94"/>
              </w:rPr>
            </w:pPr>
            <w:hyperlink r:id="rId107">
              <w:r>
                <w:rPr>
                  <w:rFonts w:ascii="Arial" w:cs="Arial" w:eastAsia="Arial" w:hAnsi="Arial"/>
                  <w:sz w:val="14"/>
                  <w:szCs w:val="14"/>
                  <w:color w:val="0000FF"/>
                  <w:w w:val="94"/>
                </w:rPr>
                <w:t>License Agreement, dated May 28, 1999, by and between Vanderbilt University and Cumberland Pharmaceuticals Inc., incorporated herein by</w:t>
              </w:r>
            </w:hyperlink>
          </w:p>
        </w:tc>
      </w:tr>
      <w:tr>
        <w:trPr>
          <w:trHeight w:val="117"/>
        </w:trPr>
        <w:tc>
          <w:tcPr>
            <w:tcW w:w="1100" w:type="dxa"/>
            <w:vAlign w:val="bottom"/>
          </w:tcPr>
          <w:p>
            <w:pPr>
              <w:spacing w:after="0"/>
              <w:rPr>
                <w:sz w:val="10"/>
                <w:szCs w:val="10"/>
                <w:color w:val="auto"/>
              </w:rPr>
            </w:pPr>
          </w:p>
        </w:tc>
        <w:tc>
          <w:tcPr>
            <w:tcW w:w="8020" w:type="dxa"/>
            <w:vAlign w:val="bottom"/>
            <w:tcBorders>
              <w:top w:val="single" w:sz="8" w:color="0000FF"/>
              <w:bottom w:val="single" w:sz="8" w:color="0000FF"/>
            </w:tcBorders>
            <w:gridSpan w:val="15"/>
          </w:tcPr>
          <w:p>
            <w:pPr>
              <w:spacing w:after="0" w:line="117" w:lineRule="exact"/>
              <w:rPr>
                <w:rFonts w:ascii="Arial" w:cs="Arial" w:eastAsia="Arial" w:hAnsi="Arial"/>
                <w:sz w:val="13"/>
                <w:szCs w:val="13"/>
                <w:color w:val="0000FF"/>
                <w:w w:val="98"/>
              </w:rPr>
            </w:pPr>
            <w:hyperlink r:id="rId107">
              <w:r>
                <w:rPr>
                  <w:rFonts w:ascii="Arial" w:cs="Arial" w:eastAsia="Arial" w:hAnsi="Arial"/>
                  <w:sz w:val="13"/>
                  <w:szCs w:val="13"/>
                  <w:color w:val="0000FF"/>
                  <w:w w:val="98"/>
                </w:rPr>
                <w:t>reference to the corresponding exhibit to Amendment No. 3 of the Registrant’s Registration Statement on Form S-1 (File No. 333-142535) as</w:t>
              </w:r>
            </w:hyperlink>
          </w:p>
        </w:tc>
        <w:tc>
          <w:tcPr>
            <w:tcW w:w="40" w:type="dxa"/>
            <w:vAlign w:val="bottom"/>
            <w:tcBorders>
              <w:bottom w:val="single" w:sz="8" w:color="0000FF"/>
            </w:tcBorders>
            <w:gridSpan w:val="2"/>
          </w:tcPr>
          <w:p>
            <w:pPr>
              <w:spacing w:after="0"/>
              <w:rPr>
                <w:sz w:val="10"/>
                <w:szCs w:val="10"/>
                <w:color w:val="auto"/>
              </w:rPr>
            </w:pPr>
          </w:p>
        </w:tc>
        <w:tc>
          <w:tcPr>
            <w:tcW w:w="280" w:type="dxa"/>
            <w:vAlign w:val="bottom"/>
            <w:gridSpan w:val="14"/>
          </w:tcPr>
          <w:p>
            <w:pPr>
              <w:spacing w:after="0"/>
              <w:rPr>
                <w:sz w:val="10"/>
                <w:szCs w:val="10"/>
                <w:color w:val="auto"/>
              </w:rPr>
            </w:pPr>
          </w:p>
        </w:tc>
      </w:tr>
      <w:tr>
        <w:trPr>
          <w:trHeight w:val="117"/>
        </w:trPr>
        <w:tc>
          <w:tcPr>
            <w:tcW w:w="1100" w:type="dxa"/>
            <w:vAlign w:val="bottom"/>
          </w:tcPr>
          <w:p>
            <w:pPr>
              <w:spacing w:after="0"/>
              <w:rPr>
                <w:sz w:val="10"/>
                <w:szCs w:val="10"/>
                <w:color w:val="auto"/>
              </w:rPr>
            </w:pPr>
          </w:p>
        </w:tc>
        <w:tc>
          <w:tcPr>
            <w:tcW w:w="2020" w:type="dxa"/>
            <w:vAlign w:val="bottom"/>
            <w:tcBorders>
              <w:bottom w:val="single" w:sz="8" w:color="0000FF"/>
            </w:tcBorders>
            <w:gridSpan w:val="2"/>
          </w:tcPr>
          <w:p>
            <w:pPr>
              <w:spacing w:after="0" w:line="117" w:lineRule="exact"/>
              <w:rPr>
                <w:rFonts w:ascii="Arial" w:cs="Arial" w:eastAsia="Arial" w:hAnsi="Arial"/>
                <w:sz w:val="13"/>
                <w:szCs w:val="13"/>
                <w:color w:val="0000FF"/>
                <w:w w:val="99"/>
              </w:rPr>
            </w:pPr>
            <w:hyperlink r:id="rId107">
              <w:r>
                <w:rPr>
                  <w:rFonts w:ascii="Arial" w:cs="Arial" w:eastAsia="Arial" w:hAnsi="Arial"/>
                  <w:sz w:val="13"/>
                  <w:szCs w:val="13"/>
                  <w:color w:val="0000FF"/>
                  <w:w w:val="99"/>
                </w:rPr>
                <w:t>filed with the SEC on July 11, 2007</w:t>
              </w:r>
            </w:hyperlink>
          </w:p>
        </w:tc>
        <w:tc>
          <w:tcPr>
            <w:tcW w:w="6040" w:type="dxa"/>
            <w:vAlign w:val="bottom"/>
            <w:gridSpan w:val="15"/>
          </w:tcPr>
          <w:p>
            <w:pPr>
              <w:spacing w:after="0"/>
              <w:rPr>
                <w:sz w:val="10"/>
                <w:szCs w:val="10"/>
                <w:color w:val="auto"/>
              </w:rPr>
            </w:pPr>
          </w:p>
        </w:tc>
        <w:tc>
          <w:tcPr>
            <w:tcW w:w="280" w:type="dxa"/>
            <w:vAlign w:val="bottom"/>
            <w:gridSpan w:val="14"/>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52705</wp:posOffset>
            </wp:positionV>
            <wp:extent cx="71875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9579"/>
          </w:cols>
          <w:pgMar w:left="880" w:top="1275"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10.11#</w:t>
            </w:r>
          </w:p>
        </w:tc>
        <w:tc>
          <w:tcPr>
            <w:tcW w:w="8420" w:type="dxa"/>
            <w:vAlign w:val="bottom"/>
            <w:gridSpan w:val="34"/>
          </w:tcPr>
          <w:p>
            <w:pPr>
              <w:spacing w:after="0"/>
              <w:rPr>
                <w:rFonts w:ascii="Arial" w:cs="Arial" w:eastAsia="Arial" w:hAnsi="Arial"/>
                <w:sz w:val="14"/>
                <w:szCs w:val="14"/>
                <w:color w:val="0000FF"/>
                <w:w w:val="95"/>
              </w:rPr>
            </w:pPr>
            <w:hyperlink w:anchor="page135">
              <w:r>
                <w:rPr>
                  <w:rFonts w:ascii="Arial" w:cs="Arial" w:eastAsia="Arial" w:hAnsi="Arial"/>
                  <w:sz w:val="14"/>
                  <w:szCs w:val="14"/>
                  <w:color w:val="0000FF"/>
                  <w:w w:val="95"/>
                </w:rPr>
                <w:t>Employment Agreement dated March 8, 2021, effective as of January 1, 2021, by and between A.J. Kazimi and Cumberland Pharmaceuticals</w:t>
              </w:r>
            </w:hyperlink>
          </w:p>
        </w:tc>
      </w:tr>
      <w:tr>
        <w:trPr>
          <w:trHeight w:val="117"/>
        </w:trPr>
        <w:tc>
          <w:tcPr>
            <w:tcW w:w="1140" w:type="dxa"/>
            <w:vAlign w:val="bottom"/>
          </w:tcPr>
          <w:p>
            <w:pPr>
              <w:spacing w:after="0"/>
              <w:rPr>
                <w:sz w:val="10"/>
                <w:szCs w:val="10"/>
                <w:color w:val="auto"/>
              </w:rPr>
            </w:pPr>
          </w:p>
        </w:tc>
        <w:tc>
          <w:tcPr>
            <w:tcW w:w="220" w:type="dxa"/>
            <w:vAlign w:val="bottom"/>
            <w:tcBorders>
              <w:top w:val="single" w:sz="8" w:color="0000FF"/>
              <w:bottom w:val="single" w:sz="8" w:color="0000FF"/>
            </w:tcBorders>
          </w:tcPr>
          <w:p>
            <w:pPr>
              <w:spacing w:after="0" w:line="117" w:lineRule="exact"/>
              <w:rPr>
                <w:rFonts w:ascii="Arial" w:cs="Arial" w:eastAsia="Arial" w:hAnsi="Arial"/>
                <w:sz w:val="13"/>
                <w:szCs w:val="13"/>
                <w:color w:val="0000FF"/>
                <w:w w:val="95"/>
              </w:rPr>
            </w:pPr>
            <w:hyperlink w:anchor="page135">
              <w:r>
                <w:rPr>
                  <w:rFonts w:ascii="Arial" w:cs="Arial" w:eastAsia="Arial" w:hAnsi="Arial"/>
                  <w:sz w:val="13"/>
                  <w:szCs w:val="13"/>
                  <w:color w:val="0000FF"/>
                  <w:w w:val="95"/>
                </w:rPr>
                <w:t>Inc.</w:t>
              </w:r>
            </w:hyperlink>
          </w:p>
        </w:tc>
        <w:tc>
          <w:tcPr>
            <w:tcW w:w="8140" w:type="dxa"/>
            <w:vAlign w:val="bottom"/>
            <w:tcBorders>
              <w:top w:val="single" w:sz="8" w:color="0000FF"/>
            </w:tcBorders>
            <w:gridSpan w:val="3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9"/>
              </w:rPr>
              <w:t>10 .12#</w:t>
            </w:r>
          </w:p>
        </w:tc>
        <w:tc>
          <w:tcPr>
            <w:tcW w:w="8420" w:type="dxa"/>
            <w:vAlign w:val="bottom"/>
            <w:gridSpan w:val="34"/>
          </w:tcPr>
          <w:p>
            <w:pPr>
              <w:spacing w:after="0"/>
              <w:rPr>
                <w:rFonts w:ascii="Arial" w:cs="Arial" w:eastAsia="Arial" w:hAnsi="Arial"/>
                <w:sz w:val="14"/>
                <w:szCs w:val="14"/>
                <w:color w:val="0000FF"/>
              </w:rPr>
            </w:pPr>
            <w:hyperlink w:anchor="page141">
              <w:r>
                <w:rPr>
                  <w:rFonts w:ascii="Arial" w:cs="Arial" w:eastAsia="Arial" w:hAnsi="Arial"/>
                  <w:sz w:val="14"/>
                  <w:szCs w:val="14"/>
                  <w:color w:val="0000FF"/>
                </w:rPr>
                <w:t>Employment Agreement dated March 8, 2021, effective as of January 1, 2021, by and between Martin E. Cearnal and Cumberland</w:t>
              </w:r>
            </w:hyperlink>
          </w:p>
        </w:tc>
      </w:tr>
      <w:tr>
        <w:trPr>
          <w:trHeight w:val="117"/>
        </w:trPr>
        <w:tc>
          <w:tcPr>
            <w:tcW w:w="114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3"/>
          </w:tcPr>
          <w:p>
            <w:pPr>
              <w:spacing w:after="0" w:line="117" w:lineRule="exact"/>
              <w:rPr>
                <w:rFonts w:ascii="Arial" w:cs="Arial" w:eastAsia="Arial" w:hAnsi="Arial"/>
                <w:sz w:val="13"/>
                <w:szCs w:val="13"/>
                <w:color w:val="0000FF"/>
                <w:w w:val="96"/>
              </w:rPr>
            </w:pPr>
            <w:hyperlink w:anchor="page141">
              <w:r>
                <w:rPr>
                  <w:rFonts w:ascii="Arial" w:cs="Arial" w:eastAsia="Arial" w:hAnsi="Arial"/>
                  <w:sz w:val="13"/>
                  <w:szCs w:val="13"/>
                  <w:color w:val="0000FF"/>
                  <w:w w:val="96"/>
                </w:rPr>
                <w:t>Pharmaceuticals Inc.</w:t>
              </w:r>
            </w:hyperlink>
          </w:p>
        </w:tc>
        <w:tc>
          <w:tcPr>
            <w:tcW w:w="7220" w:type="dxa"/>
            <w:vAlign w:val="bottom"/>
            <w:tcBorders>
              <w:top w:val="single" w:sz="8" w:color="0000FF"/>
            </w:tcBorders>
            <w:gridSpan w:val="30"/>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10.13#</w:t>
            </w:r>
          </w:p>
        </w:tc>
        <w:tc>
          <w:tcPr>
            <w:tcW w:w="8420" w:type="dxa"/>
            <w:vAlign w:val="bottom"/>
            <w:gridSpan w:val="34"/>
          </w:tcPr>
          <w:p>
            <w:pPr>
              <w:spacing w:after="0"/>
              <w:rPr>
                <w:rFonts w:ascii="Arial" w:cs="Arial" w:eastAsia="Arial" w:hAnsi="Arial"/>
                <w:sz w:val="14"/>
                <w:szCs w:val="14"/>
                <w:color w:val="0000FF"/>
              </w:rPr>
            </w:pPr>
            <w:hyperlink w:anchor="page147">
              <w:r>
                <w:rPr>
                  <w:rFonts w:ascii="Arial" w:cs="Arial" w:eastAsia="Arial" w:hAnsi="Arial"/>
                  <w:sz w:val="14"/>
                  <w:szCs w:val="14"/>
                  <w:color w:val="0000FF"/>
                </w:rPr>
                <w:t>Employment Agreement dated March 8, 2021, effective as of January 1, 2021, by and between Leo B. Pavliv and Cumberland</w:t>
              </w:r>
            </w:hyperlink>
          </w:p>
        </w:tc>
      </w:tr>
      <w:tr>
        <w:trPr>
          <w:trHeight w:val="117"/>
        </w:trPr>
        <w:tc>
          <w:tcPr>
            <w:tcW w:w="114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3"/>
          </w:tcPr>
          <w:p>
            <w:pPr>
              <w:spacing w:after="0" w:line="117" w:lineRule="exact"/>
              <w:rPr>
                <w:rFonts w:ascii="Arial" w:cs="Arial" w:eastAsia="Arial" w:hAnsi="Arial"/>
                <w:sz w:val="13"/>
                <w:szCs w:val="13"/>
                <w:color w:val="0000FF"/>
                <w:w w:val="96"/>
              </w:rPr>
            </w:pPr>
            <w:hyperlink w:anchor="page147">
              <w:r>
                <w:rPr>
                  <w:rFonts w:ascii="Arial" w:cs="Arial" w:eastAsia="Arial" w:hAnsi="Arial"/>
                  <w:sz w:val="13"/>
                  <w:szCs w:val="13"/>
                  <w:color w:val="0000FF"/>
                  <w:w w:val="96"/>
                </w:rPr>
                <w:t>Pharmaceuticals Inc.</w:t>
              </w:r>
            </w:hyperlink>
          </w:p>
        </w:tc>
        <w:tc>
          <w:tcPr>
            <w:tcW w:w="7160" w:type="dxa"/>
            <w:vAlign w:val="bottom"/>
            <w:tcBorders>
              <w:top w:val="single" w:sz="8" w:color="0000FF"/>
            </w:tcBorders>
            <w:gridSpan w:val="27"/>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10.14#</w:t>
            </w:r>
          </w:p>
        </w:tc>
        <w:tc>
          <w:tcPr>
            <w:tcW w:w="8420" w:type="dxa"/>
            <w:vAlign w:val="bottom"/>
            <w:gridSpan w:val="34"/>
          </w:tcPr>
          <w:p>
            <w:pPr>
              <w:spacing w:after="0"/>
              <w:rPr>
                <w:rFonts w:ascii="Arial" w:cs="Arial" w:eastAsia="Arial" w:hAnsi="Arial"/>
                <w:sz w:val="14"/>
                <w:szCs w:val="14"/>
                <w:color w:val="0000FF"/>
              </w:rPr>
            </w:pPr>
            <w:hyperlink w:anchor="page153">
              <w:r>
                <w:rPr>
                  <w:rFonts w:ascii="Arial" w:cs="Arial" w:eastAsia="Arial" w:hAnsi="Arial"/>
                  <w:sz w:val="14"/>
                  <w:szCs w:val="14"/>
                  <w:color w:val="0000FF"/>
                </w:rPr>
                <w:t>Employment Agreement dated March 8, 2021, effective as of January 1, 2021, by and between John M. Hamm and Cumberland</w:t>
              </w:r>
            </w:hyperlink>
          </w:p>
        </w:tc>
      </w:tr>
      <w:tr>
        <w:trPr>
          <w:trHeight w:val="117"/>
        </w:trPr>
        <w:tc>
          <w:tcPr>
            <w:tcW w:w="114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3"/>
          </w:tcPr>
          <w:p>
            <w:pPr>
              <w:spacing w:after="0" w:line="117" w:lineRule="exact"/>
              <w:rPr>
                <w:rFonts w:ascii="Arial" w:cs="Arial" w:eastAsia="Arial" w:hAnsi="Arial"/>
                <w:sz w:val="13"/>
                <w:szCs w:val="13"/>
                <w:color w:val="0000FF"/>
                <w:w w:val="96"/>
              </w:rPr>
            </w:pPr>
            <w:hyperlink w:anchor="page153">
              <w:r>
                <w:rPr>
                  <w:rFonts w:ascii="Arial" w:cs="Arial" w:eastAsia="Arial" w:hAnsi="Arial"/>
                  <w:sz w:val="13"/>
                  <w:szCs w:val="13"/>
                  <w:color w:val="0000FF"/>
                  <w:w w:val="96"/>
                </w:rPr>
                <w:t>Pharmaceuticals Inc.</w:t>
              </w:r>
            </w:hyperlink>
          </w:p>
        </w:tc>
        <w:tc>
          <w:tcPr>
            <w:tcW w:w="694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10.15#</w:t>
            </w:r>
          </w:p>
        </w:tc>
        <w:tc>
          <w:tcPr>
            <w:tcW w:w="8420" w:type="dxa"/>
            <w:vAlign w:val="bottom"/>
            <w:gridSpan w:val="34"/>
          </w:tcPr>
          <w:p>
            <w:pPr>
              <w:spacing w:after="0"/>
              <w:rPr>
                <w:rFonts w:ascii="Arial" w:cs="Arial" w:eastAsia="Arial" w:hAnsi="Arial"/>
                <w:sz w:val="14"/>
                <w:szCs w:val="14"/>
                <w:color w:val="0000FF"/>
              </w:rPr>
            </w:pPr>
            <w:hyperlink w:anchor="page159">
              <w:r>
                <w:rPr>
                  <w:rFonts w:ascii="Arial" w:cs="Arial" w:eastAsia="Arial" w:hAnsi="Arial"/>
                  <w:sz w:val="14"/>
                  <w:szCs w:val="14"/>
                  <w:color w:val="0000FF"/>
                </w:rPr>
                <w:t>Employment Agreement dated March 8, 2021, effective as of January 1, 2021, by and between James L. Herman and Cumberland</w:t>
              </w:r>
            </w:hyperlink>
          </w:p>
        </w:tc>
      </w:tr>
      <w:tr>
        <w:trPr>
          <w:trHeight w:val="117"/>
        </w:trPr>
        <w:tc>
          <w:tcPr>
            <w:tcW w:w="114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3"/>
          </w:tcPr>
          <w:p>
            <w:pPr>
              <w:spacing w:after="0" w:line="117" w:lineRule="exact"/>
              <w:rPr>
                <w:rFonts w:ascii="Arial" w:cs="Arial" w:eastAsia="Arial" w:hAnsi="Arial"/>
                <w:sz w:val="13"/>
                <w:szCs w:val="13"/>
                <w:color w:val="0000FF"/>
                <w:w w:val="96"/>
              </w:rPr>
            </w:pPr>
            <w:hyperlink w:anchor="page159">
              <w:r>
                <w:rPr>
                  <w:rFonts w:ascii="Arial" w:cs="Arial" w:eastAsia="Arial" w:hAnsi="Arial"/>
                  <w:sz w:val="13"/>
                  <w:szCs w:val="13"/>
                  <w:color w:val="0000FF"/>
                  <w:w w:val="96"/>
                </w:rPr>
                <w:t>Pharmaceuticals Inc.</w:t>
              </w:r>
            </w:hyperlink>
          </w:p>
        </w:tc>
        <w:tc>
          <w:tcPr>
            <w:tcW w:w="712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10.17#</w:t>
            </w:r>
          </w:p>
        </w:tc>
        <w:tc>
          <w:tcPr>
            <w:tcW w:w="8420" w:type="dxa"/>
            <w:vAlign w:val="bottom"/>
            <w:gridSpan w:val="34"/>
          </w:tcPr>
          <w:p>
            <w:pPr>
              <w:spacing w:after="0"/>
              <w:rPr>
                <w:rFonts w:ascii="Arial" w:cs="Arial" w:eastAsia="Arial" w:hAnsi="Arial"/>
                <w:sz w:val="14"/>
                <w:szCs w:val="14"/>
                <w:color w:val="0000FF"/>
                <w:w w:val="95"/>
              </w:rPr>
            </w:pPr>
            <w:hyperlink r:id="rId109">
              <w:r>
                <w:rPr>
                  <w:rFonts w:ascii="Arial" w:cs="Arial" w:eastAsia="Arial" w:hAnsi="Arial"/>
                  <w:sz w:val="14"/>
                  <w:szCs w:val="14"/>
                  <w:color w:val="0000FF"/>
                  <w:w w:val="95"/>
                </w:rPr>
                <w:t>1999 Stock Option Plan of Cumberland Pharmaceuticals Inc., incorporated herein by reference to the corresponding exhibit to the Registrant’s</w:t>
              </w:r>
            </w:hyperlink>
          </w:p>
        </w:tc>
      </w:tr>
      <w:tr>
        <w:trPr>
          <w:trHeight w:val="117"/>
        </w:trPr>
        <w:tc>
          <w:tcPr>
            <w:tcW w:w="114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8"/>
          </w:tcPr>
          <w:p>
            <w:pPr>
              <w:spacing w:after="0" w:line="117" w:lineRule="exact"/>
              <w:rPr>
                <w:rFonts w:ascii="Arial" w:cs="Arial" w:eastAsia="Arial" w:hAnsi="Arial"/>
                <w:sz w:val="13"/>
                <w:szCs w:val="13"/>
                <w:color w:val="0000FF"/>
                <w:w w:val="98"/>
              </w:rPr>
            </w:pPr>
            <w:hyperlink r:id="rId109">
              <w:r>
                <w:rPr>
                  <w:rFonts w:ascii="Arial" w:cs="Arial" w:eastAsia="Arial" w:hAnsi="Arial"/>
                  <w:sz w:val="13"/>
                  <w:szCs w:val="13"/>
                  <w:color w:val="0000FF"/>
                  <w:w w:val="98"/>
                </w:rPr>
                <w:t>Registration Statement on Form S-1 (File No. 333-142535) as filed with the SEC on May 1, 2007</w:t>
              </w:r>
            </w:hyperlink>
          </w:p>
        </w:tc>
        <w:tc>
          <w:tcPr>
            <w:tcW w:w="252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10.18#</w:t>
            </w:r>
          </w:p>
        </w:tc>
        <w:tc>
          <w:tcPr>
            <w:tcW w:w="8420" w:type="dxa"/>
            <w:vAlign w:val="bottom"/>
            <w:gridSpan w:val="34"/>
          </w:tcPr>
          <w:p>
            <w:pPr>
              <w:spacing w:after="0"/>
              <w:rPr>
                <w:rFonts w:ascii="Arial" w:cs="Arial" w:eastAsia="Arial" w:hAnsi="Arial"/>
                <w:sz w:val="14"/>
                <w:szCs w:val="14"/>
                <w:color w:val="0000FF"/>
                <w:w w:val="95"/>
              </w:rPr>
            </w:pPr>
            <w:hyperlink r:id="rId110">
              <w:r>
                <w:rPr>
                  <w:rFonts w:ascii="Arial" w:cs="Arial" w:eastAsia="Arial" w:hAnsi="Arial"/>
                  <w:sz w:val="14"/>
                  <w:szCs w:val="14"/>
                  <w:color w:val="0000FF"/>
                  <w:w w:val="95"/>
                </w:rPr>
                <w:t>Amended and Restated 2007 Long-Term Incentive Compensation Plan of Cumberland Pharmaceuticals Inc., incorporated herein by reference</w:t>
              </w:r>
            </w:hyperlink>
          </w:p>
        </w:tc>
      </w:tr>
      <w:tr>
        <w:trPr>
          <w:trHeight w:val="117"/>
        </w:trPr>
        <w:tc>
          <w:tcPr>
            <w:tcW w:w="1140" w:type="dxa"/>
            <w:vAlign w:val="bottom"/>
          </w:tcPr>
          <w:p>
            <w:pPr>
              <w:spacing w:after="0"/>
              <w:rPr>
                <w:sz w:val="10"/>
                <w:szCs w:val="10"/>
                <w:color w:val="auto"/>
              </w:rPr>
            </w:pPr>
          </w:p>
        </w:tc>
        <w:tc>
          <w:tcPr>
            <w:tcW w:w="8220" w:type="dxa"/>
            <w:vAlign w:val="bottom"/>
            <w:tcBorders>
              <w:top w:val="single" w:sz="8" w:color="0000FF"/>
            </w:tcBorders>
            <w:gridSpan w:val="24"/>
          </w:tcPr>
          <w:p>
            <w:pPr>
              <w:spacing w:after="0" w:line="117" w:lineRule="exact"/>
              <w:rPr>
                <w:rFonts w:ascii="Arial" w:cs="Arial" w:eastAsia="Arial" w:hAnsi="Arial"/>
                <w:sz w:val="13"/>
                <w:szCs w:val="13"/>
                <w:color w:val="0000FF"/>
              </w:rPr>
            </w:pPr>
            <w:hyperlink r:id="rId110">
              <w:r>
                <w:rPr>
                  <w:rFonts w:ascii="Arial" w:cs="Arial" w:eastAsia="Arial" w:hAnsi="Arial"/>
                  <w:sz w:val="13"/>
                  <w:szCs w:val="13"/>
                  <w:color w:val="0000FF"/>
                </w:rPr>
                <w:t>to Appendix A of the Registrant’s Schedule 14A as filed with the SEC on March 12, 2012 and approved by the Registrant's shareholders 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200" w:type="dxa"/>
            <w:vAlign w:val="bottom"/>
            <w:tcBorders>
              <w:top w:val="single" w:sz="8" w:color="0000FF"/>
            </w:tcBorders>
            <w:gridSpan w:val="23"/>
          </w:tcPr>
          <w:p>
            <w:pPr>
              <w:spacing w:after="0" w:line="117" w:lineRule="exact"/>
              <w:rPr>
                <w:rFonts w:ascii="Arial" w:cs="Arial" w:eastAsia="Arial" w:hAnsi="Arial"/>
                <w:sz w:val="13"/>
                <w:szCs w:val="13"/>
                <w:color w:val="0000FF"/>
              </w:rPr>
            </w:pPr>
            <w:hyperlink r:id="rId110">
              <w:r>
                <w:rPr>
                  <w:rFonts w:ascii="Arial" w:cs="Arial" w:eastAsia="Arial" w:hAnsi="Arial"/>
                  <w:sz w:val="13"/>
                  <w:szCs w:val="13"/>
                  <w:color w:val="0000FF"/>
                </w:rPr>
                <w:t>April 17, 2012</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10.19#</w:t>
            </w:r>
          </w:p>
        </w:tc>
        <w:tc>
          <w:tcPr>
            <w:tcW w:w="8420" w:type="dxa"/>
            <w:vAlign w:val="bottom"/>
            <w:gridSpan w:val="34"/>
          </w:tcPr>
          <w:p>
            <w:pPr>
              <w:spacing w:after="0"/>
              <w:rPr>
                <w:rFonts w:ascii="Arial" w:cs="Arial" w:eastAsia="Arial" w:hAnsi="Arial"/>
                <w:sz w:val="14"/>
                <w:szCs w:val="14"/>
                <w:color w:val="0000FF"/>
                <w:w w:val="96"/>
              </w:rPr>
            </w:pPr>
            <w:hyperlink r:id="rId110">
              <w:r>
                <w:rPr>
                  <w:rFonts w:ascii="Arial" w:cs="Arial" w:eastAsia="Arial" w:hAnsi="Arial"/>
                  <w:sz w:val="14"/>
                  <w:szCs w:val="14"/>
                  <w:color w:val="0000FF"/>
                  <w:w w:val="96"/>
                </w:rPr>
                <w:t>Amended and Restated 2007 Directors’ Incentive Plan of Cumberland Pharmaceuticals Inc., incorporated herein by reference to Appendix B</w:t>
              </w:r>
            </w:hyperlink>
          </w:p>
        </w:tc>
      </w:tr>
      <w:tr>
        <w:trPr>
          <w:trHeight w:val="117"/>
        </w:trPr>
        <w:tc>
          <w:tcPr>
            <w:tcW w:w="1140" w:type="dxa"/>
            <w:vAlign w:val="bottom"/>
          </w:tcPr>
          <w:p>
            <w:pPr>
              <w:spacing w:after="0"/>
              <w:rPr>
                <w:sz w:val="10"/>
                <w:szCs w:val="10"/>
                <w:color w:val="auto"/>
              </w:rPr>
            </w:pPr>
          </w:p>
        </w:tc>
        <w:tc>
          <w:tcPr>
            <w:tcW w:w="7840" w:type="dxa"/>
            <w:vAlign w:val="bottom"/>
            <w:tcBorders>
              <w:top w:val="single" w:sz="8" w:color="0000FF"/>
              <w:bottom w:val="single" w:sz="8" w:color="0000FF"/>
            </w:tcBorders>
            <w:gridSpan w:val="12"/>
          </w:tcPr>
          <w:p>
            <w:pPr>
              <w:spacing w:after="0" w:line="117" w:lineRule="exact"/>
              <w:rPr>
                <w:rFonts w:ascii="Arial" w:cs="Arial" w:eastAsia="Arial" w:hAnsi="Arial"/>
                <w:sz w:val="13"/>
                <w:szCs w:val="13"/>
                <w:color w:val="0000FF"/>
                <w:w w:val="97"/>
              </w:rPr>
            </w:pPr>
            <w:hyperlink r:id="rId110">
              <w:r>
                <w:rPr>
                  <w:rFonts w:ascii="Arial" w:cs="Arial" w:eastAsia="Arial" w:hAnsi="Arial"/>
                  <w:sz w:val="13"/>
                  <w:szCs w:val="13"/>
                  <w:color w:val="0000FF"/>
                  <w:w w:val="97"/>
                </w:rPr>
                <w:t>of the Registrant's Schedule 14A as filed with the SEC on March 12, 2012 and approved by the Registrant's shareholders on April 17, 2012</w:t>
              </w:r>
            </w:hyperlink>
          </w:p>
        </w:tc>
        <w:tc>
          <w:tcPr>
            <w:tcW w:w="36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40" w:type="dxa"/>
            <w:vAlign w:val="bottom"/>
          </w:tcPr>
          <w:p>
            <w:pPr>
              <w:jc w:val="center"/>
              <w:ind w:right="590"/>
              <w:spacing w:after="0"/>
              <w:rPr>
                <w:sz w:val="20"/>
                <w:szCs w:val="20"/>
                <w:color w:val="auto"/>
              </w:rPr>
            </w:pPr>
            <w:r>
              <w:rPr>
                <w:rFonts w:ascii="Arial" w:cs="Arial" w:eastAsia="Arial" w:hAnsi="Arial"/>
                <w:sz w:val="14"/>
                <w:szCs w:val="14"/>
                <w:color w:val="auto"/>
                <w:w w:val="91"/>
              </w:rPr>
              <w:t>10.20</w:t>
            </w:r>
          </w:p>
        </w:tc>
        <w:tc>
          <w:tcPr>
            <w:tcW w:w="8420" w:type="dxa"/>
            <w:vAlign w:val="bottom"/>
            <w:gridSpan w:val="34"/>
          </w:tcPr>
          <w:p>
            <w:pPr>
              <w:spacing w:after="0"/>
              <w:rPr>
                <w:rFonts w:ascii="Arial" w:cs="Arial" w:eastAsia="Arial" w:hAnsi="Arial"/>
                <w:sz w:val="14"/>
                <w:szCs w:val="14"/>
                <w:color w:val="0000FF"/>
              </w:rPr>
            </w:pPr>
            <w:hyperlink r:id="rId111">
              <w:r>
                <w:rPr>
                  <w:rFonts w:ascii="Arial" w:cs="Arial" w:eastAsia="Arial" w:hAnsi="Arial"/>
                  <w:sz w:val="14"/>
                  <w:szCs w:val="14"/>
                  <w:color w:val="0000FF"/>
                </w:rPr>
                <w:t>Form of Indemnification Agreement between Cumberland Pharmaceuticals Inc. and all members of its Board of Directors, incorporated</w:t>
              </w:r>
            </w:hyperlink>
          </w:p>
        </w:tc>
      </w:tr>
      <w:tr>
        <w:trPr>
          <w:trHeight w:val="117"/>
        </w:trPr>
        <w:tc>
          <w:tcPr>
            <w:tcW w:w="114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18"/>
          </w:tcPr>
          <w:p>
            <w:pPr>
              <w:spacing w:after="0" w:line="117" w:lineRule="exact"/>
              <w:rPr>
                <w:rFonts w:ascii="Arial" w:cs="Arial" w:eastAsia="Arial" w:hAnsi="Arial"/>
                <w:sz w:val="13"/>
                <w:szCs w:val="13"/>
                <w:color w:val="0000FF"/>
              </w:rPr>
            </w:pPr>
            <w:hyperlink r:id="rId111">
              <w:r>
                <w:rPr>
                  <w:rFonts w:ascii="Arial" w:cs="Arial" w:eastAsia="Arial" w:hAnsi="Arial"/>
                  <w:sz w:val="13"/>
                  <w:szCs w:val="13"/>
                  <w:color w:val="0000FF"/>
                </w:rPr>
                <w:t>herein by reference to the corresponding exhibit to the Registrant’s Registration Statement on Form S-1 (File No. 333-142535) as filed with</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1400" w:type="dxa"/>
            <w:vAlign w:val="bottom"/>
            <w:tcBorders>
              <w:bottom w:val="single" w:sz="8" w:color="0000FF"/>
            </w:tcBorders>
            <w:gridSpan w:val="4"/>
          </w:tcPr>
          <w:p>
            <w:pPr>
              <w:spacing w:after="0" w:line="117" w:lineRule="exact"/>
              <w:rPr>
                <w:rFonts w:ascii="Arial" w:cs="Arial" w:eastAsia="Arial" w:hAnsi="Arial"/>
                <w:sz w:val="13"/>
                <w:szCs w:val="13"/>
                <w:color w:val="0000FF"/>
                <w:w w:val="97"/>
              </w:rPr>
            </w:pPr>
            <w:hyperlink r:id="rId111">
              <w:r>
                <w:rPr>
                  <w:rFonts w:ascii="Arial" w:cs="Arial" w:eastAsia="Arial" w:hAnsi="Arial"/>
                  <w:sz w:val="13"/>
                  <w:szCs w:val="13"/>
                  <w:color w:val="0000FF"/>
                  <w:w w:val="97"/>
                </w:rPr>
                <w:t>the SEC on May 1, 2007</w:t>
              </w:r>
            </w:hyperlink>
          </w:p>
        </w:tc>
        <w:tc>
          <w:tcPr>
            <w:tcW w:w="6920" w:type="dxa"/>
            <w:vAlign w:val="bottom"/>
            <w:gridSpan w:val="25"/>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10.21†</w:t>
            </w:r>
          </w:p>
        </w:tc>
        <w:tc>
          <w:tcPr>
            <w:tcW w:w="8420" w:type="dxa"/>
            <w:vAlign w:val="bottom"/>
            <w:gridSpan w:val="34"/>
          </w:tcPr>
          <w:p>
            <w:pPr>
              <w:spacing w:after="0"/>
              <w:rPr>
                <w:rFonts w:ascii="Arial" w:cs="Arial" w:eastAsia="Arial" w:hAnsi="Arial"/>
                <w:sz w:val="14"/>
                <w:szCs w:val="14"/>
                <w:color w:val="0000FF"/>
                <w:w w:val="98"/>
              </w:rPr>
            </w:pPr>
            <w:hyperlink r:id="rId112">
              <w:r>
                <w:rPr>
                  <w:rFonts w:ascii="Arial" w:cs="Arial" w:eastAsia="Arial" w:hAnsi="Arial"/>
                  <w:sz w:val="14"/>
                  <w:szCs w:val="14"/>
                  <w:color w:val="0000FF"/>
                  <w:w w:val="98"/>
                </w:rPr>
                <w:t>Lease Agreement, dated September 10, 2005, by and between Nashville Hines Development, LLC and Cumberland Pharmaceuticals Inc.,</w:t>
              </w:r>
            </w:hyperlink>
          </w:p>
        </w:tc>
      </w:tr>
      <w:tr>
        <w:trPr>
          <w:trHeight w:val="117"/>
        </w:trPr>
        <w:tc>
          <w:tcPr>
            <w:tcW w:w="1140" w:type="dxa"/>
            <w:vAlign w:val="bottom"/>
          </w:tcPr>
          <w:p>
            <w:pPr>
              <w:spacing w:after="0"/>
              <w:rPr>
                <w:sz w:val="10"/>
                <w:szCs w:val="10"/>
                <w:color w:val="auto"/>
              </w:rPr>
            </w:pPr>
          </w:p>
        </w:tc>
        <w:tc>
          <w:tcPr>
            <w:tcW w:w="8260" w:type="dxa"/>
            <w:vAlign w:val="bottom"/>
            <w:tcBorders>
              <w:top w:val="single" w:sz="8" w:color="0000FF"/>
            </w:tcBorders>
            <w:gridSpan w:val="26"/>
          </w:tcPr>
          <w:p>
            <w:pPr>
              <w:spacing w:after="0" w:line="117" w:lineRule="exact"/>
              <w:rPr>
                <w:rFonts w:ascii="Arial" w:cs="Arial" w:eastAsia="Arial" w:hAnsi="Arial"/>
                <w:sz w:val="13"/>
                <w:szCs w:val="13"/>
                <w:color w:val="0000FF"/>
              </w:rPr>
            </w:pPr>
            <w:hyperlink r:id="rId112">
              <w:r>
                <w:rPr>
                  <w:rFonts w:ascii="Arial" w:cs="Arial" w:eastAsia="Arial" w:hAnsi="Arial"/>
                  <w:sz w:val="13"/>
                  <w:szCs w:val="13"/>
                  <w:color w:val="0000FF"/>
                </w:rPr>
                <w:t>incorporated herein by reference to the corresponding exhibit to Amendment No. 3 of the Registrant’s Registration Statement on Form S-1</w:t>
              </w:r>
            </w:hyperlink>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040" w:type="dxa"/>
            <w:vAlign w:val="bottom"/>
            <w:tcBorders>
              <w:top w:val="single" w:sz="8" w:color="0000FF"/>
            </w:tcBorders>
            <w:gridSpan w:val="15"/>
          </w:tcPr>
          <w:p>
            <w:pPr>
              <w:spacing w:after="0" w:line="117" w:lineRule="exact"/>
              <w:rPr>
                <w:rFonts w:ascii="Arial" w:cs="Arial" w:eastAsia="Arial" w:hAnsi="Arial"/>
                <w:sz w:val="13"/>
                <w:szCs w:val="13"/>
                <w:color w:val="0000FF"/>
              </w:rPr>
            </w:pPr>
            <w:hyperlink r:id="rId112">
              <w:r>
                <w:rPr>
                  <w:rFonts w:ascii="Arial" w:cs="Arial" w:eastAsia="Arial" w:hAnsi="Arial"/>
                  <w:sz w:val="13"/>
                  <w:szCs w:val="13"/>
                  <w:color w:val="0000FF"/>
                </w:rPr>
                <w:t>(File No. 333-142535) as filed with the SEC on July 11, 2007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91"/>
              </w:rPr>
              <w:t>10.21.1†</w:t>
            </w:r>
          </w:p>
        </w:tc>
        <w:tc>
          <w:tcPr>
            <w:tcW w:w="8420" w:type="dxa"/>
            <w:vAlign w:val="bottom"/>
            <w:gridSpan w:val="34"/>
          </w:tcPr>
          <w:p>
            <w:pPr>
              <w:spacing w:after="0"/>
              <w:rPr>
                <w:rFonts w:ascii="Arial" w:cs="Arial" w:eastAsia="Arial" w:hAnsi="Arial"/>
                <w:sz w:val="14"/>
                <w:szCs w:val="14"/>
                <w:color w:val="0000FF"/>
                <w:w w:val="97"/>
              </w:rPr>
            </w:pPr>
            <w:hyperlink r:id="rId113">
              <w:r>
                <w:rPr>
                  <w:rFonts w:ascii="Arial" w:cs="Arial" w:eastAsia="Arial" w:hAnsi="Arial"/>
                  <w:sz w:val="14"/>
                  <w:szCs w:val="14"/>
                  <w:color w:val="0000FF"/>
                  <w:w w:val="97"/>
                </w:rPr>
                <w:t>First Amendment to Office Lease Agreement, dated April 25, 2008, by and between 2525 West End, LLC (successor in interest to Nashville</w:t>
              </w:r>
            </w:hyperlink>
          </w:p>
        </w:tc>
      </w:tr>
      <w:tr>
        <w:trPr>
          <w:trHeight w:val="117"/>
        </w:trPr>
        <w:tc>
          <w:tcPr>
            <w:tcW w:w="1140" w:type="dxa"/>
            <w:vAlign w:val="bottom"/>
          </w:tcPr>
          <w:p>
            <w:pPr>
              <w:spacing w:after="0"/>
              <w:rPr>
                <w:sz w:val="10"/>
                <w:szCs w:val="10"/>
                <w:color w:val="auto"/>
              </w:rPr>
            </w:pPr>
          </w:p>
        </w:tc>
        <w:tc>
          <w:tcPr>
            <w:tcW w:w="8380" w:type="dxa"/>
            <w:vAlign w:val="bottom"/>
            <w:tcBorders>
              <w:top w:val="single" w:sz="8" w:color="0000FF"/>
            </w:tcBorders>
            <w:gridSpan w:val="32"/>
          </w:tcPr>
          <w:p>
            <w:pPr>
              <w:spacing w:after="0" w:line="117" w:lineRule="exact"/>
              <w:rPr>
                <w:rFonts w:ascii="Arial" w:cs="Arial" w:eastAsia="Arial" w:hAnsi="Arial"/>
                <w:sz w:val="13"/>
                <w:szCs w:val="13"/>
                <w:color w:val="0000FF"/>
              </w:rPr>
            </w:pPr>
            <w:hyperlink r:id="rId113">
              <w:r>
                <w:rPr>
                  <w:rFonts w:ascii="Arial" w:cs="Arial" w:eastAsia="Arial" w:hAnsi="Arial"/>
                  <w:sz w:val="13"/>
                  <w:szCs w:val="13"/>
                  <w:color w:val="0000FF"/>
                </w:rPr>
                <w:t>Hines Development LLC) and Cumberland Pharmaceuticals Inc., incorporated herein by reference to the corresponding exhibit to</w:t>
              </w:r>
            </w:hyperlink>
          </w:p>
        </w:tc>
        <w:tc>
          <w:tcPr>
            <w:tcW w:w="40" w:type="dxa"/>
            <w:vAlign w:val="bottom"/>
            <w:gridSpan w:val="2"/>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7780" w:type="dxa"/>
            <w:vAlign w:val="bottom"/>
            <w:tcBorders>
              <w:top w:val="single" w:sz="8" w:color="0000FF"/>
              <w:bottom w:val="single" w:sz="8" w:color="0000FF"/>
            </w:tcBorders>
            <w:gridSpan w:val="11"/>
          </w:tcPr>
          <w:p>
            <w:pPr>
              <w:spacing w:after="0" w:line="117" w:lineRule="exact"/>
              <w:rPr>
                <w:rFonts w:ascii="Arial" w:cs="Arial" w:eastAsia="Arial" w:hAnsi="Arial"/>
                <w:sz w:val="13"/>
                <w:szCs w:val="13"/>
                <w:color w:val="0000FF"/>
                <w:w w:val="98"/>
              </w:rPr>
            </w:pPr>
            <w:hyperlink r:id="rId113">
              <w:r>
                <w:rPr>
                  <w:rFonts w:ascii="Arial" w:cs="Arial" w:eastAsia="Arial" w:hAnsi="Arial"/>
                  <w:sz w:val="13"/>
                  <w:szCs w:val="13"/>
                  <w:color w:val="0000FF"/>
                  <w:w w:val="98"/>
                </w:rPr>
                <w:t>Amendment No. 10 of the Registrant’s Registration Statement on Form S-1 (File No. 333-142535) as filed with the SEC on May 21, 2008</w:t>
              </w:r>
            </w:hyperlink>
          </w:p>
        </w:tc>
        <w:tc>
          <w:tcPr>
            <w:tcW w:w="220" w:type="dxa"/>
            <w:vAlign w:val="bottom"/>
            <w:tcBorders>
              <w:top w:val="single" w:sz="8" w:color="0000FF"/>
            </w:tcBorders>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91"/>
              </w:rPr>
              <w:t>10.21.2†</w:t>
            </w:r>
          </w:p>
        </w:tc>
        <w:tc>
          <w:tcPr>
            <w:tcW w:w="8420" w:type="dxa"/>
            <w:vAlign w:val="bottom"/>
            <w:gridSpan w:val="34"/>
          </w:tcPr>
          <w:p>
            <w:pPr>
              <w:spacing w:after="0"/>
              <w:rPr>
                <w:rFonts w:ascii="Arial" w:cs="Arial" w:eastAsia="Arial" w:hAnsi="Arial"/>
                <w:sz w:val="14"/>
                <w:szCs w:val="14"/>
                <w:color w:val="0000FF"/>
              </w:rPr>
            </w:pPr>
            <w:hyperlink r:id="rId114">
              <w:r>
                <w:rPr>
                  <w:rFonts w:ascii="Arial" w:cs="Arial" w:eastAsia="Arial" w:hAnsi="Arial"/>
                  <w:sz w:val="14"/>
                  <w:szCs w:val="14"/>
                  <w:color w:val="0000FF"/>
                </w:rPr>
                <w:t>Second Amendment to Office Lease Agreement, dated March 2, 2010, by and between 2525 West End, LLC (successor in interest to</w:t>
              </w:r>
            </w:hyperlink>
          </w:p>
        </w:tc>
      </w:tr>
      <w:tr>
        <w:trPr>
          <w:trHeight w:val="117"/>
        </w:trPr>
        <w:tc>
          <w:tcPr>
            <w:tcW w:w="1140" w:type="dxa"/>
            <w:vAlign w:val="bottom"/>
          </w:tcPr>
          <w:p>
            <w:pPr>
              <w:spacing w:after="0"/>
              <w:rPr>
                <w:sz w:val="10"/>
                <w:szCs w:val="10"/>
                <w:color w:val="auto"/>
              </w:rPr>
            </w:pPr>
          </w:p>
        </w:tc>
        <w:tc>
          <w:tcPr>
            <w:tcW w:w="8060" w:type="dxa"/>
            <w:vAlign w:val="bottom"/>
            <w:tcBorders>
              <w:top w:val="single" w:sz="8" w:color="0000FF"/>
              <w:bottom w:val="single" w:sz="8" w:color="0000FF"/>
            </w:tcBorders>
            <w:gridSpan w:val="16"/>
          </w:tcPr>
          <w:p>
            <w:pPr>
              <w:spacing w:after="0" w:line="117" w:lineRule="exact"/>
              <w:rPr>
                <w:rFonts w:ascii="Arial" w:cs="Arial" w:eastAsia="Arial" w:hAnsi="Arial"/>
                <w:sz w:val="13"/>
                <w:szCs w:val="13"/>
                <w:color w:val="0000FF"/>
              </w:rPr>
            </w:pPr>
            <w:hyperlink r:id="rId114">
              <w:r>
                <w:rPr>
                  <w:rFonts w:ascii="Arial" w:cs="Arial" w:eastAsia="Arial" w:hAnsi="Arial"/>
                  <w:sz w:val="13"/>
                  <w:szCs w:val="13"/>
                  <w:color w:val="0000FF"/>
                </w:rPr>
                <w:t>Nashville Hines Development LLC) and Cumberland Pharmaceuticals Inc., incorporated herein by reference to the corresponding exhibit to</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180" w:type="dxa"/>
            <w:vAlign w:val="bottom"/>
            <w:gridSpan w:val="22"/>
          </w:tcPr>
          <w:p>
            <w:pPr>
              <w:spacing w:after="0" w:line="117" w:lineRule="exact"/>
              <w:rPr>
                <w:rFonts w:ascii="Arial" w:cs="Arial" w:eastAsia="Arial" w:hAnsi="Arial"/>
                <w:sz w:val="13"/>
                <w:szCs w:val="13"/>
                <w:color w:val="0000FF"/>
              </w:rPr>
            </w:pPr>
            <w:hyperlink r:id="rId114">
              <w:r>
                <w:rPr>
                  <w:rFonts w:ascii="Arial" w:cs="Arial" w:eastAsia="Arial" w:hAnsi="Arial"/>
                  <w:sz w:val="13"/>
                  <w:szCs w:val="13"/>
                  <w:color w:val="0000FF"/>
                </w:rPr>
                <w:t>the Registrant’s Quarterly Report on Form 10-Q (File No. 001-33637) as filed with the SEC on May 17, 2010</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91"/>
              </w:rPr>
              <w:t>10.21.3†</w:t>
            </w:r>
          </w:p>
        </w:tc>
        <w:tc>
          <w:tcPr>
            <w:tcW w:w="8420" w:type="dxa"/>
            <w:vAlign w:val="bottom"/>
            <w:gridSpan w:val="34"/>
          </w:tcPr>
          <w:p>
            <w:pPr>
              <w:spacing w:after="0"/>
              <w:rPr>
                <w:rFonts w:ascii="Arial" w:cs="Arial" w:eastAsia="Arial" w:hAnsi="Arial"/>
                <w:sz w:val="14"/>
                <w:szCs w:val="14"/>
                <w:color w:val="0000FF"/>
                <w:w w:val="99"/>
              </w:rPr>
            </w:pPr>
            <w:hyperlink r:id="rId115">
              <w:r>
                <w:rPr>
                  <w:rFonts w:ascii="Arial" w:cs="Arial" w:eastAsia="Arial" w:hAnsi="Arial"/>
                  <w:sz w:val="14"/>
                  <w:szCs w:val="14"/>
                  <w:color w:val="0000FF"/>
                  <w:w w:val="99"/>
                </w:rPr>
                <w:t>Third Amendment to Office Lease Agreement, dated September 29, 2015, by and between 2525 West End, LLC (successor in interest to</w:t>
              </w:r>
            </w:hyperlink>
          </w:p>
        </w:tc>
      </w:tr>
      <w:tr>
        <w:trPr>
          <w:trHeight w:val="117"/>
        </w:trPr>
        <w:tc>
          <w:tcPr>
            <w:tcW w:w="1140" w:type="dxa"/>
            <w:vAlign w:val="bottom"/>
          </w:tcPr>
          <w:p>
            <w:pPr>
              <w:spacing w:after="0"/>
              <w:rPr>
                <w:sz w:val="10"/>
                <w:szCs w:val="10"/>
                <w:color w:val="auto"/>
              </w:rPr>
            </w:pPr>
          </w:p>
        </w:tc>
        <w:tc>
          <w:tcPr>
            <w:tcW w:w="8140" w:type="dxa"/>
            <w:vAlign w:val="bottom"/>
            <w:tcBorders>
              <w:top w:val="single" w:sz="8" w:color="0000FF"/>
            </w:tcBorders>
            <w:gridSpan w:val="20"/>
          </w:tcPr>
          <w:p>
            <w:pPr>
              <w:spacing w:after="0" w:line="117" w:lineRule="exact"/>
              <w:rPr>
                <w:rFonts w:ascii="Arial" w:cs="Arial" w:eastAsia="Arial" w:hAnsi="Arial"/>
                <w:sz w:val="13"/>
                <w:szCs w:val="13"/>
                <w:color w:val="0000FF"/>
              </w:rPr>
            </w:pPr>
            <w:hyperlink r:id="rId115">
              <w:r>
                <w:rPr>
                  <w:rFonts w:ascii="Arial" w:cs="Arial" w:eastAsia="Arial" w:hAnsi="Arial"/>
                  <w:sz w:val="13"/>
                  <w:szCs w:val="13"/>
                  <w:color w:val="0000FF"/>
                </w:rPr>
                <w:t>Nashville Hines Development LLC) and Cumberland Pharmaceuticals Inc., incorporated herein by reference to the corresponding exhibit to</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180" w:type="dxa"/>
            <w:vAlign w:val="bottom"/>
            <w:tcBorders>
              <w:top w:val="single" w:sz="8" w:color="0000FF"/>
            </w:tcBorders>
            <w:gridSpan w:val="22"/>
          </w:tcPr>
          <w:p>
            <w:pPr>
              <w:spacing w:after="0" w:line="117" w:lineRule="exact"/>
              <w:rPr>
                <w:rFonts w:ascii="Arial" w:cs="Arial" w:eastAsia="Arial" w:hAnsi="Arial"/>
                <w:sz w:val="13"/>
                <w:szCs w:val="13"/>
                <w:color w:val="0000FF"/>
              </w:rPr>
            </w:pPr>
            <w:hyperlink r:id="rId115">
              <w:r>
                <w:rPr>
                  <w:rFonts w:ascii="Arial" w:cs="Arial" w:eastAsia="Arial" w:hAnsi="Arial"/>
                  <w:sz w:val="13"/>
                  <w:szCs w:val="13"/>
                  <w:color w:val="0000FF"/>
                </w:rPr>
                <w:t>the Registrant's Quarterly Report on Form 10-Q (File No. 001-33637) as filed with the SEC on November 6, 2015</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10.23†</w:t>
            </w:r>
          </w:p>
        </w:tc>
        <w:tc>
          <w:tcPr>
            <w:tcW w:w="8420" w:type="dxa"/>
            <w:vAlign w:val="bottom"/>
            <w:gridSpan w:val="34"/>
          </w:tcPr>
          <w:p>
            <w:pPr>
              <w:spacing w:after="0"/>
              <w:rPr>
                <w:rFonts w:ascii="Arial" w:cs="Arial" w:eastAsia="Arial" w:hAnsi="Arial"/>
                <w:sz w:val="14"/>
                <w:szCs w:val="14"/>
                <w:color w:val="0000FF"/>
              </w:rPr>
            </w:pPr>
            <w:hyperlink r:id="rId116">
              <w:r>
                <w:rPr>
                  <w:rFonts w:ascii="Arial" w:cs="Arial" w:eastAsia="Arial" w:hAnsi="Arial"/>
                  <w:sz w:val="14"/>
                  <w:szCs w:val="14"/>
                  <w:color w:val="0000FF"/>
                </w:rPr>
                <w:t>Amended and Restated Lease Agreement, dated November 11, 2004, by and between The Gateway to Nashville LLC and Cumberland</w:t>
              </w:r>
            </w:hyperlink>
          </w:p>
        </w:tc>
      </w:tr>
      <w:tr>
        <w:trPr>
          <w:trHeight w:val="117"/>
        </w:trPr>
        <w:tc>
          <w:tcPr>
            <w:tcW w:w="1140" w:type="dxa"/>
            <w:vAlign w:val="bottom"/>
          </w:tcPr>
          <w:p>
            <w:pPr>
              <w:spacing w:after="0"/>
              <w:rPr>
                <w:sz w:val="10"/>
                <w:szCs w:val="10"/>
                <w:color w:val="auto"/>
              </w:rPr>
            </w:pPr>
          </w:p>
        </w:tc>
        <w:tc>
          <w:tcPr>
            <w:tcW w:w="8080" w:type="dxa"/>
            <w:vAlign w:val="bottom"/>
            <w:tcBorders>
              <w:top w:val="single" w:sz="8" w:color="0000FF"/>
              <w:bottom w:val="single" w:sz="8" w:color="0000FF"/>
            </w:tcBorders>
            <w:gridSpan w:val="17"/>
          </w:tcPr>
          <w:p>
            <w:pPr>
              <w:spacing w:after="0" w:line="117" w:lineRule="exact"/>
              <w:rPr>
                <w:rFonts w:ascii="Arial" w:cs="Arial" w:eastAsia="Arial" w:hAnsi="Arial"/>
                <w:sz w:val="13"/>
                <w:szCs w:val="13"/>
                <w:color w:val="0000FF"/>
              </w:rPr>
            </w:pPr>
            <w:hyperlink r:id="rId116">
              <w:r>
                <w:rPr>
                  <w:rFonts w:ascii="Arial" w:cs="Arial" w:eastAsia="Arial" w:hAnsi="Arial"/>
                  <w:sz w:val="13"/>
                  <w:szCs w:val="13"/>
                  <w:color w:val="0000FF"/>
                </w:rPr>
                <w:t>Emerging Technologies, Inc., incorporated herein by reference to the corresponding exhibit to the Registrant’s Registration Statement on</w:t>
              </w:r>
            </w:hyperlink>
          </w:p>
        </w:tc>
        <w:tc>
          <w:tcPr>
            <w:tcW w:w="80" w:type="dxa"/>
            <w:vAlign w:val="bottom"/>
            <w:tcBorders>
              <w:bottom w:val="single" w:sz="8" w:color="0000FF"/>
            </w:tcBorders>
            <w:gridSpan w:val="4"/>
          </w:tcPr>
          <w:p>
            <w:pPr>
              <w:spacing w:after="0"/>
              <w:rPr>
                <w:sz w:val="10"/>
                <w:szCs w:val="10"/>
                <w:color w:val="auto"/>
              </w:rPr>
            </w:pPr>
          </w:p>
        </w:tc>
        <w:tc>
          <w:tcPr>
            <w:tcW w:w="80" w:type="dxa"/>
            <w:vAlign w:val="bottom"/>
            <w:tcBorders>
              <w:bottom w:val="single" w:sz="8" w:color="0000FF"/>
            </w:tcBorders>
            <w:gridSpan w:val="4"/>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4000" w:type="dxa"/>
            <w:vAlign w:val="bottom"/>
            <w:tcBorders>
              <w:bottom w:val="single" w:sz="8" w:color="0000FF"/>
            </w:tcBorders>
            <w:gridSpan w:val="6"/>
          </w:tcPr>
          <w:p>
            <w:pPr>
              <w:spacing w:after="0" w:line="117" w:lineRule="exact"/>
              <w:rPr>
                <w:rFonts w:ascii="Arial" w:cs="Arial" w:eastAsia="Arial" w:hAnsi="Arial"/>
                <w:sz w:val="13"/>
                <w:szCs w:val="13"/>
                <w:color w:val="0000FF"/>
                <w:w w:val="99"/>
              </w:rPr>
            </w:pPr>
            <w:hyperlink r:id="rId116">
              <w:r>
                <w:rPr>
                  <w:rFonts w:ascii="Arial" w:cs="Arial" w:eastAsia="Arial" w:hAnsi="Arial"/>
                  <w:sz w:val="13"/>
                  <w:szCs w:val="13"/>
                  <w:color w:val="0000FF"/>
                  <w:w w:val="99"/>
                </w:rPr>
                <w:t>Form S-1 (File No. 333-142535) as filed with the SEC on May 1, 2007</w:t>
              </w:r>
            </w:hyperlink>
          </w:p>
        </w:tc>
        <w:tc>
          <w:tcPr>
            <w:tcW w:w="4280" w:type="dxa"/>
            <w:vAlign w:val="bottom"/>
            <w:gridSpan w:val="21"/>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44"/>
        </w:trPr>
        <w:tc>
          <w:tcPr>
            <w:tcW w:w="1140" w:type="dxa"/>
            <w:vAlign w:val="bottom"/>
          </w:tcPr>
          <w:p>
            <w:pPr>
              <w:jc w:val="center"/>
              <w:ind w:right="590"/>
              <w:spacing w:after="0"/>
              <w:rPr>
                <w:sz w:val="20"/>
                <w:szCs w:val="20"/>
                <w:color w:val="auto"/>
              </w:rPr>
            </w:pPr>
            <w:r>
              <w:rPr>
                <w:rFonts w:ascii="Arial" w:cs="Arial" w:eastAsia="Arial" w:hAnsi="Arial"/>
                <w:sz w:val="14"/>
                <w:szCs w:val="14"/>
                <w:color w:val="auto"/>
                <w:w w:val="91"/>
              </w:rPr>
              <w:t>10.24</w:t>
            </w:r>
          </w:p>
        </w:tc>
        <w:tc>
          <w:tcPr>
            <w:tcW w:w="8420" w:type="dxa"/>
            <w:vAlign w:val="bottom"/>
            <w:gridSpan w:val="34"/>
          </w:tcPr>
          <w:p>
            <w:pPr>
              <w:spacing w:after="0"/>
              <w:rPr>
                <w:rFonts w:ascii="Arial" w:cs="Arial" w:eastAsia="Arial" w:hAnsi="Arial"/>
                <w:sz w:val="14"/>
                <w:szCs w:val="14"/>
                <w:color w:val="0000FF"/>
                <w:w w:val="97"/>
              </w:rPr>
            </w:pPr>
            <w:hyperlink r:id="rId117">
              <w:r>
                <w:rPr>
                  <w:rFonts w:ascii="Arial" w:cs="Arial" w:eastAsia="Arial" w:hAnsi="Arial"/>
                  <w:sz w:val="14"/>
                  <w:szCs w:val="14"/>
                  <w:color w:val="0000FF"/>
                  <w:w w:val="97"/>
                </w:rPr>
                <w:t>First Amendment to Amended and Restated Lease Agreement, dated August 23, 2005, by and between The Gateway to Nashville LLC and</w:t>
              </w:r>
            </w:hyperlink>
          </w:p>
        </w:tc>
      </w:tr>
      <w:tr>
        <w:trPr>
          <w:trHeight w:val="117"/>
        </w:trPr>
        <w:tc>
          <w:tcPr>
            <w:tcW w:w="1140" w:type="dxa"/>
            <w:vAlign w:val="bottom"/>
          </w:tcPr>
          <w:p>
            <w:pPr>
              <w:spacing w:after="0"/>
              <w:rPr>
                <w:sz w:val="10"/>
                <w:szCs w:val="10"/>
                <w:color w:val="auto"/>
              </w:rPr>
            </w:pPr>
          </w:p>
        </w:tc>
        <w:tc>
          <w:tcPr>
            <w:tcW w:w="8160" w:type="dxa"/>
            <w:vAlign w:val="bottom"/>
            <w:tcBorders>
              <w:top w:val="single" w:sz="8" w:color="0000FF"/>
              <w:bottom w:val="single" w:sz="8" w:color="0000FF"/>
            </w:tcBorders>
            <w:gridSpan w:val="21"/>
          </w:tcPr>
          <w:p>
            <w:pPr>
              <w:spacing w:after="0" w:line="117" w:lineRule="exact"/>
              <w:rPr>
                <w:rFonts w:ascii="Arial" w:cs="Arial" w:eastAsia="Arial" w:hAnsi="Arial"/>
                <w:sz w:val="13"/>
                <w:szCs w:val="13"/>
                <w:color w:val="0000FF"/>
              </w:rPr>
            </w:pPr>
            <w:hyperlink r:id="rId117">
              <w:r>
                <w:rPr>
                  <w:rFonts w:ascii="Arial" w:cs="Arial" w:eastAsia="Arial" w:hAnsi="Arial"/>
                  <w:sz w:val="13"/>
                  <w:szCs w:val="13"/>
                  <w:color w:val="0000FF"/>
                </w:rPr>
                <w:t>Cumberland Emerging Technologies, Inc., incorporated herein by reference to the corresponding exhibit to the Registrant’s Registration</w:t>
              </w:r>
            </w:hyperlink>
          </w:p>
        </w:tc>
        <w:tc>
          <w:tcPr>
            <w:tcW w:w="80" w:type="dxa"/>
            <w:vAlign w:val="bottom"/>
            <w:tcBorders>
              <w:bottom w:val="single" w:sz="8" w:color="0000FF"/>
            </w:tcBorders>
            <w:gridSpan w:val="4"/>
          </w:tcPr>
          <w:p>
            <w:pPr>
              <w:spacing w:after="0"/>
              <w:rPr>
                <w:sz w:val="10"/>
                <w:szCs w:val="10"/>
                <w:color w:val="auto"/>
              </w:rPr>
            </w:pPr>
          </w:p>
        </w:tc>
        <w:tc>
          <w:tcPr>
            <w:tcW w:w="180" w:type="dxa"/>
            <w:vAlign w:val="bottom"/>
            <w:gridSpan w:val="9"/>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240" w:type="dxa"/>
            <w:vAlign w:val="bottom"/>
            <w:gridSpan w:val="25"/>
          </w:tcPr>
          <w:p>
            <w:pPr>
              <w:spacing w:after="0" w:line="117" w:lineRule="exact"/>
              <w:rPr>
                <w:rFonts w:ascii="Arial" w:cs="Arial" w:eastAsia="Arial" w:hAnsi="Arial"/>
                <w:sz w:val="13"/>
                <w:szCs w:val="13"/>
                <w:color w:val="0000FF"/>
              </w:rPr>
            </w:pPr>
            <w:hyperlink r:id="rId117">
              <w:r>
                <w:rPr>
                  <w:rFonts w:ascii="Arial" w:cs="Arial" w:eastAsia="Arial" w:hAnsi="Arial"/>
                  <w:sz w:val="13"/>
                  <w:szCs w:val="13"/>
                  <w:color w:val="0000FF"/>
                </w:rPr>
                <w:t>Statement on Form S-1 (File No. 333-142535) as filed with the SEC on May 1, 2007</w:t>
              </w:r>
            </w:hyperlink>
          </w:p>
        </w:tc>
        <w:tc>
          <w:tcPr>
            <w:tcW w:w="180" w:type="dxa"/>
            <w:vAlign w:val="bottom"/>
            <w:gridSpan w:val="9"/>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52705</wp:posOffset>
            </wp:positionV>
            <wp:extent cx="71875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9619"/>
          </w:cols>
          <w:pgMar w:left="840" w:top="1275"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9"/>
              </w:rPr>
              <w:t>10.24.1</w:t>
            </w:r>
          </w:p>
        </w:tc>
        <w:tc>
          <w:tcPr>
            <w:tcW w:w="8380" w:type="dxa"/>
            <w:vAlign w:val="bottom"/>
            <w:gridSpan w:val="32"/>
          </w:tcPr>
          <w:p>
            <w:pPr>
              <w:spacing w:after="0"/>
              <w:rPr>
                <w:rFonts w:ascii="Arial" w:cs="Arial" w:eastAsia="Arial" w:hAnsi="Arial"/>
                <w:sz w:val="14"/>
                <w:szCs w:val="14"/>
                <w:color w:val="0000FF"/>
                <w:w w:val="94"/>
              </w:rPr>
            </w:pPr>
            <w:hyperlink r:id="rId119">
              <w:r>
                <w:rPr>
                  <w:rFonts w:ascii="Arial" w:cs="Arial" w:eastAsia="Arial" w:hAnsi="Arial"/>
                  <w:sz w:val="14"/>
                  <w:szCs w:val="14"/>
                  <w:color w:val="0000FF"/>
                  <w:w w:val="94"/>
                </w:rPr>
                <w:t>Second Amendment to Amended and Restated Lease Agreement, dated January 9, 2006, by and between The Gateway to Nashville LLC and</w:t>
              </w:r>
            </w:hyperlink>
          </w:p>
        </w:tc>
      </w:tr>
      <w:tr>
        <w:trPr>
          <w:trHeight w:val="117"/>
        </w:trPr>
        <w:tc>
          <w:tcPr>
            <w:tcW w:w="1140" w:type="dxa"/>
            <w:vAlign w:val="bottom"/>
          </w:tcPr>
          <w:p>
            <w:pPr>
              <w:spacing w:after="0"/>
              <w:rPr>
                <w:sz w:val="10"/>
                <w:szCs w:val="10"/>
                <w:color w:val="auto"/>
              </w:rPr>
            </w:pPr>
          </w:p>
        </w:tc>
        <w:tc>
          <w:tcPr>
            <w:tcW w:w="8180" w:type="dxa"/>
            <w:vAlign w:val="bottom"/>
            <w:tcBorders>
              <w:top w:val="single" w:sz="8" w:color="0000FF"/>
            </w:tcBorders>
            <w:gridSpan w:val="22"/>
          </w:tcPr>
          <w:p>
            <w:pPr>
              <w:spacing w:after="0" w:line="117" w:lineRule="exact"/>
              <w:rPr>
                <w:rFonts w:ascii="Arial" w:cs="Arial" w:eastAsia="Arial" w:hAnsi="Arial"/>
                <w:sz w:val="13"/>
                <w:szCs w:val="13"/>
                <w:color w:val="0000FF"/>
              </w:rPr>
            </w:pPr>
            <w:hyperlink r:id="rId119">
              <w:r>
                <w:rPr>
                  <w:rFonts w:ascii="Arial" w:cs="Arial" w:eastAsia="Arial" w:hAnsi="Arial"/>
                  <w:sz w:val="13"/>
                  <w:szCs w:val="13"/>
                  <w:color w:val="0000FF"/>
                </w:rPr>
                <w:t>Cumberland Emerging Technologies, Inc., incorporated herein by reference to the corresponding exhibit to Amendment No. 10 of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120" w:type="dxa"/>
            <w:vAlign w:val="bottom"/>
            <w:tcBorders>
              <w:top w:val="single" w:sz="8" w:color="0000FF"/>
            </w:tcBorders>
            <w:gridSpan w:val="19"/>
          </w:tcPr>
          <w:p>
            <w:pPr>
              <w:spacing w:after="0" w:line="117" w:lineRule="exact"/>
              <w:rPr>
                <w:rFonts w:ascii="Arial" w:cs="Arial" w:eastAsia="Arial" w:hAnsi="Arial"/>
                <w:sz w:val="13"/>
                <w:szCs w:val="13"/>
                <w:color w:val="0000FF"/>
              </w:rPr>
            </w:pPr>
            <w:hyperlink r:id="rId119">
              <w:r>
                <w:rPr>
                  <w:rFonts w:ascii="Arial" w:cs="Arial" w:eastAsia="Arial" w:hAnsi="Arial"/>
                  <w:sz w:val="13"/>
                  <w:szCs w:val="13"/>
                  <w:color w:val="0000FF"/>
                </w:rPr>
                <w:t>Registrant’s Registration Statement on Form S-1 (File No. 333-142535) as filed with the SEC on May 21, 2008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91"/>
              </w:rPr>
              <w:t>10.24.2†</w:t>
            </w:r>
          </w:p>
        </w:tc>
        <w:tc>
          <w:tcPr>
            <w:tcW w:w="8380" w:type="dxa"/>
            <w:vAlign w:val="bottom"/>
            <w:gridSpan w:val="32"/>
          </w:tcPr>
          <w:p>
            <w:pPr>
              <w:spacing w:after="0"/>
              <w:rPr>
                <w:rFonts w:ascii="Arial" w:cs="Arial" w:eastAsia="Arial" w:hAnsi="Arial"/>
                <w:sz w:val="14"/>
                <w:szCs w:val="14"/>
                <w:color w:val="0000FF"/>
                <w:w w:val="99"/>
              </w:rPr>
            </w:pPr>
            <w:hyperlink r:id="rId120">
              <w:r>
                <w:rPr>
                  <w:rFonts w:ascii="Arial" w:cs="Arial" w:eastAsia="Arial" w:hAnsi="Arial"/>
                  <w:sz w:val="14"/>
                  <w:szCs w:val="14"/>
                  <w:color w:val="0000FF"/>
                  <w:w w:val="99"/>
                </w:rPr>
                <w:t>Third Amendment to Amended and Restated Lease Agreement, dated July 3, 2012, by and between The Gateway to Nashville LLC and</w:t>
              </w:r>
            </w:hyperlink>
          </w:p>
        </w:tc>
      </w:tr>
      <w:tr>
        <w:trPr>
          <w:trHeight w:val="117"/>
        </w:trPr>
        <w:tc>
          <w:tcPr>
            <w:tcW w:w="1140" w:type="dxa"/>
            <w:vAlign w:val="bottom"/>
          </w:tcPr>
          <w:p>
            <w:pPr>
              <w:spacing w:after="0"/>
              <w:rPr>
                <w:sz w:val="10"/>
                <w:szCs w:val="10"/>
                <w:color w:val="auto"/>
              </w:rPr>
            </w:pPr>
          </w:p>
        </w:tc>
        <w:tc>
          <w:tcPr>
            <w:tcW w:w="8240" w:type="dxa"/>
            <w:vAlign w:val="bottom"/>
            <w:tcBorders>
              <w:top w:val="single" w:sz="8" w:color="0000FF"/>
              <w:bottom w:val="single" w:sz="8" w:color="0000FF"/>
            </w:tcBorders>
            <w:gridSpan w:val="25"/>
          </w:tcPr>
          <w:p>
            <w:pPr>
              <w:spacing w:after="0" w:line="117" w:lineRule="exact"/>
              <w:rPr>
                <w:rFonts w:ascii="Arial" w:cs="Arial" w:eastAsia="Arial" w:hAnsi="Arial"/>
                <w:sz w:val="13"/>
                <w:szCs w:val="13"/>
                <w:color w:val="0000FF"/>
              </w:rPr>
            </w:pPr>
            <w:hyperlink r:id="rId120">
              <w:r>
                <w:rPr>
                  <w:rFonts w:ascii="Arial" w:cs="Arial" w:eastAsia="Arial" w:hAnsi="Arial"/>
                  <w:sz w:val="13"/>
                  <w:szCs w:val="13"/>
                  <w:color w:val="0000FF"/>
                </w:rPr>
                <w:t>Cumberland Emerging Technologies, Inc., incorporated herein by reference to the corresponding exhibit to the Registrant's Quarterly Report</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300" w:type="dxa"/>
            <w:vAlign w:val="bottom"/>
            <w:gridSpan w:val="28"/>
          </w:tcPr>
          <w:p>
            <w:pPr>
              <w:spacing w:after="0" w:line="117" w:lineRule="exact"/>
              <w:rPr>
                <w:rFonts w:ascii="Arial" w:cs="Arial" w:eastAsia="Arial" w:hAnsi="Arial"/>
                <w:sz w:val="13"/>
                <w:szCs w:val="13"/>
                <w:color w:val="0000FF"/>
              </w:rPr>
            </w:pPr>
            <w:hyperlink r:id="rId120">
              <w:r>
                <w:rPr>
                  <w:rFonts w:ascii="Arial" w:cs="Arial" w:eastAsia="Arial" w:hAnsi="Arial"/>
                  <w:sz w:val="13"/>
                  <w:szCs w:val="13"/>
                  <w:color w:val="0000FF"/>
                </w:rPr>
                <w:t>on Form 10-Q (File No. 001-33637) as filed with the SEC on August 9, 2012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10.25†</w:t>
            </w:r>
          </w:p>
        </w:tc>
        <w:tc>
          <w:tcPr>
            <w:tcW w:w="8380" w:type="dxa"/>
            <w:vAlign w:val="bottom"/>
            <w:gridSpan w:val="32"/>
          </w:tcPr>
          <w:p>
            <w:pPr>
              <w:spacing w:after="0"/>
              <w:rPr>
                <w:rFonts w:ascii="Arial" w:cs="Arial" w:eastAsia="Arial" w:hAnsi="Arial"/>
                <w:sz w:val="14"/>
                <w:szCs w:val="14"/>
                <w:color w:val="0000FF"/>
                <w:w w:val="95"/>
              </w:rPr>
            </w:pPr>
            <w:hyperlink r:id="rId121">
              <w:r>
                <w:rPr>
                  <w:rFonts w:ascii="Arial" w:cs="Arial" w:eastAsia="Arial" w:hAnsi="Arial"/>
                  <w:sz w:val="14"/>
                  <w:szCs w:val="14"/>
                  <w:color w:val="0000FF"/>
                  <w:w w:val="95"/>
                </w:rPr>
                <w:t>License and Supply Agreement, dated November 16, 2015, by and between Cumberland Pharmaceuticals Inc. and Gastro-Entero Logic, LLC</w:t>
              </w:r>
            </w:hyperlink>
          </w:p>
        </w:tc>
      </w:tr>
      <w:tr>
        <w:trPr>
          <w:trHeight w:val="117"/>
        </w:trPr>
        <w:tc>
          <w:tcPr>
            <w:tcW w:w="1140" w:type="dxa"/>
            <w:vAlign w:val="bottom"/>
          </w:tcPr>
          <w:p>
            <w:pPr>
              <w:spacing w:after="0"/>
              <w:rPr>
                <w:sz w:val="10"/>
                <w:szCs w:val="10"/>
                <w:color w:val="auto"/>
              </w:rPr>
            </w:pPr>
          </w:p>
        </w:tc>
        <w:tc>
          <w:tcPr>
            <w:tcW w:w="8340" w:type="dxa"/>
            <w:vAlign w:val="bottom"/>
            <w:tcBorders>
              <w:top w:val="single" w:sz="8" w:color="0000FF"/>
            </w:tcBorders>
            <w:gridSpan w:val="30"/>
          </w:tcPr>
          <w:p>
            <w:pPr>
              <w:spacing w:after="0" w:line="117" w:lineRule="exact"/>
              <w:rPr>
                <w:rFonts w:ascii="Arial" w:cs="Arial" w:eastAsia="Arial" w:hAnsi="Arial"/>
                <w:sz w:val="13"/>
                <w:szCs w:val="13"/>
                <w:color w:val="0000FF"/>
              </w:rPr>
            </w:pPr>
            <w:hyperlink r:id="rId121">
              <w:r>
                <w:rPr>
                  <w:rFonts w:ascii="Arial" w:cs="Arial" w:eastAsia="Arial" w:hAnsi="Arial"/>
                  <w:sz w:val="13"/>
                  <w:szCs w:val="13"/>
                  <w:color w:val="0000FF"/>
                </w:rPr>
                <w:t>incorporated herein by reference to the corresponding exhibit of the Registrant's Annual Report on Form 10-K (File No. 001-33637) as filed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1860" w:type="dxa"/>
            <w:vAlign w:val="bottom"/>
            <w:tcBorders>
              <w:top w:val="single" w:sz="8" w:color="0000FF"/>
              <w:bottom w:val="single" w:sz="8" w:color="0000FF"/>
            </w:tcBorders>
            <w:gridSpan w:val="3"/>
          </w:tcPr>
          <w:p>
            <w:pPr>
              <w:spacing w:after="0" w:line="117" w:lineRule="exact"/>
              <w:rPr>
                <w:rFonts w:ascii="Arial" w:cs="Arial" w:eastAsia="Arial" w:hAnsi="Arial"/>
                <w:sz w:val="13"/>
                <w:szCs w:val="13"/>
                <w:color w:val="0000FF"/>
                <w:w w:val="98"/>
              </w:rPr>
            </w:pPr>
            <w:hyperlink r:id="rId121">
              <w:r>
                <w:rPr>
                  <w:rFonts w:ascii="Arial" w:cs="Arial" w:eastAsia="Arial" w:hAnsi="Arial"/>
                  <w:sz w:val="13"/>
                  <w:szCs w:val="13"/>
                  <w:color w:val="0000FF"/>
                  <w:w w:val="98"/>
                </w:rPr>
                <w:t>with the SEC on March 14, 2016</w:t>
              </w:r>
            </w:hyperlink>
          </w:p>
        </w:tc>
        <w:tc>
          <w:tcPr>
            <w:tcW w:w="61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2"/>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10.28†</w:t>
            </w:r>
          </w:p>
        </w:tc>
        <w:tc>
          <w:tcPr>
            <w:tcW w:w="8380" w:type="dxa"/>
            <w:vAlign w:val="bottom"/>
            <w:gridSpan w:val="32"/>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Asset Purchase  and  Royalty  Agreement for  Kristalose  dated  November 15, 2011  by  and  between  Mylan  Inc.  and  Cumberland</w:t>
              </w:r>
            </w:hyperlink>
          </w:p>
        </w:tc>
      </w:tr>
      <w:tr>
        <w:trPr>
          <w:trHeight w:val="117"/>
        </w:trPr>
        <w:tc>
          <w:tcPr>
            <w:tcW w:w="1140" w:type="dxa"/>
            <w:vAlign w:val="bottom"/>
          </w:tcPr>
          <w:p>
            <w:pPr>
              <w:spacing w:after="0"/>
              <w:rPr>
                <w:sz w:val="10"/>
                <w:szCs w:val="10"/>
                <w:color w:val="auto"/>
              </w:rPr>
            </w:pPr>
          </w:p>
        </w:tc>
        <w:tc>
          <w:tcPr>
            <w:tcW w:w="8140" w:type="dxa"/>
            <w:vAlign w:val="bottom"/>
            <w:tcBorders>
              <w:top w:val="single" w:sz="8" w:color="0000FF"/>
            </w:tcBorders>
            <w:gridSpan w:val="20"/>
          </w:tcPr>
          <w:p>
            <w:pPr>
              <w:spacing w:after="0" w:line="117" w:lineRule="exact"/>
              <w:rPr>
                <w:rFonts w:ascii="Arial" w:cs="Arial" w:eastAsia="Arial" w:hAnsi="Arial"/>
                <w:sz w:val="13"/>
                <w:szCs w:val="13"/>
                <w:color w:val="0000FF"/>
              </w:rPr>
            </w:pPr>
            <w:hyperlink r:id="rId122">
              <w:r>
                <w:rPr>
                  <w:rFonts w:ascii="Arial" w:cs="Arial" w:eastAsia="Arial" w:hAnsi="Arial"/>
                  <w:sz w:val="13"/>
                  <w:szCs w:val="13"/>
                  <w:color w:val="0000FF"/>
                </w:rPr>
                <w:t>Pharmaceuticals Inc., incorporated herein by reference to the corresponding exhibit of the Registrant’s Current Report on Form 8-K (File No.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3220" w:type="dxa"/>
            <w:vAlign w:val="bottom"/>
            <w:tcBorders>
              <w:top w:val="single" w:sz="8" w:color="0000FF"/>
              <w:bottom w:val="single" w:sz="8" w:color="0000FF"/>
            </w:tcBorders>
            <w:gridSpan w:val="6"/>
          </w:tcPr>
          <w:p>
            <w:pPr>
              <w:spacing w:after="0" w:line="117" w:lineRule="exact"/>
              <w:rPr>
                <w:rFonts w:ascii="Arial" w:cs="Arial" w:eastAsia="Arial" w:hAnsi="Arial"/>
                <w:sz w:val="13"/>
                <w:szCs w:val="13"/>
                <w:color w:val="0000FF"/>
                <w:w w:val="98"/>
              </w:rPr>
            </w:pPr>
            <w:hyperlink r:id="rId122">
              <w:r>
                <w:rPr>
                  <w:rFonts w:ascii="Arial" w:cs="Arial" w:eastAsia="Arial" w:hAnsi="Arial"/>
                  <w:sz w:val="13"/>
                  <w:szCs w:val="13"/>
                  <w:color w:val="0000FF"/>
                  <w:w w:val="98"/>
                </w:rPr>
                <w:t>001-33637) as filed with the SEC on November 22, 2011</w:t>
              </w:r>
            </w:hyperlink>
          </w:p>
        </w:tc>
        <w:tc>
          <w:tcPr>
            <w:tcW w:w="48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2"/>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10.30#</w:t>
            </w:r>
          </w:p>
        </w:tc>
        <w:tc>
          <w:tcPr>
            <w:tcW w:w="8380" w:type="dxa"/>
            <w:vAlign w:val="bottom"/>
            <w:gridSpan w:val="32"/>
          </w:tcPr>
          <w:p>
            <w:pPr>
              <w:spacing w:after="0"/>
              <w:rPr>
                <w:rFonts w:ascii="Arial" w:cs="Arial" w:eastAsia="Arial" w:hAnsi="Arial"/>
                <w:sz w:val="14"/>
                <w:szCs w:val="14"/>
                <w:color w:val="0000FF"/>
                <w:w w:val="99"/>
              </w:rPr>
            </w:pPr>
            <w:hyperlink r:id="rId123">
              <w:r>
                <w:rPr>
                  <w:rFonts w:ascii="Arial" w:cs="Arial" w:eastAsia="Arial" w:hAnsi="Arial"/>
                  <w:sz w:val="14"/>
                  <w:szCs w:val="14"/>
                  <w:color w:val="0000FF"/>
                  <w:w w:val="99"/>
                </w:rPr>
                <w:t>Supplemental Executive Retirement and Savings Plan, incorporated herein by reference to the corresponding exhibit to the Registrant's</w:t>
              </w:r>
            </w:hyperlink>
          </w:p>
        </w:tc>
      </w:tr>
      <w:tr>
        <w:trPr>
          <w:trHeight w:val="117"/>
        </w:trPr>
        <w:tc>
          <w:tcPr>
            <w:tcW w:w="1140" w:type="dxa"/>
            <w:vAlign w:val="bottom"/>
          </w:tcPr>
          <w:p>
            <w:pPr>
              <w:spacing w:after="0"/>
              <w:rPr>
                <w:sz w:val="10"/>
                <w:szCs w:val="10"/>
                <w:color w:val="auto"/>
              </w:rPr>
            </w:pPr>
          </w:p>
        </w:tc>
        <w:tc>
          <w:tcPr>
            <w:tcW w:w="5080" w:type="dxa"/>
            <w:vAlign w:val="bottom"/>
            <w:tcBorders>
              <w:top w:val="single" w:sz="8" w:color="0000FF"/>
              <w:bottom w:val="single" w:sz="8" w:color="0000FF"/>
            </w:tcBorders>
            <w:gridSpan w:val="9"/>
          </w:tcPr>
          <w:p>
            <w:pPr>
              <w:spacing w:after="0" w:line="117" w:lineRule="exact"/>
              <w:rPr>
                <w:rFonts w:ascii="Arial" w:cs="Arial" w:eastAsia="Arial" w:hAnsi="Arial"/>
                <w:sz w:val="13"/>
                <w:szCs w:val="13"/>
                <w:color w:val="0000FF"/>
                <w:w w:val="99"/>
              </w:rPr>
            </w:pPr>
            <w:hyperlink r:id="rId123">
              <w:r>
                <w:rPr>
                  <w:rFonts w:ascii="Arial" w:cs="Arial" w:eastAsia="Arial" w:hAnsi="Arial"/>
                  <w:sz w:val="13"/>
                  <w:szCs w:val="13"/>
                  <w:color w:val="0000FF"/>
                  <w:w w:val="99"/>
                </w:rPr>
                <w:t>Current Report on Form 8-K (File No. 001-33637) as filed with the SEC on May 24, 2012</w:t>
              </w:r>
            </w:hyperlink>
          </w:p>
        </w:tc>
        <w:tc>
          <w:tcPr>
            <w:tcW w:w="314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12"/>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10.31†</w:t>
            </w:r>
          </w:p>
        </w:tc>
        <w:tc>
          <w:tcPr>
            <w:tcW w:w="8380" w:type="dxa"/>
            <w:vAlign w:val="bottom"/>
            <w:gridSpan w:val="32"/>
          </w:tcPr>
          <w:p>
            <w:pPr>
              <w:spacing w:after="0"/>
              <w:rPr>
                <w:rFonts w:ascii="Arial" w:cs="Arial" w:eastAsia="Arial" w:hAnsi="Arial"/>
                <w:sz w:val="14"/>
                <w:szCs w:val="14"/>
                <w:color w:val="0000FF"/>
                <w:w w:val="95"/>
              </w:rPr>
            </w:pPr>
            <w:hyperlink r:id="rId124">
              <w:r>
                <w:rPr>
                  <w:rFonts w:ascii="Arial" w:cs="Arial" w:eastAsia="Arial" w:hAnsi="Arial"/>
                  <w:sz w:val="14"/>
                  <w:szCs w:val="14"/>
                  <w:color w:val="0000FF"/>
                  <w:w w:val="95"/>
                </w:rPr>
                <w:t>Settlement Agreement, dated November 9, 2012, by and between Cumberland Pharmaceuticals Inc., Paddock Laboratories, LLC and Perrigo</w:t>
              </w:r>
            </w:hyperlink>
          </w:p>
        </w:tc>
      </w:tr>
      <w:tr>
        <w:trPr>
          <w:trHeight w:val="117"/>
        </w:trPr>
        <w:tc>
          <w:tcPr>
            <w:tcW w:w="1140" w:type="dxa"/>
            <w:vAlign w:val="bottom"/>
          </w:tcPr>
          <w:p>
            <w:pPr>
              <w:spacing w:after="0"/>
              <w:rPr>
                <w:sz w:val="10"/>
                <w:szCs w:val="10"/>
                <w:color w:val="auto"/>
              </w:rPr>
            </w:pPr>
          </w:p>
        </w:tc>
        <w:tc>
          <w:tcPr>
            <w:tcW w:w="8280" w:type="dxa"/>
            <w:vAlign w:val="bottom"/>
            <w:tcBorders>
              <w:top w:val="single" w:sz="8" w:color="0000FF"/>
              <w:bottom w:val="single" w:sz="8" w:color="0000FF"/>
            </w:tcBorders>
            <w:gridSpan w:val="27"/>
          </w:tcPr>
          <w:p>
            <w:pPr>
              <w:spacing w:after="0" w:line="117" w:lineRule="exact"/>
              <w:rPr>
                <w:rFonts w:ascii="Arial" w:cs="Arial" w:eastAsia="Arial" w:hAnsi="Arial"/>
                <w:sz w:val="13"/>
                <w:szCs w:val="13"/>
                <w:color w:val="0000FF"/>
              </w:rPr>
            </w:pPr>
            <w:hyperlink r:id="rId124">
              <w:r>
                <w:rPr>
                  <w:rFonts w:ascii="Arial" w:cs="Arial" w:eastAsia="Arial" w:hAnsi="Arial"/>
                  <w:sz w:val="13"/>
                  <w:szCs w:val="13"/>
                  <w:color w:val="0000FF"/>
                </w:rPr>
                <w:t>Company incorporated herein by reference to the corresponding exhibit to the Registrant’s Annual Report on Form 10-K (File No. 001-</w:t>
              </w:r>
            </w:hyperlink>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2740" w:type="dxa"/>
            <w:vAlign w:val="bottom"/>
            <w:tcBorders>
              <w:bottom w:val="single" w:sz="8" w:color="0000FF"/>
            </w:tcBorders>
            <w:gridSpan w:val="4"/>
          </w:tcPr>
          <w:p>
            <w:pPr>
              <w:spacing w:after="0" w:line="117" w:lineRule="exact"/>
              <w:rPr>
                <w:rFonts w:ascii="Arial" w:cs="Arial" w:eastAsia="Arial" w:hAnsi="Arial"/>
                <w:sz w:val="13"/>
                <w:szCs w:val="13"/>
                <w:color w:val="0000FF"/>
                <w:w w:val="98"/>
              </w:rPr>
            </w:pPr>
            <w:hyperlink r:id="rId124">
              <w:r>
                <w:rPr>
                  <w:rFonts w:ascii="Arial" w:cs="Arial" w:eastAsia="Arial" w:hAnsi="Arial"/>
                  <w:sz w:val="13"/>
                  <w:szCs w:val="13"/>
                  <w:color w:val="0000FF"/>
                  <w:w w:val="98"/>
                </w:rPr>
                <w:t>33637) as filed with the SEC on March 12, 2013</w:t>
              </w:r>
            </w:hyperlink>
          </w:p>
        </w:tc>
        <w:tc>
          <w:tcPr>
            <w:tcW w:w="5580" w:type="dxa"/>
            <w:vAlign w:val="bottom"/>
            <w:gridSpan w:val="2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10.32†</w:t>
            </w:r>
          </w:p>
        </w:tc>
        <w:tc>
          <w:tcPr>
            <w:tcW w:w="8380" w:type="dxa"/>
            <w:vAlign w:val="bottom"/>
            <w:gridSpan w:val="32"/>
          </w:tcPr>
          <w:p>
            <w:pPr>
              <w:spacing w:after="0"/>
              <w:rPr>
                <w:rFonts w:ascii="Arial" w:cs="Arial" w:eastAsia="Arial" w:hAnsi="Arial"/>
                <w:sz w:val="14"/>
                <w:szCs w:val="14"/>
                <w:color w:val="0000FF"/>
                <w:w w:val="94"/>
              </w:rPr>
            </w:pPr>
            <w:hyperlink r:id="rId125">
              <w:r>
                <w:rPr>
                  <w:rFonts w:ascii="Arial" w:cs="Arial" w:eastAsia="Arial" w:hAnsi="Arial"/>
                  <w:sz w:val="14"/>
                  <w:szCs w:val="14"/>
                  <w:color w:val="0000FF"/>
                  <w:w w:val="94"/>
                </w:rPr>
                <w:t>License and Supply Agreement, dated November 9, 2012, by and between Cumberland Pharmaceuticals Inc., Paddock Laboratories, LLC and</w:t>
              </w:r>
            </w:hyperlink>
          </w:p>
        </w:tc>
      </w:tr>
      <w:tr>
        <w:trPr>
          <w:trHeight w:val="117"/>
        </w:trPr>
        <w:tc>
          <w:tcPr>
            <w:tcW w:w="1140" w:type="dxa"/>
            <w:vAlign w:val="bottom"/>
          </w:tcPr>
          <w:p>
            <w:pPr>
              <w:spacing w:after="0"/>
              <w:rPr>
                <w:sz w:val="10"/>
                <w:szCs w:val="10"/>
                <w:color w:val="auto"/>
              </w:rPr>
            </w:pPr>
          </w:p>
        </w:tc>
        <w:tc>
          <w:tcPr>
            <w:tcW w:w="8080" w:type="dxa"/>
            <w:vAlign w:val="bottom"/>
            <w:tcBorders>
              <w:top w:val="single" w:sz="8" w:color="0000FF"/>
            </w:tcBorders>
            <w:gridSpan w:val="17"/>
          </w:tcPr>
          <w:p>
            <w:pPr>
              <w:spacing w:after="0" w:line="117" w:lineRule="exact"/>
              <w:rPr>
                <w:rFonts w:ascii="Arial" w:cs="Arial" w:eastAsia="Arial" w:hAnsi="Arial"/>
                <w:sz w:val="13"/>
                <w:szCs w:val="13"/>
                <w:color w:val="0000FF"/>
              </w:rPr>
            </w:pPr>
            <w:hyperlink r:id="rId125">
              <w:r>
                <w:rPr>
                  <w:rFonts w:ascii="Arial" w:cs="Arial" w:eastAsia="Arial" w:hAnsi="Arial"/>
                  <w:sz w:val="13"/>
                  <w:szCs w:val="13"/>
                  <w:color w:val="0000FF"/>
                </w:rPr>
                <w:t>Perrigo Company incorporated herein by reference to the corresponding exhibit to the Registrant’s Annual Report on Form 10-K (File No.</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5"/>
          </w:tcPr>
          <w:p>
            <w:pPr>
              <w:spacing w:after="0" w:line="117" w:lineRule="exact"/>
              <w:rPr>
                <w:rFonts w:ascii="Arial" w:cs="Arial" w:eastAsia="Arial" w:hAnsi="Arial"/>
                <w:sz w:val="13"/>
                <w:szCs w:val="13"/>
                <w:color w:val="0000FF"/>
                <w:w w:val="98"/>
              </w:rPr>
            </w:pPr>
            <w:hyperlink r:id="rId125">
              <w:r>
                <w:rPr>
                  <w:rFonts w:ascii="Arial" w:cs="Arial" w:eastAsia="Arial" w:hAnsi="Arial"/>
                  <w:sz w:val="13"/>
                  <w:szCs w:val="13"/>
                  <w:color w:val="0000FF"/>
                  <w:w w:val="98"/>
                </w:rPr>
                <w:t>001-33637) as filed with the SEC on March 12, 2013</w:t>
              </w:r>
            </w:hyperlink>
          </w:p>
        </w:tc>
        <w:tc>
          <w:tcPr>
            <w:tcW w:w="522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1140" w:type="dxa"/>
            <w:vAlign w:val="bottom"/>
          </w:tcPr>
          <w:p>
            <w:pPr>
              <w:jc w:val="center"/>
              <w:ind w:right="590"/>
              <w:spacing w:after="0"/>
              <w:rPr>
                <w:sz w:val="20"/>
                <w:szCs w:val="20"/>
                <w:color w:val="auto"/>
              </w:rPr>
            </w:pPr>
            <w:r>
              <w:rPr>
                <w:rFonts w:ascii="Arial" w:cs="Arial" w:eastAsia="Arial" w:hAnsi="Arial"/>
                <w:sz w:val="14"/>
                <w:szCs w:val="14"/>
                <w:color w:val="auto"/>
                <w:w w:val="91"/>
              </w:rPr>
              <w:t>10.34</w:t>
            </w:r>
          </w:p>
        </w:tc>
        <w:tc>
          <w:tcPr>
            <w:tcW w:w="8380" w:type="dxa"/>
            <w:vAlign w:val="bottom"/>
            <w:gridSpan w:val="32"/>
          </w:tcPr>
          <w:p>
            <w:pPr>
              <w:spacing w:after="0"/>
              <w:rPr>
                <w:rFonts w:ascii="Arial" w:cs="Arial" w:eastAsia="Arial" w:hAnsi="Arial"/>
                <w:sz w:val="14"/>
                <w:szCs w:val="14"/>
                <w:color w:val="0000FF"/>
                <w:w w:val="96"/>
              </w:rPr>
            </w:pPr>
            <w:hyperlink r:id="rId126">
              <w:r>
                <w:rPr>
                  <w:rFonts w:ascii="Arial" w:cs="Arial" w:eastAsia="Arial" w:hAnsi="Arial"/>
                  <w:sz w:val="14"/>
                  <w:szCs w:val="14"/>
                  <w:color w:val="0000FF"/>
                  <w:w w:val="96"/>
                </w:rPr>
                <w:t>Revolving Credit Loan Agreement, dated July 31, 2017, by and between Cumberland Pharmaceuticals Inc. and Pinnacle Bank incorporated</w:t>
              </w:r>
            </w:hyperlink>
          </w:p>
        </w:tc>
      </w:tr>
      <w:tr>
        <w:trPr>
          <w:trHeight w:val="117"/>
        </w:trPr>
        <w:tc>
          <w:tcPr>
            <w:tcW w:w="1140" w:type="dxa"/>
            <w:vAlign w:val="bottom"/>
          </w:tcPr>
          <w:p>
            <w:pPr>
              <w:spacing w:after="0"/>
              <w:rPr>
                <w:sz w:val="10"/>
                <w:szCs w:val="10"/>
                <w:color w:val="auto"/>
              </w:rPr>
            </w:pPr>
          </w:p>
        </w:tc>
        <w:tc>
          <w:tcPr>
            <w:tcW w:w="8360" w:type="dxa"/>
            <w:vAlign w:val="bottom"/>
            <w:tcBorders>
              <w:top w:val="single" w:sz="8" w:color="0000FF"/>
            </w:tcBorders>
            <w:gridSpan w:val="31"/>
          </w:tcPr>
          <w:p>
            <w:pPr>
              <w:spacing w:after="0" w:line="117" w:lineRule="exact"/>
              <w:rPr>
                <w:rFonts w:ascii="Arial" w:cs="Arial" w:eastAsia="Arial" w:hAnsi="Arial"/>
                <w:sz w:val="13"/>
                <w:szCs w:val="13"/>
                <w:color w:val="0000FF"/>
              </w:rPr>
            </w:pPr>
            <w:hyperlink r:id="rId126">
              <w:r>
                <w:rPr>
                  <w:rFonts w:ascii="Arial" w:cs="Arial" w:eastAsia="Arial" w:hAnsi="Arial"/>
                  <w:sz w:val="13"/>
                  <w:szCs w:val="13"/>
                  <w:color w:val="0000FF"/>
                </w:rPr>
                <w:t>herein by reference to the corresponding exhibit to the Registrant's Quarterly Report on Form 10-Q (File No. 001-33637) as filed with the</w:t>
              </w:r>
            </w:hyperlink>
          </w:p>
        </w:tc>
        <w:tc>
          <w:tcPr>
            <w:tcW w:w="20" w:type="dxa"/>
            <w:vAlign w:val="bottom"/>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020" w:type="dxa"/>
            <w:vAlign w:val="bottom"/>
            <w:tcBorders>
              <w:top w:val="single" w:sz="8" w:color="0000FF"/>
            </w:tcBorders>
            <w:gridSpan w:val="14"/>
          </w:tcPr>
          <w:p>
            <w:pPr>
              <w:spacing w:after="0" w:line="117" w:lineRule="exact"/>
              <w:rPr>
                <w:rFonts w:ascii="Arial" w:cs="Arial" w:eastAsia="Arial" w:hAnsi="Arial"/>
                <w:sz w:val="13"/>
                <w:szCs w:val="13"/>
                <w:color w:val="0000FF"/>
              </w:rPr>
            </w:pPr>
            <w:hyperlink r:id="rId126">
              <w:r>
                <w:rPr>
                  <w:rFonts w:ascii="Arial" w:cs="Arial" w:eastAsia="Arial" w:hAnsi="Arial"/>
                  <w:sz w:val="13"/>
                  <w:szCs w:val="13"/>
                  <w:color w:val="0000FF"/>
                </w:rPr>
                <w:t>SEC on November 8, 2017</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1"/>
        </w:trPr>
        <w:tc>
          <w:tcPr>
            <w:tcW w:w="1140" w:type="dxa"/>
            <w:vAlign w:val="bottom"/>
          </w:tcPr>
          <w:p>
            <w:pPr>
              <w:jc w:val="center"/>
              <w:ind w:right="590"/>
              <w:spacing w:after="0"/>
              <w:rPr>
                <w:sz w:val="20"/>
                <w:szCs w:val="20"/>
                <w:color w:val="auto"/>
              </w:rPr>
            </w:pPr>
            <w:r>
              <w:rPr>
                <w:rFonts w:ascii="Arial" w:cs="Arial" w:eastAsia="Arial" w:hAnsi="Arial"/>
                <w:sz w:val="14"/>
                <w:szCs w:val="14"/>
                <w:color w:val="auto"/>
                <w:w w:val="91"/>
              </w:rPr>
              <w:t>10.35</w:t>
            </w:r>
          </w:p>
        </w:tc>
        <w:tc>
          <w:tcPr>
            <w:tcW w:w="8380" w:type="dxa"/>
            <w:vAlign w:val="bottom"/>
            <w:gridSpan w:val="32"/>
          </w:tcPr>
          <w:p>
            <w:pPr>
              <w:spacing w:after="0"/>
              <w:rPr>
                <w:rFonts w:ascii="Arial" w:cs="Arial" w:eastAsia="Arial" w:hAnsi="Arial"/>
                <w:sz w:val="14"/>
                <w:szCs w:val="14"/>
                <w:color w:val="0000FF"/>
                <w:w w:val="97"/>
              </w:rPr>
            </w:pPr>
            <w:hyperlink r:id="rId99">
              <w:r>
                <w:rPr>
                  <w:rFonts w:ascii="Arial" w:cs="Arial" w:eastAsia="Arial" w:hAnsi="Arial"/>
                  <w:sz w:val="14"/>
                  <w:szCs w:val="14"/>
                  <w:color w:val="0000FF"/>
                  <w:w w:val="97"/>
                </w:rPr>
                <w:t>Amendment to Revolving Credit Loan Agreement, by and between Pinnacle Bank and Cumberland Pharmaceuticals Inc., dated August 14,</w:t>
              </w:r>
            </w:hyperlink>
          </w:p>
        </w:tc>
      </w:tr>
      <w:tr>
        <w:trPr>
          <w:trHeight w:val="117"/>
        </w:trPr>
        <w:tc>
          <w:tcPr>
            <w:tcW w:w="1140" w:type="dxa"/>
            <w:vAlign w:val="bottom"/>
          </w:tcPr>
          <w:p>
            <w:pPr>
              <w:spacing w:after="0"/>
              <w:rPr>
                <w:sz w:val="10"/>
                <w:szCs w:val="10"/>
                <w:color w:val="auto"/>
              </w:rPr>
            </w:pPr>
          </w:p>
        </w:tc>
        <w:tc>
          <w:tcPr>
            <w:tcW w:w="8160" w:type="dxa"/>
            <w:vAlign w:val="bottom"/>
            <w:tcBorders>
              <w:top w:val="single" w:sz="8" w:color="0000FF"/>
            </w:tcBorders>
            <w:gridSpan w:val="21"/>
          </w:tcPr>
          <w:p>
            <w:pPr>
              <w:spacing w:after="0" w:line="117" w:lineRule="exact"/>
              <w:rPr>
                <w:rFonts w:ascii="Arial" w:cs="Arial" w:eastAsia="Arial" w:hAnsi="Arial"/>
                <w:sz w:val="13"/>
                <w:szCs w:val="13"/>
                <w:color w:val="0000FF"/>
              </w:rPr>
            </w:pPr>
            <w:hyperlink r:id="rId99">
              <w:r>
                <w:rPr>
                  <w:rFonts w:ascii="Arial" w:cs="Arial" w:eastAsia="Arial" w:hAnsi="Arial"/>
                  <w:sz w:val="13"/>
                  <w:szCs w:val="13"/>
                  <w:color w:val="0000FF"/>
                </w:rPr>
                <w:t>2018, incorporated herein by reference to Exhibit 10.1 to the Registrant's Quarterly Report Form 10-Q (File No. 001-33637) as filed with the</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040" w:type="dxa"/>
            <w:vAlign w:val="bottom"/>
            <w:tcBorders>
              <w:top w:val="single" w:sz="8" w:color="0000FF"/>
            </w:tcBorders>
            <w:gridSpan w:val="15"/>
          </w:tcPr>
          <w:p>
            <w:pPr>
              <w:spacing w:after="0" w:line="117" w:lineRule="exact"/>
              <w:rPr>
                <w:rFonts w:ascii="Arial" w:cs="Arial" w:eastAsia="Arial" w:hAnsi="Arial"/>
                <w:sz w:val="13"/>
                <w:szCs w:val="13"/>
                <w:color w:val="0000FF"/>
              </w:rPr>
            </w:pPr>
            <w:hyperlink r:id="rId99">
              <w:r>
                <w:rPr>
                  <w:rFonts w:ascii="Arial" w:cs="Arial" w:eastAsia="Arial" w:hAnsi="Arial"/>
                  <w:sz w:val="13"/>
                  <w:szCs w:val="13"/>
                  <w:color w:val="0000FF"/>
                </w:rPr>
                <w:t>SEC on August 14, 2018</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1"/>
        </w:trPr>
        <w:tc>
          <w:tcPr>
            <w:tcW w:w="1140" w:type="dxa"/>
            <w:vAlign w:val="bottom"/>
          </w:tcPr>
          <w:p>
            <w:pPr>
              <w:jc w:val="center"/>
              <w:ind w:right="590"/>
              <w:spacing w:after="0"/>
              <w:rPr>
                <w:sz w:val="20"/>
                <w:szCs w:val="20"/>
                <w:color w:val="auto"/>
              </w:rPr>
            </w:pPr>
            <w:r>
              <w:rPr>
                <w:rFonts w:ascii="Arial" w:cs="Arial" w:eastAsia="Arial" w:hAnsi="Arial"/>
                <w:sz w:val="14"/>
                <w:szCs w:val="14"/>
                <w:color w:val="auto"/>
                <w:w w:val="91"/>
              </w:rPr>
              <w:t>10.36</w:t>
            </w:r>
          </w:p>
        </w:tc>
        <w:tc>
          <w:tcPr>
            <w:tcW w:w="8380" w:type="dxa"/>
            <w:vAlign w:val="bottom"/>
            <w:gridSpan w:val="32"/>
          </w:tcPr>
          <w:p>
            <w:pPr>
              <w:spacing w:after="0"/>
              <w:rPr>
                <w:rFonts w:ascii="Arial" w:cs="Arial" w:eastAsia="Arial" w:hAnsi="Arial"/>
                <w:sz w:val="14"/>
                <w:szCs w:val="14"/>
                <w:color w:val="0000FF"/>
                <w:w w:val="97"/>
              </w:rPr>
            </w:pPr>
            <w:hyperlink r:id="rId99">
              <w:r>
                <w:rPr>
                  <w:rFonts w:ascii="Arial" w:cs="Arial" w:eastAsia="Arial" w:hAnsi="Arial"/>
                  <w:sz w:val="14"/>
                  <w:szCs w:val="14"/>
                  <w:color w:val="0000FF"/>
                  <w:w w:val="97"/>
                </w:rPr>
                <w:t>First Amendment to Revolving Credit Note and Second Amendment to Revolving Credit Loan Agreement, dated as of October 17, 2018, by</w:t>
              </w:r>
            </w:hyperlink>
          </w:p>
        </w:tc>
      </w:tr>
      <w:tr>
        <w:trPr>
          <w:trHeight w:val="117"/>
        </w:trPr>
        <w:tc>
          <w:tcPr>
            <w:tcW w:w="1140" w:type="dxa"/>
            <w:vAlign w:val="bottom"/>
          </w:tcPr>
          <w:p>
            <w:pPr>
              <w:spacing w:after="0"/>
              <w:rPr>
                <w:sz w:val="10"/>
                <w:szCs w:val="10"/>
                <w:color w:val="auto"/>
              </w:rPr>
            </w:pPr>
          </w:p>
        </w:tc>
        <w:tc>
          <w:tcPr>
            <w:tcW w:w="8060" w:type="dxa"/>
            <w:vAlign w:val="bottom"/>
            <w:tcBorders>
              <w:top w:val="single" w:sz="8" w:color="0000FF"/>
              <w:bottom w:val="single" w:sz="8" w:color="0000FF"/>
            </w:tcBorders>
            <w:gridSpan w:val="16"/>
          </w:tcPr>
          <w:p>
            <w:pPr>
              <w:spacing w:after="0" w:line="117" w:lineRule="exact"/>
              <w:rPr>
                <w:rFonts w:ascii="Arial" w:cs="Arial" w:eastAsia="Arial" w:hAnsi="Arial"/>
                <w:sz w:val="13"/>
                <w:szCs w:val="13"/>
                <w:color w:val="0000FF"/>
                <w:w w:val="97"/>
              </w:rPr>
            </w:pPr>
            <w:hyperlink r:id="rId99">
              <w:r>
                <w:rPr>
                  <w:rFonts w:ascii="Arial" w:cs="Arial" w:eastAsia="Arial" w:hAnsi="Arial"/>
                  <w:sz w:val="13"/>
                  <w:szCs w:val="13"/>
                  <w:color w:val="0000FF"/>
                  <w:w w:val="97"/>
                </w:rPr>
                <w:t>and between Cumberland Pharmaceuticals Inc. and Pinnacle Bank, incorporated herein by reference to Exhibit 10.1 to the Registrant's Current</w:t>
              </w:r>
            </w:hyperlink>
          </w:p>
        </w:tc>
        <w:tc>
          <w:tcPr>
            <w:tcW w:w="40" w:type="dxa"/>
            <w:vAlign w:val="bottom"/>
            <w:tcBorders>
              <w:bottom w:val="single" w:sz="8" w:color="0000FF"/>
            </w:tcBorders>
            <w:gridSpan w:val="2"/>
          </w:tcPr>
          <w:p>
            <w:pPr>
              <w:spacing w:after="0"/>
              <w:rPr>
                <w:sz w:val="10"/>
                <w:szCs w:val="10"/>
                <w:color w:val="auto"/>
              </w:rPr>
            </w:pPr>
          </w:p>
        </w:tc>
        <w:tc>
          <w:tcPr>
            <w:tcW w:w="100" w:type="dxa"/>
            <w:vAlign w:val="bottom"/>
            <w:tcBorders>
              <w:bottom w:val="single" w:sz="8" w:color="0000FF"/>
            </w:tcBorders>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200" w:type="dxa"/>
            <w:vAlign w:val="bottom"/>
            <w:gridSpan w:val="23"/>
          </w:tcPr>
          <w:p>
            <w:pPr>
              <w:spacing w:after="0" w:line="117" w:lineRule="exact"/>
              <w:rPr>
                <w:rFonts w:ascii="Arial" w:cs="Arial" w:eastAsia="Arial" w:hAnsi="Arial"/>
                <w:sz w:val="13"/>
                <w:szCs w:val="13"/>
                <w:color w:val="0000FF"/>
              </w:rPr>
            </w:pPr>
            <w:hyperlink r:id="rId99">
              <w:r>
                <w:rPr>
                  <w:rFonts w:ascii="Arial" w:cs="Arial" w:eastAsia="Arial" w:hAnsi="Arial"/>
                  <w:sz w:val="13"/>
                  <w:szCs w:val="13"/>
                  <w:color w:val="0000FF"/>
                </w:rPr>
                <w:t>Report on Form 8-K (File No. 001-33637) as filed with the SEC on October 19, 2018</w:t>
              </w:r>
            </w:hyperlink>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4780" w:type="dxa"/>
            <w:vAlign w:val="bottom"/>
            <w:gridSpan w:val="8"/>
            <w:shd w:val="clear" w:color="auto" w:fill="0000FF"/>
          </w:tcPr>
          <w:p>
            <w:pPr>
              <w:spacing w:after="0" w:line="20" w:lineRule="exact"/>
              <w:rPr>
                <w:sz w:val="1"/>
                <w:szCs w:val="1"/>
                <w:color w:val="auto"/>
              </w:rPr>
            </w:pPr>
          </w:p>
        </w:tc>
        <w:tc>
          <w:tcPr>
            <w:tcW w:w="1340" w:type="dxa"/>
            <w:vAlign w:val="bottom"/>
            <w:tcBorders>
              <w:left w:val="single" w:sz="8" w:color="0000FF"/>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1"/>
        </w:trPr>
        <w:tc>
          <w:tcPr>
            <w:tcW w:w="1140" w:type="dxa"/>
            <w:vAlign w:val="bottom"/>
          </w:tcPr>
          <w:p>
            <w:pPr>
              <w:jc w:val="center"/>
              <w:ind w:right="590"/>
              <w:spacing w:after="0"/>
              <w:rPr>
                <w:sz w:val="20"/>
                <w:szCs w:val="20"/>
                <w:color w:val="auto"/>
              </w:rPr>
            </w:pPr>
            <w:r>
              <w:rPr>
                <w:rFonts w:ascii="Arial" w:cs="Arial" w:eastAsia="Arial" w:hAnsi="Arial"/>
                <w:sz w:val="14"/>
                <w:szCs w:val="14"/>
                <w:color w:val="auto"/>
                <w:w w:val="91"/>
              </w:rPr>
              <w:t>10.37</w:t>
            </w:r>
          </w:p>
        </w:tc>
        <w:tc>
          <w:tcPr>
            <w:tcW w:w="8380" w:type="dxa"/>
            <w:vAlign w:val="bottom"/>
            <w:gridSpan w:val="32"/>
          </w:tcPr>
          <w:p>
            <w:pPr>
              <w:spacing w:after="0"/>
              <w:rPr>
                <w:rFonts w:ascii="Arial" w:cs="Arial" w:eastAsia="Arial" w:hAnsi="Arial"/>
                <w:sz w:val="14"/>
                <w:szCs w:val="14"/>
                <w:color w:val="0000FF"/>
                <w:w w:val="96"/>
              </w:rPr>
            </w:pPr>
            <w:hyperlink r:id="rId126">
              <w:r>
                <w:rPr>
                  <w:rFonts w:ascii="Arial" w:cs="Arial" w:eastAsia="Arial" w:hAnsi="Arial"/>
                  <w:sz w:val="14"/>
                  <w:szCs w:val="14"/>
                  <w:color w:val="0000FF"/>
                  <w:w w:val="96"/>
                </w:rPr>
                <w:t>Second Amendment to Revolving Credit Note and Third Amendment to Revolving Credit Loan Agreement, dated as of May 10, 2019, by and</w:t>
              </w:r>
            </w:hyperlink>
          </w:p>
        </w:tc>
      </w:tr>
      <w:tr>
        <w:trPr>
          <w:trHeight w:val="117"/>
        </w:trPr>
        <w:tc>
          <w:tcPr>
            <w:tcW w:w="1140" w:type="dxa"/>
            <w:vAlign w:val="bottom"/>
          </w:tcPr>
          <w:p>
            <w:pPr>
              <w:spacing w:after="0"/>
              <w:rPr>
                <w:sz w:val="10"/>
                <w:szCs w:val="10"/>
                <w:color w:val="auto"/>
              </w:rPr>
            </w:pPr>
          </w:p>
        </w:tc>
        <w:tc>
          <w:tcPr>
            <w:tcW w:w="8140" w:type="dxa"/>
            <w:vAlign w:val="bottom"/>
            <w:tcBorders>
              <w:top w:val="single" w:sz="8" w:color="0000FF"/>
            </w:tcBorders>
            <w:gridSpan w:val="20"/>
          </w:tcPr>
          <w:p>
            <w:pPr>
              <w:spacing w:after="0" w:line="117" w:lineRule="exact"/>
              <w:rPr>
                <w:rFonts w:ascii="Arial" w:cs="Arial" w:eastAsia="Arial" w:hAnsi="Arial"/>
                <w:sz w:val="13"/>
                <w:szCs w:val="13"/>
                <w:color w:val="0000FF"/>
              </w:rPr>
            </w:pPr>
            <w:hyperlink r:id="rId126">
              <w:r>
                <w:rPr>
                  <w:rFonts w:ascii="Arial" w:cs="Arial" w:eastAsia="Arial" w:hAnsi="Arial"/>
                  <w:sz w:val="13"/>
                  <w:szCs w:val="13"/>
                  <w:color w:val="0000FF"/>
                </w:rPr>
                <w:t>between Cumberland Pharmaceuticals Inc. and Pinnacle Bank, incorporated herein by reference to Exhibit 10.2 to the Registrant's Quarterly</w:t>
              </w:r>
            </w:hyperlink>
          </w:p>
        </w:tc>
        <w:tc>
          <w:tcPr>
            <w:tcW w:w="120" w:type="dxa"/>
            <w:vAlign w:val="bottom"/>
            <w:gridSpan w:val="6"/>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17"/>
        </w:trPr>
        <w:tc>
          <w:tcPr>
            <w:tcW w:w="1140" w:type="dxa"/>
            <w:vAlign w:val="bottom"/>
          </w:tcPr>
          <w:p>
            <w:pPr>
              <w:spacing w:after="0"/>
              <w:rPr>
                <w:sz w:val="10"/>
                <w:szCs w:val="10"/>
                <w:color w:val="auto"/>
              </w:rPr>
            </w:pPr>
          </w:p>
        </w:tc>
        <w:tc>
          <w:tcPr>
            <w:tcW w:w="8120" w:type="dxa"/>
            <w:vAlign w:val="bottom"/>
            <w:tcBorders>
              <w:top w:val="single" w:sz="8" w:color="0000FF"/>
            </w:tcBorders>
            <w:gridSpan w:val="19"/>
          </w:tcPr>
          <w:p>
            <w:pPr>
              <w:spacing w:after="0" w:line="117" w:lineRule="exact"/>
              <w:rPr>
                <w:rFonts w:ascii="Arial" w:cs="Arial" w:eastAsia="Arial" w:hAnsi="Arial"/>
                <w:sz w:val="13"/>
                <w:szCs w:val="13"/>
                <w:color w:val="0000FF"/>
              </w:rPr>
            </w:pPr>
            <w:hyperlink r:id="rId126">
              <w:r>
                <w:rPr>
                  <w:rFonts w:ascii="Arial" w:cs="Arial" w:eastAsia="Arial" w:hAnsi="Arial"/>
                  <w:sz w:val="13"/>
                  <w:szCs w:val="13"/>
                  <w:color w:val="0000FF"/>
                </w:rPr>
                <w:t>Report on Form 10-Q (File No. 001-336371) as filed with the SEC on May 15, 2019.</w:t>
              </w:r>
            </w:hyperlink>
          </w:p>
        </w:tc>
        <w:tc>
          <w:tcPr>
            <w:tcW w:w="140" w:type="dxa"/>
            <w:vAlign w:val="bottom"/>
            <w:gridSpan w:val="7"/>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4780" w:type="dxa"/>
            <w:vAlign w:val="bottom"/>
            <w:gridSpan w:val="8"/>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10.38#</w:t>
            </w:r>
          </w:p>
        </w:tc>
        <w:tc>
          <w:tcPr>
            <w:tcW w:w="8380" w:type="dxa"/>
            <w:vAlign w:val="bottom"/>
            <w:gridSpan w:val="32"/>
          </w:tcPr>
          <w:p>
            <w:pPr>
              <w:spacing w:after="0"/>
              <w:rPr>
                <w:rFonts w:ascii="Arial" w:cs="Arial" w:eastAsia="Arial" w:hAnsi="Arial"/>
                <w:sz w:val="14"/>
                <w:szCs w:val="14"/>
                <w:color w:val="0000FF"/>
                <w:w w:val="95"/>
              </w:rPr>
            </w:pPr>
            <w:hyperlink r:id="rId127">
              <w:r>
                <w:rPr>
                  <w:rFonts w:ascii="Arial" w:cs="Arial" w:eastAsia="Arial" w:hAnsi="Arial"/>
                  <w:sz w:val="14"/>
                  <w:szCs w:val="14"/>
                  <w:color w:val="0000FF"/>
                  <w:w w:val="95"/>
                </w:rPr>
                <w:t>Amendment Number 2 to the Amended and Restated 2007 Long-Term Incentive Plan, incorporated herein by reference to Exhibit 10.1 of the</w:t>
              </w:r>
            </w:hyperlink>
          </w:p>
        </w:tc>
      </w:tr>
      <w:tr>
        <w:trPr>
          <w:trHeight w:val="117"/>
        </w:trPr>
        <w:tc>
          <w:tcPr>
            <w:tcW w:w="1140" w:type="dxa"/>
            <w:vAlign w:val="bottom"/>
          </w:tcPr>
          <w:p>
            <w:pPr>
              <w:spacing w:after="0"/>
              <w:rPr>
                <w:sz w:val="10"/>
                <w:szCs w:val="10"/>
                <w:color w:val="auto"/>
              </w:rPr>
            </w:pPr>
          </w:p>
        </w:tc>
        <w:tc>
          <w:tcPr>
            <w:tcW w:w="6120" w:type="dxa"/>
            <w:vAlign w:val="bottom"/>
            <w:tcBorders>
              <w:top w:val="single" w:sz="8" w:color="0000FF"/>
              <w:bottom w:val="single" w:sz="8" w:color="0000FF"/>
            </w:tcBorders>
            <w:gridSpan w:val="10"/>
          </w:tcPr>
          <w:p>
            <w:pPr>
              <w:spacing w:after="0" w:line="117" w:lineRule="exact"/>
              <w:rPr>
                <w:rFonts w:ascii="Arial" w:cs="Arial" w:eastAsia="Arial" w:hAnsi="Arial"/>
                <w:sz w:val="13"/>
                <w:szCs w:val="13"/>
                <w:color w:val="0000FF"/>
                <w:w w:val="99"/>
              </w:rPr>
            </w:pPr>
            <w:hyperlink r:id="rId127">
              <w:r>
                <w:rPr>
                  <w:rFonts w:ascii="Arial" w:cs="Arial" w:eastAsia="Arial" w:hAnsi="Arial"/>
                  <w:sz w:val="13"/>
                  <w:szCs w:val="13"/>
                  <w:color w:val="0000FF"/>
                  <w:w w:val="99"/>
                </w:rPr>
                <w:t>Registrant’s Quarterly Report on Form 10-Q (File No. 001-33637) as filed with the SEC on August 14, 2020</w:t>
              </w:r>
            </w:hyperlink>
          </w:p>
        </w:tc>
        <w:tc>
          <w:tcPr>
            <w:tcW w:w="2140" w:type="dxa"/>
            <w:vAlign w:val="bottom"/>
            <w:tcBorders>
              <w:top w:val="single" w:sz="8" w:color="0000FF"/>
            </w:tcBorders>
            <w:gridSpan w:val="16"/>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1"/>
        </w:trPr>
        <w:tc>
          <w:tcPr>
            <w:tcW w:w="1140" w:type="dxa"/>
            <w:vAlign w:val="bottom"/>
          </w:tcPr>
          <w:p>
            <w:pPr>
              <w:jc w:val="center"/>
              <w:ind w:right="570"/>
              <w:spacing w:after="0"/>
              <w:rPr>
                <w:sz w:val="20"/>
                <w:szCs w:val="20"/>
                <w:color w:val="auto"/>
              </w:rPr>
            </w:pPr>
            <w:r>
              <w:rPr>
                <w:rFonts w:ascii="Arial" w:cs="Arial" w:eastAsia="Arial" w:hAnsi="Arial"/>
                <w:sz w:val="14"/>
                <w:szCs w:val="14"/>
                <w:color w:val="auto"/>
                <w:w w:val="88"/>
              </w:rPr>
              <w:t>10.39#</w:t>
            </w:r>
          </w:p>
        </w:tc>
        <w:tc>
          <w:tcPr>
            <w:tcW w:w="8380" w:type="dxa"/>
            <w:vAlign w:val="bottom"/>
            <w:gridSpan w:val="32"/>
          </w:tcPr>
          <w:p>
            <w:pPr>
              <w:spacing w:after="0"/>
              <w:rPr>
                <w:rFonts w:ascii="Arial" w:cs="Arial" w:eastAsia="Arial" w:hAnsi="Arial"/>
                <w:sz w:val="14"/>
                <w:szCs w:val="14"/>
                <w:color w:val="0000FF"/>
                <w:w w:val="99"/>
              </w:rPr>
            </w:pPr>
            <w:hyperlink r:id="rId128">
              <w:r>
                <w:rPr>
                  <w:rFonts w:ascii="Arial" w:cs="Arial" w:eastAsia="Arial" w:hAnsi="Arial"/>
                  <w:sz w:val="14"/>
                  <w:szCs w:val="14"/>
                  <w:color w:val="0000FF"/>
                  <w:w w:val="99"/>
                </w:rPr>
                <w:t>Amendment Number 2 to the Amended and Restated 2007 Directors’ Incentive Compensation Plan, incorporated herein by reference to</w:t>
              </w:r>
            </w:hyperlink>
          </w:p>
        </w:tc>
      </w:tr>
      <w:tr>
        <w:trPr>
          <w:trHeight w:val="117"/>
        </w:trPr>
        <w:tc>
          <w:tcPr>
            <w:tcW w:w="1140" w:type="dxa"/>
            <w:vAlign w:val="bottom"/>
          </w:tcPr>
          <w:p>
            <w:pPr>
              <w:spacing w:after="0"/>
              <w:rPr>
                <w:sz w:val="10"/>
                <w:szCs w:val="10"/>
                <w:color w:val="auto"/>
              </w:rPr>
            </w:pPr>
          </w:p>
        </w:tc>
        <w:tc>
          <w:tcPr>
            <w:tcW w:w="7200" w:type="dxa"/>
            <w:vAlign w:val="bottom"/>
            <w:tcBorders>
              <w:top w:val="single" w:sz="8" w:color="0000FF"/>
              <w:bottom w:val="single" w:sz="8" w:color="0000FF"/>
            </w:tcBorders>
            <w:gridSpan w:val="12"/>
          </w:tcPr>
          <w:p>
            <w:pPr>
              <w:spacing w:after="0" w:line="117" w:lineRule="exact"/>
              <w:rPr>
                <w:rFonts w:ascii="Arial" w:cs="Arial" w:eastAsia="Arial" w:hAnsi="Arial"/>
                <w:sz w:val="13"/>
                <w:szCs w:val="13"/>
                <w:color w:val="0000FF"/>
                <w:w w:val="99"/>
              </w:rPr>
            </w:pPr>
            <w:hyperlink r:id="rId128">
              <w:r>
                <w:rPr>
                  <w:rFonts w:ascii="Arial" w:cs="Arial" w:eastAsia="Arial" w:hAnsi="Arial"/>
                  <w:sz w:val="13"/>
                  <w:szCs w:val="13"/>
                  <w:color w:val="0000FF"/>
                  <w:w w:val="99"/>
                </w:rPr>
                <w:t>Exhibit 10.2 of the Registrant’s Quarterly Report on Form 10-Q (File No. 001-33637) as filed with the SEC on August 14, 2020</w:t>
              </w:r>
            </w:hyperlink>
          </w:p>
        </w:tc>
        <w:tc>
          <w:tcPr>
            <w:tcW w:w="900" w:type="dxa"/>
            <w:vAlign w:val="bottom"/>
            <w:tcBorders>
              <w:top w:val="single" w:sz="8" w:color="0000FF"/>
            </w:tcBorders>
            <w:gridSpan w:val="6"/>
          </w:tcPr>
          <w:p>
            <w:pPr>
              <w:spacing w:after="0"/>
              <w:rPr>
                <w:sz w:val="10"/>
                <w:szCs w:val="10"/>
                <w:color w:val="auto"/>
              </w:rPr>
            </w:pPr>
          </w:p>
        </w:tc>
        <w:tc>
          <w:tcPr>
            <w:tcW w:w="280" w:type="dxa"/>
            <w:vAlign w:val="bottom"/>
            <w:gridSpan w:val="14"/>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52705</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9619"/>
          </w:cols>
          <w:pgMar w:left="840" w:top="1212"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060" w:type="dxa"/>
            <w:vAlign w:val="bottom"/>
          </w:tcPr>
          <w:p>
            <w:pPr>
              <w:jc w:val="right"/>
              <w:ind w:right="670"/>
              <w:spacing w:after="0"/>
              <w:rPr>
                <w:sz w:val="20"/>
                <w:szCs w:val="20"/>
                <w:color w:val="auto"/>
              </w:rPr>
            </w:pPr>
            <w:r>
              <w:rPr>
                <w:rFonts w:ascii="Arial" w:cs="Arial" w:eastAsia="Arial" w:hAnsi="Arial"/>
                <w:sz w:val="14"/>
                <w:szCs w:val="14"/>
                <w:color w:val="auto"/>
                <w:w w:val="85"/>
              </w:rPr>
              <w:t>10.40</w:t>
            </w:r>
          </w:p>
        </w:tc>
        <w:tc>
          <w:tcPr>
            <w:tcW w:w="8100" w:type="dxa"/>
            <w:vAlign w:val="bottom"/>
            <w:gridSpan w:val="10"/>
          </w:tcPr>
          <w:p>
            <w:pPr>
              <w:spacing w:after="0"/>
              <w:rPr>
                <w:rFonts w:ascii="Arial" w:cs="Arial" w:eastAsia="Arial" w:hAnsi="Arial"/>
                <w:sz w:val="14"/>
                <w:szCs w:val="14"/>
                <w:color w:val="0000FF"/>
                <w:w w:val="92"/>
              </w:rPr>
            </w:pPr>
            <w:hyperlink r:id="rId130">
              <w:r>
                <w:rPr>
                  <w:rFonts w:ascii="Arial" w:cs="Arial" w:eastAsia="Arial" w:hAnsi="Arial"/>
                  <w:sz w:val="14"/>
                  <w:szCs w:val="14"/>
                  <w:color w:val="0000FF"/>
                  <w:w w:val="92"/>
                </w:rPr>
                <w:t>Payment Protection Program Note dated April 20, 2020, by and between Cumberland Pharmaceuticals Inc. and Pinnacle Bank, incorporated</w:t>
              </w:r>
            </w:hyperlink>
          </w:p>
        </w:tc>
      </w:tr>
      <w:tr>
        <w:trPr>
          <w:trHeight w:val="117"/>
        </w:trPr>
        <w:tc>
          <w:tcPr>
            <w:tcW w:w="1060" w:type="dxa"/>
            <w:vAlign w:val="bottom"/>
          </w:tcPr>
          <w:p>
            <w:pPr>
              <w:spacing w:after="0"/>
              <w:rPr>
                <w:sz w:val="10"/>
                <w:szCs w:val="10"/>
                <w:color w:val="auto"/>
              </w:rPr>
            </w:pPr>
          </w:p>
        </w:tc>
        <w:tc>
          <w:tcPr>
            <w:tcW w:w="8060" w:type="dxa"/>
            <w:vAlign w:val="bottom"/>
            <w:tcBorders>
              <w:top w:val="single" w:sz="8" w:color="0000FF"/>
            </w:tcBorders>
            <w:gridSpan w:val="8"/>
          </w:tcPr>
          <w:p>
            <w:pPr>
              <w:spacing w:after="0" w:line="117" w:lineRule="exact"/>
              <w:rPr>
                <w:rFonts w:ascii="Arial" w:cs="Arial" w:eastAsia="Arial" w:hAnsi="Arial"/>
                <w:sz w:val="13"/>
                <w:szCs w:val="13"/>
                <w:color w:val="0000FF"/>
              </w:rPr>
            </w:pPr>
            <w:hyperlink r:id="rId130">
              <w:r>
                <w:rPr>
                  <w:rFonts w:ascii="Arial" w:cs="Arial" w:eastAsia="Arial" w:hAnsi="Arial"/>
                  <w:sz w:val="13"/>
                  <w:szCs w:val="13"/>
                  <w:color w:val="0000FF"/>
                </w:rPr>
                <w:t>herein by reference to Exhibit 10.3 of the Registrant’s Quarterly Report on Form 10-Q (File No. 001-33637) as filed with the SEC on August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060" w:type="dxa"/>
            <w:vAlign w:val="bottom"/>
          </w:tcPr>
          <w:p>
            <w:pPr>
              <w:spacing w:after="0"/>
              <w:rPr>
                <w:sz w:val="10"/>
                <w:szCs w:val="10"/>
                <w:color w:val="auto"/>
              </w:rPr>
            </w:pPr>
          </w:p>
        </w:tc>
        <w:tc>
          <w:tcPr>
            <w:tcW w:w="500" w:type="dxa"/>
            <w:vAlign w:val="bottom"/>
            <w:tcBorders>
              <w:top w:val="single" w:sz="8" w:color="0000FF"/>
              <w:bottom w:val="single" w:sz="8" w:color="0000FF"/>
            </w:tcBorders>
          </w:tcPr>
          <w:p>
            <w:pPr>
              <w:spacing w:after="0" w:line="117" w:lineRule="exact"/>
              <w:rPr>
                <w:rFonts w:ascii="Arial" w:cs="Arial" w:eastAsia="Arial" w:hAnsi="Arial"/>
                <w:sz w:val="13"/>
                <w:szCs w:val="13"/>
                <w:color w:val="0000FF"/>
                <w:w w:val="94"/>
              </w:rPr>
            </w:pPr>
            <w:hyperlink r:id="rId130">
              <w:r>
                <w:rPr>
                  <w:rFonts w:ascii="Arial" w:cs="Arial" w:eastAsia="Arial" w:hAnsi="Arial"/>
                  <w:sz w:val="13"/>
                  <w:szCs w:val="13"/>
                  <w:color w:val="0000FF"/>
                  <w:w w:val="94"/>
                </w:rPr>
                <w:t>14, 2020</w:t>
              </w:r>
            </w:hyperlink>
          </w:p>
        </w:tc>
        <w:tc>
          <w:tcPr>
            <w:tcW w:w="3400" w:type="dxa"/>
            <w:vAlign w:val="bottom"/>
            <w:tcBorders>
              <w:top w:val="single" w:sz="8" w:color="0000FF"/>
            </w:tcBorders>
          </w:tcPr>
          <w:p>
            <w:pPr>
              <w:spacing w:after="0"/>
              <w:rPr>
                <w:sz w:val="10"/>
                <w:szCs w:val="10"/>
                <w:color w:val="auto"/>
              </w:rPr>
            </w:pPr>
          </w:p>
        </w:tc>
        <w:tc>
          <w:tcPr>
            <w:tcW w:w="1700" w:type="dxa"/>
            <w:vAlign w:val="bottom"/>
            <w:tcBorders>
              <w:top w:val="single" w:sz="8" w:color="0000FF"/>
            </w:tcBorders>
          </w:tcPr>
          <w:p>
            <w:pPr>
              <w:spacing w:after="0"/>
              <w:rPr>
                <w:sz w:val="10"/>
                <w:szCs w:val="10"/>
                <w:color w:val="auto"/>
              </w:rPr>
            </w:pPr>
          </w:p>
        </w:tc>
        <w:tc>
          <w:tcPr>
            <w:tcW w:w="22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1060" w:type="dxa"/>
            <w:vAlign w:val="bottom"/>
          </w:tcPr>
          <w:p>
            <w:pPr>
              <w:jc w:val="right"/>
              <w:ind w:right="670"/>
              <w:spacing w:after="0"/>
              <w:rPr>
                <w:sz w:val="20"/>
                <w:szCs w:val="20"/>
                <w:color w:val="auto"/>
              </w:rPr>
            </w:pPr>
            <w:r>
              <w:rPr>
                <w:rFonts w:ascii="Arial" w:cs="Arial" w:eastAsia="Arial" w:hAnsi="Arial"/>
                <w:sz w:val="14"/>
                <w:szCs w:val="14"/>
                <w:color w:val="auto"/>
                <w:w w:val="85"/>
              </w:rPr>
              <w:t>10.41</w:t>
            </w:r>
          </w:p>
        </w:tc>
        <w:tc>
          <w:tcPr>
            <w:tcW w:w="8100" w:type="dxa"/>
            <w:vAlign w:val="bottom"/>
            <w:gridSpan w:val="10"/>
          </w:tcPr>
          <w:p>
            <w:pPr>
              <w:spacing w:after="0"/>
              <w:rPr>
                <w:rFonts w:ascii="Arial" w:cs="Arial" w:eastAsia="Arial" w:hAnsi="Arial"/>
                <w:sz w:val="14"/>
                <w:szCs w:val="14"/>
                <w:color w:val="0000FF"/>
                <w:w w:val="94"/>
              </w:rPr>
            </w:pPr>
            <w:hyperlink r:id="rId131">
              <w:r>
                <w:rPr>
                  <w:rFonts w:ascii="Arial" w:cs="Arial" w:eastAsia="Arial" w:hAnsi="Arial"/>
                  <w:sz w:val="14"/>
                  <w:szCs w:val="14"/>
                  <w:color w:val="0000FF"/>
                  <w:w w:val="94"/>
                </w:rPr>
                <w:t>Third Amendment to Revolving Credit Note and Fourth Amendment to Revolving Credit Loan Agreement, dated as of October 7, 2020, by</w:t>
              </w:r>
            </w:hyperlink>
          </w:p>
        </w:tc>
      </w:tr>
      <w:tr>
        <w:trPr>
          <w:trHeight w:val="117"/>
        </w:trPr>
        <w:tc>
          <w:tcPr>
            <w:tcW w:w="1060" w:type="dxa"/>
            <w:vAlign w:val="bottom"/>
          </w:tcPr>
          <w:p>
            <w:pPr>
              <w:spacing w:after="0"/>
              <w:rPr>
                <w:sz w:val="10"/>
                <w:szCs w:val="10"/>
                <w:color w:val="auto"/>
              </w:rPr>
            </w:pPr>
          </w:p>
        </w:tc>
        <w:tc>
          <w:tcPr>
            <w:tcW w:w="8000" w:type="dxa"/>
            <w:vAlign w:val="bottom"/>
            <w:tcBorders>
              <w:top w:val="single" w:sz="8" w:color="0000FF"/>
              <w:bottom w:val="single" w:sz="8" w:color="0000FF"/>
            </w:tcBorders>
            <w:gridSpan w:val="5"/>
          </w:tcPr>
          <w:p>
            <w:pPr>
              <w:spacing w:after="0" w:line="117" w:lineRule="exact"/>
              <w:rPr>
                <w:rFonts w:ascii="Arial" w:cs="Arial" w:eastAsia="Arial" w:hAnsi="Arial"/>
                <w:sz w:val="13"/>
                <w:szCs w:val="13"/>
                <w:color w:val="0000FF"/>
              </w:rPr>
            </w:pPr>
            <w:hyperlink r:id="rId131">
              <w:r>
                <w:rPr>
                  <w:rFonts w:ascii="Arial" w:cs="Arial" w:eastAsia="Arial" w:hAnsi="Arial"/>
                  <w:sz w:val="13"/>
                  <w:szCs w:val="13"/>
                  <w:color w:val="0000FF"/>
                </w:rPr>
                <w:t>and between Cumberland Pharmaceuticals Inc. and Pinnacle Bank, incorporated herein by reference to Exhibit 10.1 of the Registrant’s</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7"/>
        </w:trPr>
        <w:tc>
          <w:tcPr>
            <w:tcW w:w="1060" w:type="dxa"/>
            <w:vAlign w:val="bottom"/>
          </w:tcPr>
          <w:p>
            <w:pPr>
              <w:spacing w:after="0"/>
              <w:rPr>
                <w:sz w:val="10"/>
                <w:szCs w:val="10"/>
                <w:color w:val="auto"/>
              </w:rPr>
            </w:pPr>
          </w:p>
        </w:tc>
        <w:tc>
          <w:tcPr>
            <w:tcW w:w="5600" w:type="dxa"/>
            <w:vAlign w:val="bottom"/>
            <w:tcBorders>
              <w:bottom w:val="single" w:sz="8" w:color="0000FF"/>
            </w:tcBorders>
            <w:gridSpan w:val="3"/>
          </w:tcPr>
          <w:p>
            <w:pPr>
              <w:spacing w:after="0" w:line="117" w:lineRule="exact"/>
              <w:rPr>
                <w:rFonts w:ascii="Arial" w:cs="Arial" w:eastAsia="Arial" w:hAnsi="Arial"/>
                <w:sz w:val="13"/>
                <w:szCs w:val="13"/>
                <w:color w:val="0000FF"/>
                <w:w w:val="99"/>
              </w:rPr>
            </w:pPr>
            <w:hyperlink r:id="rId131">
              <w:r>
                <w:rPr>
                  <w:rFonts w:ascii="Arial" w:cs="Arial" w:eastAsia="Arial" w:hAnsi="Arial"/>
                  <w:sz w:val="13"/>
                  <w:szCs w:val="13"/>
                  <w:color w:val="0000FF"/>
                  <w:w w:val="99"/>
                </w:rPr>
                <w:t>Quarterly Report on Form 10-Q (File No. 001-33637) as filed with the SEC on November 13, 2020</w:t>
              </w:r>
            </w:hyperlink>
          </w:p>
        </w:tc>
        <w:tc>
          <w:tcPr>
            <w:tcW w:w="244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33"/>
        </w:trPr>
        <w:tc>
          <w:tcPr>
            <w:tcW w:w="1060" w:type="dxa"/>
            <w:vAlign w:val="bottom"/>
          </w:tcPr>
          <w:p>
            <w:pPr>
              <w:jc w:val="right"/>
              <w:ind w:right="670"/>
              <w:spacing w:after="0"/>
              <w:rPr>
                <w:sz w:val="20"/>
                <w:szCs w:val="20"/>
                <w:color w:val="auto"/>
              </w:rPr>
            </w:pPr>
            <w:r>
              <w:rPr>
                <w:rFonts w:ascii="Arial" w:cs="Arial" w:eastAsia="Arial" w:hAnsi="Arial"/>
                <w:sz w:val="14"/>
                <w:szCs w:val="14"/>
                <w:color w:val="auto"/>
                <w:w w:val="85"/>
              </w:rPr>
              <w:t>10.42</w:t>
            </w:r>
          </w:p>
        </w:tc>
        <w:tc>
          <w:tcPr>
            <w:tcW w:w="8100" w:type="dxa"/>
            <w:vAlign w:val="bottom"/>
            <w:gridSpan w:val="10"/>
          </w:tcPr>
          <w:p>
            <w:pPr>
              <w:spacing w:after="0"/>
              <w:rPr>
                <w:rFonts w:ascii="Arial" w:cs="Arial" w:eastAsia="Arial" w:hAnsi="Arial"/>
                <w:sz w:val="14"/>
                <w:szCs w:val="14"/>
                <w:color w:val="0000FF"/>
                <w:w w:val="94"/>
              </w:rPr>
            </w:pPr>
            <w:hyperlink r:id="rId132">
              <w:r>
                <w:rPr>
                  <w:rFonts w:ascii="Arial" w:cs="Arial" w:eastAsia="Arial" w:hAnsi="Arial"/>
                  <w:sz w:val="14"/>
                  <w:szCs w:val="14"/>
                  <w:color w:val="0000FF"/>
                  <w:w w:val="94"/>
                </w:rPr>
                <w:t>Fourth Amendment to Revolving Credit Note and Fifth Amendment to Revolving Credit Loan Agreement, dated as of October 28, 2021, by</w:t>
              </w:r>
            </w:hyperlink>
          </w:p>
        </w:tc>
      </w:tr>
      <w:tr>
        <w:trPr>
          <w:trHeight w:val="117"/>
        </w:trPr>
        <w:tc>
          <w:tcPr>
            <w:tcW w:w="1060" w:type="dxa"/>
            <w:vAlign w:val="bottom"/>
          </w:tcPr>
          <w:p>
            <w:pPr>
              <w:spacing w:after="0"/>
              <w:rPr>
                <w:sz w:val="10"/>
                <w:szCs w:val="10"/>
                <w:color w:val="auto"/>
              </w:rPr>
            </w:pPr>
          </w:p>
        </w:tc>
        <w:tc>
          <w:tcPr>
            <w:tcW w:w="8080" w:type="dxa"/>
            <w:vAlign w:val="bottom"/>
            <w:tcBorders>
              <w:top w:val="single" w:sz="8" w:color="0000FF"/>
            </w:tcBorders>
            <w:gridSpan w:val="9"/>
          </w:tcPr>
          <w:p>
            <w:pPr>
              <w:spacing w:after="0" w:line="117" w:lineRule="exact"/>
              <w:rPr>
                <w:rFonts w:ascii="Arial" w:cs="Arial" w:eastAsia="Arial" w:hAnsi="Arial"/>
                <w:sz w:val="13"/>
                <w:szCs w:val="13"/>
                <w:color w:val="0000FF"/>
              </w:rPr>
            </w:pPr>
            <w:hyperlink r:id="rId132">
              <w:r>
                <w:rPr>
                  <w:rFonts w:ascii="Arial" w:cs="Arial" w:eastAsia="Arial" w:hAnsi="Arial"/>
                  <w:sz w:val="13"/>
                  <w:szCs w:val="13"/>
                  <w:color w:val="0000FF"/>
                </w:rPr>
                <w:t>and between Cumberland Pharmaceuticals Inc. and Pinnacle Bank, incorporated herein by reference to Exhibit 10.1 of the Registrant’s</w:t>
              </w:r>
            </w:hyperlink>
          </w:p>
        </w:tc>
        <w:tc>
          <w:tcPr>
            <w:tcW w:w="20" w:type="dxa"/>
            <w:vAlign w:val="bottom"/>
          </w:tcPr>
          <w:p>
            <w:pPr>
              <w:spacing w:after="0"/>
              <w:rPr>
                <w:sz w:val="10"/>
                <w:szCs w:val="10"/>
                <w:color w:val="auto"/>
              </w:rPr>
            </w:pPr>
          </w:p>
        </w:tc>
      </w:tr>
      <w:tr>
        <w:trPr>
          <w:trHeight w:val="117"/>
        </w:trPr>
        <w:tc>
          <w:tcPr>
            <w:tcW w:w="1060" w:type="dxa"/>
            <w:vAlign w:val="bottom"/>
          </w:tcPr>
          <w:p>
            <w:pPr>
              <w:spacing w:after="0"/>
              <w:rPr>
                <w:sz w:val="10"/>
                <w:szCs w:val="10"/>
                <w:color w:val="auto"/>
              </w:rPr>
            </w:pPr>
          </w:p>
        </w:tc>
        <w:tc>
          <w:tcPr>
            <w:tcW w:w="5600" w:type="dxa"/>
            <w:vAlign w:val="bottom"/>
            <w:tcBorders>
              <w:top w:val="single" w:sz="8" w:color="0000FF"/>
              <w:bottom w:val="single" w:sz="8" w:color="0000FF"/>
            </w:tcBorders>
            <w:gridSpan w:val="3"/>
          </w:tcPr>
          <w:p>
            <w:pPr>
              <w:spacing w:after="0" w:line="117" w:lineRule="exact"/>
              <w:rPr>
                <w:rFonts w:ascii="Arial" w:cs="Arial" w:eastAsia="Arial" w:hAnsi="Arial"/>
                <w:sz w:val="13"/>
                <w:szCs w:val="13"/>
                <w:color w:val="0000FF"/>
                <w:w w:val="99"/>
              </w:rPr>
            </w:pPr>
            <w:hyperlink r:id="rId132">
              <w:r>
                <w:rPr>
                  <w:rFonts w:ascii="Arial" w:cs="Arial" w:eastAsia="Arial" w:hAnsi="Arial"/>
                  <w:sz w:val="13"/>
                  <w:szCs w:val="13"/>
                  <w:color w:val="0000FF"/>
                  <w:w w:val="99"/>
                </w:rPr>
                <w:t>Quarterly Report on Form 10-Q (File No. 001-33637) as filed with the SEC on November 12, 2021</w:t>
              </w:r>
            </w:hyperlink>
          </w:p>
        </w:tc>
        <w:tc>
          <w:tcPr>
            <w:tcW w:w="2440" w:type="dxa"/>
            <w:vAlign w:val="bottom"/>
            <w:tcBorders>
              <w:top w:val="single" w:sz="8" w:color="0000FF"/>
            </w:tcBorders>
            <w:gridSpan w:val="4"/>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33"/>
        </w:trPr>
        <w:tc>
          <w:tcPr>
            <w:tcW w:w="1060" w:type="dxa"/>
            <w:vAlign w:val="bottom"/>
          </w:tcPr>
          <w:p>
            <w:pPr>
              <w:jc w:val="right"/>
              <w:ind w:right="670"/>
              <w:spacing w:after="0"/>
              <w:rPr>
                <w:sz w:val="20"/>
                <w:szCs w:val="20"/>
                <w:color w:val="auto"/>
              </w:rPr>
            </w:pPr>
            <w:r>
              <w:rPr>
                <w:rFonts w:ascii="Arial" w:cs="Arial" w:eastAsia="Arial" w:hAnsi="Arial"/>
                <w:sz w:val="14"/>
                <w:szCs w:val="14"/>
                <w:color w:val="auto"/>
                <w:w w:val="85"/>
              </w:rPr>
              <w:t>10.43</w:t>
            </w:r>
          </w:p>
        </w:tc>
        <w:tc>
          <w:tcPr>
            <w:tcW w:w="8100" w:type="dxa"/>
            <w:vAlign w:val="bottom"/>
            <w:gridSpan w:val="10"/>
          </w:tcPr>
          <w:p>
            <w:pPr>
              <w:spacing w:after="0"/>
              <w:rPr>
                <w:rFonts w:ascii="Arial" w:cs="Arial" w:eastAsia="Arial" w:hAnsi="Arial"/>
                <w:sz w:val="14"/>
                <w:szCs w:val="14"/>
                <w:color w:val="0000FF"/>
                <w:w w:val="93"/>
              </w:rPr>
            </w:pPr>
            <w:hyperlink w:anchor="page165">
              <w:r>
                <w:rPr>
                  <w:rFonts w:ascii="Arial" w:cs="Arial" w:eastAsia="Arial" w:hAnsi="Arial"/>
                  <w:sz w:val="14"/>
                  <w:szCs w:val="14"/>
                  <w:color w:val="0000FF"/>
                  <w:w w:val="93"/>
                </w:rPr>
                <w:t>Fifth Amendment to the Revolving Credit Note and Sixth Amendment to Revolving Credit Loan Agreement, dated as of December 31, 2021,</w:t>
              </w:r>
            </w:hyperlink>
          </w:p>
        </w:tc>
      </w:tr>
      <w:tr>
        <w:trPr>
          <w:trHeight w:val="117"/>
        </w:trPr>
        <w:tc>
          <w:tcPr>
            <w:tcW w:w="1060" w:type="dxa"/>
            <w:vAlign w:val="bottom"/>
          </w:tcPr>
          <w:p>
            <w:pPr>
              <w:spacing w:after="0"/>
              <w:rPr>
                <w:sz w:val="10"/>
                <w:szCs w:val="10"/>
                <w:color w:val="auto"/>
              </w:rPr>
            </w:pPr>
          </w:p>
        </w:tc>
        <w:tc>
          <w:tcPr>
            <w:tcW w:w="8020" w:type="dxa"/>
            <w:vAlign w:val="bottom"/>
            <w:tcBorders>
              <w:top w:val="single" w:sz="8" w:color="0000FF"/>
            </w:tcBorders>
            <w:gridSpan w:val="6"/>
          </w:tcPr>
          <w:p>
            <w:pPr>
              <w:spacing w:after="0" w:line="117" w:lineRule="exact"/>
              <w:rPr>
                <w:rFonts w:ascii="Arial" w:cs="Arial" w:eastAsia="Arial" w:hAnsi="Arial"/>
                <w:sz w:val="13"/>
                <w:szCs w:val="13"/>
                <w:color w:val="0000FF"/>
              </w:rPr>
            </w:pPr>
            <w:hyperlink w:anchor="page165">
              <w:r>
                <w:rPr>
                  <w:rFonts w:ascii="Arial" w:cs="Arial" w:eastAsia="Arial" w:hAnsi="Arial"/>
                  <w:sz w:val="13"/>
                  <w:szCs w:val="13"/>
                  <w:color w:val="0000FF"/>
                </w:rPr>
                <w:t>by and between Cumberland Pharmaceuticals Inc. and Pinnacle Bank</w:t>
              </w:r>
            </w:hyperlink>
          </w:p>
        </w:tc>
        <w:tc>
          <w:tcPr>
            <w:tcW w:w="80" w:type="dxa"/>
            <w:vAlign w:val="bottom"/>
            <w:gridSpan w:val="4"/>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33"/>
        </w:trPr>
        <w:tc>
          <w:tcPr>
            <w:tcW w:w="1060" w:type="dxa"/>
            <w:vAlign w:val="bottom"/>
          </w:tcPr>
          <w:p>
            <w:pPr>
              <w:jc w:val="right"/>
              <w:ind w:right="670"/>
              <w:spacing w:after="0"/>
              <w:rPr>
                <w:sz w:val="20"/>
                <w:szCs w:val="20"/>
                <w:color w:val="auto"/>
              </w:rPr>
            </w:pPr>
            <w:r>
              <w:rPr>
                <w:rFonts w:ascii="Arial" w:cs="Arial" w:eastAsia="Arial" w:hAnsi="Arial"/>
                <w:sz w:val="14"/>
                <w:szCs w:val="14"/>
                <w:color w:val="auto"/>
                <w:w w:val="85"/>
              </w:rPr>
              <w:t>10.44</w:t>
            </w:r>
          </w:p>
        </w:tc>
        <w:tc>
          <w:tcPr>
            <w:tcW w:w="8100" w:type="dxa"/>
            <w:vAlign w:val="bottom"/>
            <w:gridSpan w:val="10"/>
          </w:tcPr>
          <w:p>
            <w:pPr>
              <w:spacing w:after="0"/>
              <w:rPr>
                <w:rFonts w:ascii="Arial" w:cs="Arial" w:eastAsia="Arial" w:hAnsi="Arial"/>
                <w:sz w:val="14"/>
                <w:szCs w:val="14"/>
                <w:color w:val="0000FF"/>
                <w:w w:val="92"/>
              </w:rPr>
            </w:pPr>
            <w:hyperlink w:anchor="page172">
              <w:r>
                <w:rPr>
                  <w:rFonts w:ascii="Arial" w:cs="Arial" w:eastAsia="Arial" w:hAnsi="Arial"/>
                  <w:sz w:val="14"/>
                  <w:szCs w:val="14"/>
                  <w:color w:val="0000FF"/>
                  <w:w w:val="92"/>
                </w:rPr>
                <w:t>Lease Agreement, dated November 15, 2021, by and between Cumberland Pharmaceuticals Inc. and 1600 West End Avenue Partners, LLC.</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52705</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9539"/>
          </w:cols>
          <w:pgMar w:left="920" w:top="1159" w:right="1440" w:bottom="1440" w:gutter="0" w:footer="0" w:header="0"/>
        </w:sectPr>
      </w:pPr>
    </w:p>
    <w:bookmarkStart w:id="85" w:name="page86"/>
    <w:bookmarkEnd w:id="85"/>
    <w:p>
      <w:pPr>
        <w:ind w:left="1300" w:hanging="1110"/>
        <w:spacing w:after="0" w:line="235" w:lineRule="auto"/>
        <w:tabs>
          <w:tab w:leader="none" w:pos="1300" w:val="left"/>
        </w:tabs>
        <w:numPr>
          <w:ilvl w:val="0"/>
          <w:numId w:val="37"/>
        </w:numPr>
        <w:rPr>
          <w:rFonts w:ascii="Arial" w:cs="Arial" w:eastAsia="Arial" w:hAnsi="Arial"/>
          <w:sz w:val="14"/>
          <w:szCs w:val="14"/>
          <w:u w:val="single" w:color="auto"/>
          <w:color w:val="0000FF"/>
        </w:rPr>
      </w:pPr>
      <w:hyperlink r:id="rId134">
        <w:r>
          <w:rPr>
            <w:rFonts w:ascii="Arial" w:cs="Arial" w:eastAsia="Arial" w:hAnsi="Arial"/>
            <w:sz w:val="14"/>
            <w:szCs w:val="14"/>
            <w:u w:val="single" w:color="auto"/>
            <w:color w:val="0000FF"/>
          </w:rPr>
          <w:t>Subsidiaries of Cumberland Pharmaceuticals Inc., incorporated herein by reference to the corresponding exhibit to the Registrant’s Registration Statement on Form</w:t>
        </w:r>
      </w:hyperlink>
      <w:r>
        <w:rPr>
          <w:rFonts w:ascii="Arial" w:cs="Arial" w:eastAsia="Arial" w:hAnsi="Arial"/>
          <w:sz w:val="14"/>
          <w:szCs w:val="14"/>
          <w:u w:val="single" w:color="auto"/>
          <w:color w:val="0000FF"/>
        </w:rPr>
        <w:t xml:space="preserve"> </w:t>
      </w:r>
      <w:hyperlink r:id="rId134">
        <w:r>
          <w:rPr>
            <w:rFonts w:ascii="Arial" w:cs="Arial" w:eastAsia="Arial" w:hAnsi="Arial"/>
            <w:sz w:val="14"/>
            <w:szCs w:val="14"/>
            <w:u w:val="single" w:color="auto"/>
            <w:color w:val="0000FF"/>
          </w:rPr>
          <w:t>S-1 (File No. 333-142535) as filed with the SEC on May 1, 2007</w:t>
        </w:r>
      </w:hyperlink>
    </w:p>
    <w:p>
      <w:pPr>
        <w:spacing w:after="0" w:line="40"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ind w:right="710"/>
              <w:spacing w:after="0"/>
              <w:rPr>
                <w:sz w:val="20"/>
                <w:szCs w:val="20"/>
                <w:color w:val="auto"/>
              </w:rPr>
            </w:pPr>
            <w:r>
              <w:rPr>
                <w:rFonts w:ascii="Arial" w:cs="Arial" w:eastAsia="Arial" w:hAnsi="Arial"/>
                <w:sz w:val="14"/>
                <w:szCs w:val="14"/>
                <w:color w:val="auto"/>
                <w:w w:val="87"/>
              </w:rPr>
              <w:t>23.1</w:t>
            </w:r>
          </w:p>
        </w:tc>
        <w:tc>
          <w:tcPr>
            <w:tcW w:w="1580" w:type="dxa"/>
            <w:vAlign w:val="bottom"/>
            <w:tcBorders>
              <w:bottom w:val="single" w:sz="8" w:color="0000FF"/>
            </w:tcBorders>
            <w:gridSpan w:val="4"/>
          </w:tcPr>
          <w:p>
            <w:pPr>
              <w:spacing w:after="0"/>
              <w:rPr>
                <w:rFonts w:ascii="Arial" w:cs="Arial" w:eastAsia="Arial" w:hAnsi="Arial"/>
                <w:sz w:val="14"/>
                <w:szCs w:val="14"/>
                <w:color w:val="0000FF"/>
                <w:w w:val="93"/>
              </w:rPr>
            </w:pPr>
            <w:hyperlink w:anchor="page283">
              <w:r>
                <w:rPr>
                  <w:rFonts w:ascii="Arial" w:cs="Arial" w:eastAsia="Arial" w:hAnsi="Arial"/>
                  <w:sz w:val="14"/>
                  <w:szCs w:val="14"/>
                  <w:color w:val="0000FF"/>
                  <w:w w:val="93"/>
                </w:rPr>
                <w:t>Consent of BDO USA, LLP</w:t>
              </w:r>
            </w:hyperlink>
          </w:p>
        </w:tc>
        <w:tc>
          <w:tcPr>
            <w:tcW w:w="7700" w:type="dxa"/>
            <w:vAlign w:val="bottom"/>
            <w:gridSpan w:val="4"/>
          </w:tcPr>
          <w:p>
            <w:pPr>
              <w:spacing w:after="0"/>
              <w:rPr>
                <w:sz w:val="14"/>
                <w:szCs w:val="14"/>
                <w:color w:val="auto"/>
              </w:rPr>
            </w:pPr>
          </w:p>
        </w:tc>
      </w:tr>
      <w:tr>
        <w:trPr>
          <w:trHeight w:val="212"/>
        </w:trPr>
        <w:tc>
          <w:tcPr>
            <w:tcW w:w="1300" w:type="dxa"/>
            <w:vAlign w:val="bottom"/>
          </w:tcPr>
          <w:p>
            <w:pPr>
              <w:jc w:val="center"/>
              <w:ind w:right="710"/>
              <w:spacing w:after="0"/>
              <w:rPr>
                <w:sz w:val="20"/>
                <w:szCs w:val="20"/>
                <w:color w:val="auto"/>
              </w:rPr>
            </w:pPr>
            <w:r>
              <w:rPr>
                <w:rFonts w:ascii="Arial" w:cs="Arial" w:eastAsia="Arial" w:hAnsi="Arial"/>
                <w:sz w:val="14"/>
                <w:szCs w:val="14"/>
                <w:color w:val="auto"/>
                <w:w w:val="87"/>
              </w:rPr>
              <w:t>23.2</w:t>
            </w:r>
          </w:p>
        </w:tc>
        <w:tc>
          <w:tcPr>
            <w:tcW w:w="9280" w:type="dxa"/>
            <w:vAlign w:val="bottom"/>
            <w:gridSpan w:val="8"/>
          </w:tcPr>
          <w:p>
            <w:pPr>
              <w:spacing w:after="0"/>
              <w:rPr>
                <w:rFonts w:ascii="Arial" w:cs="Arial" w:eastAsia="Arial" w:hAnsi="Arial"/>
                <w:sz w:val="14"/>
                <w:szCs w:val="14"/>
                <w:color w:val="0000FF"/>
              </w:rPr>
            </w:pPr>
            <w:hyperlink w:anchor="page284">
              <w:r>
                <w:rPr>
                  <w:rFonts w:ascii="Arial" w:cs="Arial" w:eastAsia="Arial" w:hAnsi="Arial"/>
                  <w:sz w:val="14"/>
                  <w:szCs w:val="14"/>
                  <w:color w:val="0000FF"/>
                </w:rPr>
                <w:t>Consent of BKD, LLP</w:t>
              </w:r>
            </w:hyperlink>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1300" w:type="dxa"/>
            <w:vAlign w:val="bottom"/>
          </w:tcPr>
          <w:p>
            <w:pPr>
              <w:jc w:val="center"/>
              <w:ind w:right="710"/>
              <w:spacing w:after="0"/>
              <w:rPr>
                <w:sz w:val="20"/>
                <w:szCs w:val="20"/>
                <w:color w:val="auto"/>
              </w:rPr>
            </w:pPr>
            <w:r>
              <w:rPr>
                <w:rFonts w:ascii="Arial" w:cs="Arial" w:eastAsia="Arial" w:hAnsi="Arial"/>
                <w:sz w:val="14"/>
                <w:szCs w:val="14"/>
                <w:color w:val="auto"/>
                <w:w w:val="87"/>
              </w:rPr>
              <w:t>31.1</w:t>
            </w:r>
          </w:p>
        </w:tc>
        <w:tc>
          <w:tcPr>
            <w:tcW w:w="9280" w:type="dxa"/>
            <w:vAlign w:val="bottom"/>
            <w:gridSpan w:val="8"/>
          </w:tcPr>
          <w:p>
            <w:pPr>
              <w:spacing w:after="0"/>
              <w:rPr>
                <w:rFonts w:ascii="Arial" w:cs="Arial" w:eastAsia="Arial" w:hAnsi="Arial"/>
                <w:sz w:val="14"/>
                <w:szCs w:val="14"/>
                <w:color w:val="0000FF"/>
                <w:w w:val="94"/>
              </w:rPr>
            </w:pPr>
            <w:hyperlink w:anchor="page285">
              <w:r>
                <w:rPr>
                  <w:rFonts w:ascii="Arial" w:cs="Arial" w:eastAsia="Arial" w:hAnsi="Arial"/>
                  <w:sz w:val="14"/>
                  <w:szCs w:val="14"/>
                  <w:color w:val="0000FF"/>
                  <w:w w:val="94"/>
                </w:rPr>
                <w:t>Certification of Chief Executive Officer Pursuant to Rule 13-14(a) of the Securities Exchange Act of 1934 as Adopted Pursuant to Section 302 of the Sarbanes-</w:t>
              </w:r>
            </w:hyperlink>
          </w:p>
        </w:tc>
      </w:tr>
      <w:tr>
        <w:trPr>
          <w:trHeight w:val="117"/>
        </w:trPr>
        <w:tc>
          <w:tcPr>
            <w:tcW w:w="1300" w:type="dxa"/>
            <w:vAlign w:val="bottom"/>
          </w:tcPr>
          <w:p>
            <w:pPr>
              <w:spacing w:after="0"/>
              <w:rPr>
                <w:sz w:val="10"/>
                <w:szCs w:val="10"/>
                <w:color w:val="auto"/>
              </w:rPr>
            </w:pPr>
          </w:p>
        </w:tc>
        <w:tc>
          <w:tcPr>
            <w:tcW w:w="9240" w:type="dxa"/>
            <w:vAlign w:val="bottom"/>
            <w:tcBorders>
              <w:top w:val="single" w:sz="8" w:color="0000FF"/>
            </w:tcBorders>
            <w:gridSpan w:val="6"/>
          </w:tcPr>
          <w:p>
            <w:pPr>
              <w:spacing w:after="0" w:line="117" w:lineRule="exact"/>
              <w:rPr>
                <w:rFonts w:ascii="Arial" w:cs="Arial" w:eastAsia="Arial" w:hAnsi="Arial"/>
                <w:sz w:val="13"/>
                <w:szCs w:val="13"/>
                <w:color w:val="0000FF"/>
              </w:rPr>
            </w:pPr>
            <w:hyperlink w:anchor="page285">
              <w:r>
                <w:rPr>
                  <w:rFonts w:ascii="Arial" w:cs="Arial" w:eastAsia="Arial" w:hAnsi="Arial"/>
                  <w:sz w:val="13"/>
                  <w:szCs w:val="13"/>
                  <w:color w:val="0000FF"/>
                </w:rPr>
                <w:t>Oxley Act of 2002.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1300" w:type="dxa"/>
            <w:vAlign w:val="bottom"/>
          </w:tcPr>
          <w:p>
            <w:pPr>
              <w:jc w:val="center"/>
              <w:ind w:right="710"/>
              <w:spacing w:after="0"/>
              <w:rPr>
                <w:sz w:val="20"/>
                <w:szCs w:val="20"/>
                <w:color w:val="auto"/>
              </w:rPr>
            </w:pPr>
            <w:r>
              <w:rPr>
                <w:rFonts w:ascii="Arial" w:cs="Arial" w:eastAsia="Arial" w:hAnsi="Arial"/>
                <w:sz w:val="14"/>
                <w:szCs w:val="14"/>
                <w:color w:val="auto"/>
                <w:w w:val="87"/>
              </w:rPr>
              <w:t>31.2</w:t>
            </w:r>
          </w:p>
        </w:tc>
        <w:tc>
          <w:tcPr>
            <w:tcW w:w="9280" w:type="dxa"/>
            <w:vAlign w:val="bottom"/>
            <w:gridSpan w:val="8"/>
          </w:tcPr>
          <w:p>
            <w:pPr>
              <w:spacing w:after="0"/>
              <w:rPr>
                <w:rFonts w:ascii="Arial" w:cs="Arial" w:eastAsia="Arial" w:hAnsi="Arial"/>
                <w:sz w:val="14"/>
                <w:szCs w:val="14"/>
                <w:color w:val="0000FF"/>
                <w:w w:val="94"/>
              </w:rPr>
            </w:pPr>
            <w:hyperlink w:anchor="page286">
              <w:r>
                <w:rPr>
                  <w:rFonts w:ascii="Arial" w:cs="Arial" w:eastAsia="Arial" w:hAnsi="Arial"/>
                  <w:sz w:val="14"/>
                  <w:szCs w:val="14"/>
                  <w:color w:val="0000FF"/>
                  <w:w w:val="94"/>
                </w:rPr>
                <w:t>Certification of Chief Financial Officer Pursuant to Rule 13-14(a) of the Securities Exchange Act of 1934 as Adopted Pursuant to Section 302 of the Sarbanes-</w:t>
              </w:r>
            </w:hyperlink>
          </w:p>
        </w:tc>
      </w:tr>
      <w:tr>
        <w:trPr>
          <w:trHeight w:val="117"/>
        </w:trPr>
        <w:tc>
          <w:tcPr>
            <w:tcW w:w="1300" w:type="dxa"/>
            <w:vAlign w:val="bottom"/>
          </w:tcPr>
          <w:p>
            <w:pPr>
              <w:spacing w:after="0"/>
              <w:rPr>
                <w:sz w:val="10"/>
                <w:szCs w:val="10"/>
                <w:color w:val="auto"/>
              </w:rPr>
            </w:pPr>
          </w:p>
        </w:tc>
        <w:tc>
          <w:tcPr>
            <w:tcW w:w="9260" w:type="dxa"/>
            <w:vAlign w:val="bottom"/>
            <w:tcBorders>
              <w:top w:val="single" w:sz="8" w:color="0000FF"/>
            </w:tcBorders>
            <w:gridSpan w:val="7"/>
          </w:tcPr>
          <w:p>
            <w:pPr>
              <w:spacing w:after="0" w:line="117" w:lineRule="exact"/>
              <w:rPr>
                <w:rFonts w:ascii="Arial" w:cs="Arial" w:eastAsia="Arial" w:hAnsi="Arial"/>
                <w:sz w:val="13"/>
                <w:szCs w:val="13"/>
                <w:color w:val="0000FF"/>
              </w:rPr>
            </w:pPr>
            <w:hyperlink w:anchor="page286">
              <w:r>
                <w:rPr>
                  <w:rFonts w:ascii="Arial" w:cs="Arial" w:eastAsia="Arial" w:hAnsi="Arial"/>
                  <w:sz w:val="13"/>
                  <w:szCs w:val="13"/>
                  <w:color w:val="0000FF"/>
                </w:rPr>
                <w:t>Oxley Act of 2002.</w:t>
              </w:r>
            </w:hyperlink>
          </w:p>
        </w:tc>
        <w:tc>
          <w:tcPr>
            <w:tcW w:w="20" w:type="dxa"/>
            <w:vAlign w:val="bottom"/>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2"/>
        </w:trPr>
        <w:tc>
          <w:tcPr>
            <w:tcW w:w="1300" w:type="dxa"/>
            <w:vAlign w:val="bottom"/>
          </w:tcPr>
          <w:p>
            <w:pPr>
              <w:jc w:val="center"/>
              <w:ind w:right="710"/>
              <w:spacing w:after="0"/>
              <w:rPr>
                <w:sz w:val="20"/>
                <w:szCs w:val="20"/>
                <w:color w:val="auto"/>
              </w:rPr>
            </w:pPr>
            <w:r>
              <w:rPr>
                <w:rFonts w:ascii="Arial" w:cs="Arial" w:eastAsia="Arial" w:hAnsi="Arial"/>
                <w:sz w:val="14"/>
                <w:szCs w:val="14"/>
                <w:color w:val="auto"/>
              </w:rPr>
              <w:t>32.1**</w:t>
            </w:r>
          </w:p>
        </w:tc>
        <w:tc>
          <w:tcPr>
            <w:tcW w:w="9280" w:type="dxa"/>
            <w:vAlign w:val="bottom"/>
            <w:gridSpan w:val="8"/>
          </w:tcPr>
          <w:p>
            <w:pPr>
              <w:spacing w:after="0"/>
              <w:rPr>
                <w:rFonts w:ascii="Arial" w:cs="Arial" w:eastAsia="Arial" w:hAnsi="Arial"/>
                <w:sz w:val="14"/>
                <w:szCs w:val="14"/>
                <w:color w:val="0000FF"/>
                <w:w w:val="92"/>
              </w:rPr>
            </w:pPr>
            <w:hyperlink w:anchor="page287">
              <w:r>
                <w:rPr>
                  <w:rFonts w:ascii="Arial" w:cs="Arial" w:eastAsia="Arial" w:hAnsi="Arial"/>
                  <w:sz w:val="14"/>
                  <w:szCs w:val="14"/>
                  <w:color w:val="0000FF"/>
                  <w:w w:val="92"/>
                </w:rPr>
                <w:t>Certification of Chief Executive Officer and Chief Financial Officer Pursuant to 18 U.S.C. Section 1350, as Adopted Pursuant to Section 906 of the Sarbanes-Oxley</w:t>
              </w:r>
            </w:hyperlink>
          </w:p>
        </w:tc>
      </w:tr>
      <w:tr>
        <w:trPr>
          <w:trHeight w:val="117"/>
        </w:trPr>
        <w:tc>
          <w:tcPr>
            <w:tcW w:w="1300" w:type="dxa"/>
            <w:vAlign w:val="bottom"/>
          </w:tcPr>
          <w:p>
            <w:pPr>
              <w:spacing w:after="0"/>
              <w:rPr>
                <w:sz w:val="10"/>
                <w:szCs w:val="10"/>
                <w:color w:val="auto"/>
              </w:rPr>
            </w:pPr>
          </w:p>
        </w:tc>
        <w:tc>
          <w:tcPr>
            <w:tcW w:w="9220" w:type="dxa"/>
            <w:vAlign w:val="bottom"/>
            <w:tcBorders>
              <w:top w:val="single" w:sz="8" w:color="0000FF"/>
            </w:tcBorders>
            <w:gridSpan w:val="5"/>
          </w:tcPr>
          <w:p>
            <w:pPr>
              <w:spacing w:after="0" w:line="117" w:lineRule="exact"/>
              <w:rPr>
                <w:rFonts w:ascii="Arial" w:cs="Arial" w:eastAsia="Arial" w:hAnsi="Arial"/>
                <w:sz w:val="13"/>
                <w:szCs w:val="13"/>
                <w:color w:val="0000FF"/>
              </w:rPr>
            </w:pPr>
            <w:hyperlink w:anchor="page287">
              <w:r>
                <w:rPr>
                  <w:rFonts w:ascii="Arial" w:cs="Arial" w:eastAsia="Arial" w:hAnsi="Arial"/>
                  <w:sz w:val="13"/>
                  <w:szCs w:val="13"/>
                  <w:color w:val="0000FF"/>
                </w:rPr>
                <w:t>Act of 2002.</w:t>
              </w:r>
            </w:hyperlink>
          </w:p>
        </w:tc>
        <w:tc>
          <w:tcPr>
            <w:tcW w:w="60" w:type="dxa"/>
            <w:vAlign w:val="bottom"/>
            <w:gridSpan w:val="3"/>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580" w:type="dxa"/>
            <w:vAlign w:val="bottom"/>
            <w:gridSpan w:val="7"/>
          </w:tcPr>
          <w:p>
            <w:pPr>
              <w:spacing w:after="0" w:line="20" w:lineRule="exact"/>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Arial" w:cs="Arial" w:eastAsia="Arial" w:hAnsi="Arial"/>
                <w:sz w:val="14"/>
                <w:szCs w:val="14"/>
                <w:color w:val="auto"/>
              </w:rPr>
              <w:t>101.INS</w:t>
            </w:r>
          </w:p>
        </w:tc>
        <w:tc>
          <w:tcPr>
            <w:tcW w:w="9280" w:type="dxa"/>
            <w:vAlign w:val="bottom"/>
            <w:gridSpan w:val="8"/>
          </w:tcPr>
          <w:p>
            <w:pPr>
              <w:spacing w:after="0" w:line="149" w:lineRule="exact"/>
              <w:rPr>
                <w:sz w:val="20"/>
                <w:szCs w:val="20"/>
                <w:color w:val="auto"/>
              </w:rPr>
            </w:pPr>
            <w:r>
              <w:rPr>
                <w:rFonts w:ascii="Arial" w:cs="Arial" w:eastAsia="Arial" w:hAnsi="Arial"/>
                <w:sz w:val="14"/>
                <w:szCs w:val="14"/>
                <w:color w:val="auto"/>
                <w:w w:val="98"/>
              </w:rPr>
              <w:t>INLINE XBRL INSTANCE DOCUMENT - THE INSTANCE DOCUMENT DOES NOT APPEAR IN THE INTERACTIVE DATA FILE BECAUSE ITS XBRL</w:t>
            </w:r>
          </w:p>
        </w:tc>
      </w:tr>
      <w:tr>
        <w:trPr>
          <w:trHeight w:val="179"/>
        </w:trPr>
        <w:tc>
          <w:tcPr>
            <w:tcW w:w="1300" w:type="dxa"/>
            <w:vAlign w:val="bottom"/>
          </w:tcPr>
          <w:p>
            <w:pPr>
              <w:spacing w:after="0"/>
              <w:rPr>
                <w:sz w:val="15"/>
                <w:szCs w:val="15"/>
                <w:color w:val="auto"/>
              </w:rPr>
            </w:pPr>
          </w:p>
        </w:tc>
        <w:tc>
          <w:tcPr>
            <w:tcW w:w="9280" w:type="dxa"/>
            <w:vAlign w:val="bottom"/>
            <w:gridSpan w:val="8"/>
          </w:tcPr>
          <w:p>
            <w:pPr>
              <w:spacing w:after="0"/>
              <w:rPr>
                <w:sz w:val="20"/>
                <w:szCs w:val="20"/>
                <w:color w:val="auto"/>
              </w:rPr>
            </w:pPr>
            <w:r>
              <w:rPr>
                <w:rFonts w:ascii="Arial" w:cs="Arial" w:eastAsia="Arial" w:hAnsi="Arial"/>
                <w:sz w:val="14"/>
                <w:szCs w:val="14"/>
                <w:color w:val="auto"/>
              </w:rPr>
              <w:t>TAGS ARE EMBEDDED WITHIN THE INLINE XBRL DOCUMENT.</w:t>
            </w:r>
          </w:p>
        </w:tc>
      </w:tr>
      <w:tr>
        <w:trPr>
          <w:trHeight w:val="179"/>
        </w:trPr>
        <w:tc>
          <w:tcPr>
            <w:tcW w:w="1300" w:type="dxa"/>
            <w:vAlign w:val="bottom"/>
          </w:tcPr>
          <w:p>
            <w:pPr>
              <w:spacing w:after="0"/>
              <w:rPr>
                <w:sz w:val="20"/>
                <w:szCs w:val="20"/>
                <w:color w:val="auto"/>
              </w:rPr>
            </w:pPr>
            <w:r>
              <w:rPr>
                <w:rFonts w:ascii="Arial" w:cs="Arial" w:eastAsia="Arial" w:hAnsi="Arial"/>
                <w:sz w:val="14"/>
                <w:szCs w:val="14"/>
                <w:color w:val="auto"/>
              </w:rPr>
              <w:t>101.SCH</w:t>
            </w:r>
          </w:p>
        </w:tc>
        <w:tc>
          <w:tcPr>
            <w:tcW w:w="928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79"/>
        </w:trPr>
        <w:tc>
          <w:tcPr>
            <w:tcW w:w="1300" w:type="dxa"/>
            <w:vAlign w:val="bottom"/>
          </w:tcPr>
          <w:p>
            <w:pPr>
              <w:spacing w:after="0"/>
              <w:rPr>
                <w:sz w:val="20"/>
                <w:szCs w:val="20"/>
                <w:color w:val="auto"/>
              </w:rPr>
            </w:pPr>
            <w:r>
              <w:rPr>
                <w:rFonts w:ascii="Arial" w:cs="Arial" w:eastAsia="Arial" w:hAnsi="Arial"/>
                <w:sz w:val="14"/>
                <w:szCs w:val="14"/>
                <w:color w:val="auto"/>
              </w:rPr>
              <w:t>101.CAL</w:t>
            </w:r>
          </w:p>
        </w:tc>
        <w:tc>
          <w:tcPr>
            <w:tcW w:w="9280" w:type="dxa"/>
            <w:vAlign w:val="bottom"/>
            <w:gridSpan w:val="8"/>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79"/>
        </w:trPr>
        <w:tc>
          <w:tcPr>
            <w:tcW w:w="1300" w:type="dxa"/>
            <w:vAlign w:val="bottom"/>
          </w:tcPr>
          <w:p>
            <w:pPr>
              <w:spacing w:after="0"/>
              <w:rPr>
                <w:sz w:val="20"/>
                <w:szCs w:val="20"/>
                <w:color w:val="auto"/>
              </w:rPr>
            </w:pPr>
            <w:r>
              <w:rPr>
                <w:rFonts w:ascii="Arial" w:cs="Arial" w:eastAsia="Arial" w:hAnsi="Arial"/>
                <w:sz w:val="14"/>
                <w:szCs w:val="14"/>
                <w:color w:val="auto"/>
              </w:rPr>
              <w:t>101.DEF</w:t>
            </w:r>
          </w:p>
        </w:tc>
        <w:tc>
          <w:tcPr>
            <w:tcW w:w="9280" w:type="dxa"/>
            <w:vAlign w:val="bottom"/>
            <w:gridSpan w:val="8"/>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79"/>
        </w:trPr>
        <w:tc>
          <w:tcPr>
            <w:tcW w:w="1300" w:type="dxa"/>
            <w:vAlign w:val="bottom"/>
          </w:tcPr>
          <w:p>
            <w:pPr>
              <w:spacing w:after="0"/>
              <w:rPr>
                <w:sz w:val="20"/>
                <w:szCs w:val="20"/>
                <w:color w:val="auto"/>
              </w:rPr>
            </w:pPr>
            <w:r>
              <w:rPr>
                <w:rFonts w:ascii="Arial" w:cs="Arial" w:eastAsia="Arial" w:hAnsi="Arial"/>
                <w:sz w:val="14"/>
                <w:szCs w:val="14"/>
                <w:color w:val="auto"/>
              </w:rPr>
              <w:t>101.LAB</w:t>
            </w:r>
          </w:p>
        </w:tc>
        <w:tc>
          <w:tcPr>
            <w:tcW w:w="9280" w:type="dxa"/>
            <w:vAlign w:val="bottom"/>
            <w:gridSpan w:val="8"/>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79"/>
        </w:trPr>
        <w:tc>
          <w:tcPr>
            <w:tcW w:w="1300" w:type="dxa"/>
            <w:vAlign w:val="bottom"/>
          </w:tcPr>
          <w:p>
            <w:pPr>
              <w:spacing w:after="0"/>
              <w:rPr>
                <w:sz w:val="20"/>
                <w:szCs w:val="20"/>
                <w:color w:val="auto"/>
              </w:rPr>
            </w:pPr>
            <w:r>
              <w:rPr>
                <w:rFonts w:ascii="Arial" w:cs="Arial" w:eastAsia="Arial" w:hAnsi="Arial"/>
                <w:sz w:val="14"/>
                <w:szCs w:val="14"/>
                <w:color w:val="auto"/>
              </w:rPr>
              <w:t>101.PRE</w:t>
            </w:r>
          </w:p>
        </w:tc>
        <w:tc>
          <w:tcPr>
            <w:tcW w:w="928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179"/>
        </w:trPr>
        <w:tc>
          <w:tcPr>
            <w:tcW w:w="1300" w:type="dxa"/>
            <w:vAlign w:val="bottom"/>
          </w:tcPr>
          <w:p>
            <w:pPr>
              <w:jc w:val="center"/>
              <w:ind w:right="710"/>
              <w:spacing w:after="0"/>
              <w:rPr>
                <w:sz w:val="20"/>
                <w:szCs w:val="20"/>
                <w:color w:val="auto"/>
              </w:rPr>
            </w:pPr>
            <w:r>
              <w:rPr>
                <w:rFonts w:ascii="Arial" w:cs="Arial" w:eastAsia="Arial" w:hAnsi="Arial"/>
                <w:sz w:val="14"/>
                <w:szCs w:val="14"/>
                <w:color w:val="auto"/>
                <w:w w:val="85"/>
              </w:rPr>
              <w:t>104</w:t>
            </w:r>
          </w:p>
        </w:tc>
        <w:tc>
          <w:tcPr>
            <w:tcW w:w="9280" w:type="dxa"/>
            <w:vAlign w:val="bottom"/>
            <w:gridSpan w:val="8"/>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95" w:lineRule="exact"/>
        <w:rPr>
          <w:sz w:val="20"/>
          <w:szCs w:val="20"/>
          <w:color w:val="auto"/>
        </w:rPr>
      </w:pPr>
    </w:p>
    <w:p>
      <w:pPr>
        <w:ind w:left="1280" w:hanging="1055"/>
        <w:spacing w:after="0"/>
        <w:tabs>
          <w:tab w:leader="none" w:pos="12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71" w:lineRule="exact"/>
        <w:rPr>
          <w:sz w:val="20"/>
          <w:szCs w:val="20"/>
          <w:color w:val="auto"/>
        </w:rPr>
      </w:pPr>
    </w:p>
    <w:p>
      <w:pPr>
        <w:ind w:left="1280" w:right="20" w:hanging="1055"/>
        <w:spacing w:after="0" w:line="235" w:lineRule="auto"/>
        <w:tabs>
          <w:tab w:leader="none" w:pos="12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Confidential treatment has been granted for portions of this exhibit. These portions have been omitted from the Registration Statement and submitted separately to the Securities and Exchange Commission.</w:t>
      </w:r>
    </w:p>
    <w:p>
      <w:pPr>
        <w:spacing w:after="0" w:line="54" w:lineRule="exact"/>
        <w:rPr>
          <w:sz w:val="20"/>
          <w:szCs w:val="20"/>
          <w:color w:val="auto"/>
        </w:rPr>
      </w:pPr>
    </w:p>
    <w:p>
      <w:pPr>
        <w:ind w:left="1280" w:right="20" w:hanging="1090"/>
        <w:spacing w:after="0" w:line="235" w:lineRule="auto"/>
        <w:tabs>
          <w:tab w:leader="none" w:pos="1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Confidential treatment has been requested for portions of this exhibit. These portions have been omitted from the Registration Statement and submitted separately to the Securities and Exchange Commission.</w:t>
      </w:r>
    </w:p>
    <w:p>
      <w:pPr>
        <w:spacing w:after="0" w:line="1" w:lineRule="exact"/>
        <w:rPr>
          <w:sz w:val="20"/>
          <w:szCs w:val="20"/>
          <w:color w:val="auto"/>
        </w:rPr>
      </w:pPr>
    </w:p>
    <w:p>
      <w:pPr>
        <w:jc w:val="both"/>
        <w:ind w:left="1280" w:hanging="1055"/>
        <w:spacing w:after="0" w:line="225" w:lineRule="auto"/>
        <w:tabs>
          <w:tab w:leader="none" w:pos="12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A copy of any omitted schedule will be furnished supplementally to the U.S. Securities and Exchange Commission upon request, provided, however, that the parties may request confidential treatment pursuant to Rule 24b-2 of the Securities Exchange Act of 1934, as amended for any document so furnished.</w:t>
      </w:r>
    </w:p>
    <w:p>
      <w:pPr>
        <w:ind w:left="1280" w:hanging="1090"/>
        <w:spacing w:after="0"/>
        <w:tabs>
          <w:tab w:leader="none" w:pos="12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52705</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540"/>
          </w:cols>
          <w:pgMar w:left="940" w:top="1172" w:right="4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Registrants may voluntarily include a summary of information required by Form 10-K under this Item 16. The Company has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1253" w:right="1440" w:bottom="1440" w:gutter="0" w:footer="0" w:header="0"/>
        </w:sectPr>
      </w:pPr>
    </w:p>
    <w:bookmarkStart w:id="87" w:name="page88"/>
    <w:bookmarkEnd w:id="87"/>
    <w:p>
      <w:pPr>
        <w:jc w:val="center"/>
        <w:ind w:right="-139"/>
        <w:spacing w:after="0"/>
        <w:rPr>
          <w:sz w:val="20"/>
          <w:szCs w:val="20"/>
          <w:color w:val="auto"/>
        </w:rPr>
      </w:pPr>
      <w:r>
        <w:rPr>
          <w:rFonts w:ascii="Arial" w:cs="Arial" w:eastAsia="Arial" w:hAnsi="Arial"/>
          <w:sz w:val="14"/>
          <w:szCs w:val="14"/>
          <w:b w:val="1"/>
          <w:bCs w:val="1"/>
          <w:color w:val="auto"/>
        </w:rPr>
        <w:t>SIGNATURES</w:t>
      </w:r>
    </w:p>
    <w:p>
      <w:pPr>
        <w:spacing w:after="0" w:line="117" w:lineRule="exact"/>
        <w:rPr>
          <w:sz w:val="20"/>
          <w:szCs w:val="20"/>
          <w:color w:val="auto"/>
        </w:rPr>
      </w:pPr>
    </w:p>
    <w:p>
      <w:pPr>
        <w:ind w:right="240"/>
        <w:spacing w:after="0" w:line="27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March 11, 2022.</w:t>
      </w:r>
    </w:p>
    <w:p>
      <w:pPr>
        <w:ind w:left="6380"/>
        <w:spacing w:after="0"/>
        <w:rPr>
          <w:sz w:val="20"/>
          <w:szCs w:val="20"/>
          <w:color w:val="auto"/>
        </w:rPr>
      </w:pPr>
      <w:r>
        <w:rPr>
          <w:rFonts w:ascii="Arial" w:cs="Arial" w:eastAsia="Arial" w:hAnsi="Arial"/>
          <w:sz w:val="14"/>
          <w:szCs w:val="14"/>
          <w:b w:val="1"/>
          <w:bCs w:val="1"/>
          <w:color w:val="auto"/>
        </w:rPr>
        <w:t>Cumberland Pharmaceuticals, Inc.</w:t>
      </w:r>
    </w:p>
    <w:p>
      <w:pPr>
        <w:spacing w:after="0" w:line="201" w:lineRule="exact"/>
        <w:rPr>
          <w:sz w:val="20"/>
          <w:szCs w:val="20"/>
          <w:color w:val="auto"/>
        </w:rPr>
      </w:pPr>
    </w:p>
    <w:p>
      <w:pPr>
        <w:ind w:left="6380"/>
        <w:spacing w:after="0"/>
        <w:rPr>
          <w:sz w:val="20"/>
          <w:szCs w:val="20"/>
          <w:color w:val="auto"/>
        </w:rPr>
      </w:pPr>
      <w:r>
        <w:rPr>
          <w:rFonts w:ascii="Arial" w:cs="Arial" w:eastAsia="Arial" w:hAnsi="Arial"/>
          <w:sz w:val="14"/>
          <w:szCs w:val="14"/>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11430</wp:posOffset>
            </wp:positionV>
            <wp:extent cx="305879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By: A. J. Kazimi</w:t>
      </w:r>
    </w:p>
    <w:p>
      <w:pPr>
        <w:spacing w:after="0" w:line="18" w:lineRule="exact"/>
        <w:rPr>
          <w:sz w:val="20"/>
          <w:szCs w:val="20"/>
          <w:color w:val="auto"/>
        </w:rPr>
      </w:pPr>
    </w:p>
    <w:p>
      <w:pPr>
        <w:ind w:left="6380"/>
        <w:spacing w:after="0"/>
        <w:rPr>
          <w:sz w:val="20"/>
          <w:szCs w:val="20"/>
          <w:color w:val="auto"/>
        </w:rPr>
      </w:pPr>
      <w:r>
        <w:rPr>
          <w:rFonts w:ascii="Arial" w:cs="Arial" w:eastAsia="Arial" w:hAnsi="Arial"/>
          <w:sz w:val="14"/>
          <w:szCs w:val="14"/>
          <w:color w:val="auto"/>
        </w:rPr>
        <w:t>Chief Executive Officer</w:t>
      </w:r>
    </w:p>
    <w:p>
      <w:pPr>
        <w:spacing w:after="0" w:line="18" w:lineRule="exact"/>
        <w:rPr>
          <w:sz w:val="20"/>
          <w:szCs w:val="20"/>
          <w:color w:val="auto"/>
        </w:rPr>
      </w:pPr>
    </w:p>
    <w:p>
      <w:pPr>
        <w:ind w:left="6380"/>
        <w:spacing w:after="0"/>
        <w:rPr>
          <w:sz w:val="20"/>
          <w:szCs w:val="20"/>
          <w:color w:val="auto"/>
        </w:rPr>
      </w:pPr>
      <w:r>
        <w:rPr>
          <w:rFonts w:ascii="Arial" w:cs="Arial" w:eastAsia="Arial" w:hAnsi="Arial"/>
          <w:sz w:val="14"/>
          <w:szCs w:val="14"/>
          <w:i w:val="1"/>
          <w:iCs w:val="1"/>
          <w:color w:val="auto"/>
        </w:rPr>
        <w:t>(Principal Executive Officer)</w:t>
      </w:r>
    </w:p>
    <w:p>
      <w:pPr>
        <w:spacing w:after="0" w:line="197"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Signature</w:t>
            </w:r>
          </w:p>
        </w:tc>
        <w:tc>
          <w:tcPr>
            <w:tcW w:w="120" w:type="dxa"/>
            <w:vAlign w:val="bottom"/>
          </w:tcPr>
          <w:p>
            <w:pPr>
              <w:spacing w:after="0"/>
              <w:rPr>
                <w:sz w:val="14"/>
                <w:szCs w:val="14"/>
                <w:color w:val="auto"/>
              </w:rPr>
            </w:pPr>
          </w:p>
        </w:tc>
        <w:tc>
          <w:tcPr>
            <w:tcW w:w="3720" w:type="dxa"/>
            <w:vAlign w:val="bottom"/>
            <w:tcBorders>
              <w:bottom w:val="single" w:sz="8" w:color="auto"/>
            </w:tcBorders>
          </w:tcPr>
          <w:p>
            <w:pPr>
              <w:ind w:left="1740"/>
              <w:spacing w:after="0"/>
              <w:rPr>
                <w:sz w:val="20"/>
                <w:szCs w:val="20"/>
                <w:color w:val="auto"/>
              </w:rPr>
            </w:pPr>
            <w:r>
              <w:rPr>
                <w:rFonts w:ascii="Arial" w:cs="Arial" w:eastAsia="Arial" w:hAnsi="Arial"/>
                <w:sz w:val="13"/>
                <w:szCs w:val="13"/>
                <w:b w:val="1"/>
                <w:bCs w:val="1"/>
                <w:color w:val="auto"/>
              </w:rPr>
              <w:t>Title</w:t>
            </w:r>
          </w:p>
        </w:tc>
        <w:tc>
          <w:tcPr>
            <w:tcW w:w="12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r>
      <w:tr>
        <w:trPr>
          <w:trHeight w:val="288"/>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A. J. Kazimi</w:t>
            </w:r>
          </w:p>
        </w:tc>
        <w:tc>
          <w:tcPr>
            <w:tcW w:w="12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Chairman and CEO</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A. J. Kazimi</w:t>
            </w:r>
          </w:p>
        </w:tc>
        <w:tc>
          <w:tcPr>
            <w:tcW w:w="120" w:type="dxa"/>
            <w:vAlign w:val="bottom"/>
          </w:tcPr>
          <w:p>
            <w:pPr>
              <w:spacing w:after="0"/>
              <w:rPr>
                <w:sz w:val="14"/>
                <w:szCs w:val="14"/>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i w:val="1"/>
                <w:iCs w:val="1"/>
                <w:color w:val="auto"/>
              </w:rPr>
              <w:t>(Principal Executive Officer and Director)</w:t>
            </w:r>
          </w:p>
        </w:tc>
        <w:tc>
          <w:tcPr>
            <w:tcW w:w="2400" w:type="dxa"/>
            <w:vAlign w:val="bottom"/>
          </w:tcPr>
          <w:p>
            <w:pPr>
              <w:spacing w:after="0"/>
              <w:rPr>
                <w:sz w:val="14"/>
                <w:szCs w:val="14"/>
                <w:color w:val="auto"/>
              </w:rPr>
            </w:pPr>
          </w:p>
        </w:tc>
      </w:tr>
      <w:tr>
        <w:trPr>
          <w:trHeight w:val="232"/>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John M. Hamm</w:t>
            </w:r>
          </w:p>
        </w:tc>
        <w:tc>
          <w:tcPr>
            <w:tcW w:w="1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Senior Director and CFO</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28"/>
        </w:trPr>
        <w:tc>
          <w:tcPr>
            <w:tcW w:w="4780" w:type="dxa"/>
            <w:vAlign w:val="bottom"/>
          </w:tcPr>
          <w:p>
            <w:pPr>
              <w:ind w:left="20"/>
              <w:spacing w:after="0" w:line="128" w:lineRule="exact"/>
              <w:rPr>
                <w:sz w:val="20"/>
                <w:szCs w:val="20"/>
                <w:color w:val="auto"/>
              </w:rPr>
            </w:pPr>
            <w:r>
              <w:rPr>
                <w:rFonts w:ascii="Arial" w:cs="Arial" w:eastAsia="Arial" w:hAnsi="Arial"/>
                <w:sz w:val="14"/>
                <w:szCs w:val="14"/>
                <w:color w:val="auto"/>
              </w:rPr>
              <w:t>John M. Hamm</w:t>
            </w:r>
          </w:p>
        </w:tc>
        <w:tc>
          <w:tcPr>
            <w:tcW w:w="120" w:type="dxa"/>
            <w:vAlign w:val="bottom"/>
          </w:tcPr>
          <w:p>
            <w:pPr>
              <w:spacing w:after="0"/>
              <w:rPr>
                <w:sz w:val="11"/>
                <w:szCs w:val="11"/>
                <w:color w:val="auto"/>
              </w:rPr>
            </w:pPr>
          </w:p>
        </w:tc>
        <w:tc>
          <w:tcPr>
            <w:tcW w:w="3840" w:type="dxa"/>
            <w:vAlign w:val="bottom"/>
            <w:gridSpan w:val="2"/>
          </w:tcPr>
          <w:p>
            <w:pPr>
              <w:ind w:left="20"/>
              <w:spacing w:after="0" w:line="128" w:lineRule="exact"/>
              <w:rPr>
                <w:sz w:val="20"/>
                <w:szCs w:val="20"/>
                <w:color w:val="auto"/>
              </w:rPr>
            </w:pPr>
            <w:r>
              <w:rPr>
                <w:rFonts w:ascii="Arial" w:cs="Arial" w:eastAsia="Arial" w:hAnsi="Arial"/>
                <w:sz w:val="14"/>
                <w:szCs w:val="14"/>
                <w:i w:val="1"/>
                <w:iCs w:val="1"/>
                <w:color w:val="auto"/>
              </w:rPr>
              <w:t>(Principal Financial and</w:t>
            </w:r>
          </w:p>
        </w:tc>
        <w:tc>
          <w:tcPr>
            <w:tcW w:w="2400" w:type="dxa"/>
            <w:vAlign w:val="bottom"/>
          </w:tcPr>
          <w:p>
            <w:pPr>
              <w:spacing w:after="0"/>
              <w:rPr>
                <w:sz w:val="11"/>
                <w:szCs w:val="11"/>
                <w:color w:val="auto"/>
              </w:rPr>
            </w:pPr>
          </w:p>
        </w:tc>
      </w:tr>
      <w:tr>
        <w:trPr>
          <w:trHeight w:val="179"/>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i w:val="1"/>
                <w:iCs w:val="1"/>
                <w:color w:val="auto"/>
              </w:rPr>
              <w:t>Accounting Officer</w:t>
            </w:r>
          </w:p>
        </w:tc>
        <w:tc>
          <w:tcPr>
            <w:tcW w:w="2400" w:type="dxa"/>
            <w:vAlign w:val="bottom"/>
          </w:tcPr>
          <w:p>
            <w:pPr>
              <w:spacing w:after="0"/>
              <w:rPr>
                <w:sz w:val="15"/>
                <w:szCs w:val="15"/>
                <w:color w:val="auto"/>
              </w:rPr>
            </w:pPr>
          </w:p>
        </w:tc>
      </w:tr>
      <w:tr>
        <w:trPr>
          <w:trHeight w:val="221"/>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Martin E. Cearnal</w:t>
            </w:r>
          </w:p>
        </w:tc>
        <w:tc>
          <w:tcPr>
            <w:tcW w:w="12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Martin E. Cearnal</w:t>
            </w:r>
          </w:p>
        </w:tc>
        <w:tc>
          <w:tcPr>
            <w:tcW w:w="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232"/>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Gordon R. Bernard</w:t>
            </w:r>
          </w:p>
        </w:tc>
        <w:tc>
          <w:tcPr>
            <w:tcW w:w="1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Gordon R. Bernard</w:t>
            </w:r>
          </w:p>
        </w:tc>
        <w:tc>
          <w:tcPr>
            <w:tcW w:w="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232"/>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James R. Jones</w:t>
            </w:r>
          </w:p>
        </w:tc>
        <w:tc>
          <w:tcPr>
            <w:tcW w:w="1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James R. Jones</w:t>
            </w:r>
          </w:p>
        </w:tc>
        <w:tc>
          <w:tcPr>
            <w:tcW w:w="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232"/>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Joey A. Jacobs</w:t>
            </w:r>
          </w:p>
        </w:tc>
        <w:tc>
          <w:tcPr>
            <w:tcW w:w="1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Joey A. Jacobs</w:t>
            </w:r>
          </w:p>
        </w:tc>
        <w:tc>
          <w:tcPr>
            <w:tcW w:w="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26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Caroline R. Young</w:t>
            </w:r>
          </w:p>
        </w:tc>
        <w:tc>
          <w:tcPr>
            <w:tcW w:w="120" w:type="dxa"/>
            <w:vAlign w:val="bottom"/>
          </w:tcPr>
          <w:p>
            <w:pPr>
              <w:spacing w:after="0"/>
              <w:rPr>
                <w:sz w:val="22"/>
                <w:szCs w:val="22"/>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Caroline R. Young</w:t>
            </w:r>
          </w:p>
        </w:tc>
        <w:tc>
          <w:tcPr>
            <w:tcW w:w="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25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Kenneth J. Krogulski</w:t>
            </w:r>
          </w:p>
        </w:tc>
        <w:tc>
          <w:tcPr>
            <w:tcW w:w="12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Kenneth J. Krogulski</w:t>
            </w:r>
          </w:p>
        </w:tc>
        <w:tc>
          <w:tcPr>
            <w:tcW w:w="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25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Joseph C. Galante</w:t>
            </w:r>
          </w:p>
        </w:tc>
        <w:tc>
          <w:tcPr>
            <w:tcW w:w="12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400" w:type="dxa"/>
            <w:vAlign w:val="bottom"/>
          </w:tcPr>
          <w:p>
            <w:pPr>
              <w:jc w:val="center"/>
              <w:spacing w:after="0"/>
              <w:rPr>
                <w:sz w:val="20"/>
                <w:szCs w:val="20"/>
                <w:color w:val="auto"/>
              </w:rPr>
            </w:pPr>
            <w:r>
              <w:rPr>
                <w:rFonts w:ascii="Arial" w:cs="Arial" w:eastAsia="Arial" w:hAnsi="Arial"/>
                <w:sz w:val="14"/>
                <w:szCs w:val="14"/>
                <w:color w:val="auto"/>
                <w:w w:val="90"/>
              </w:rPr>
              <w:t>March 11, 2022</w:t>
            </w: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color w:val="auto"/>
              </w:rPr>
              <w:t>Joseph C. Galante</w:t>
            </w:r>
          </w:p>
        </w:tc>
        <w:tc>
          <w:tcPr>
            <w:tcW w:w="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40"/>
          </w:cols>
          <w:pgMar w:left="300" w:top="1253" w:right="45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8" w:lineRule="exact"/>
        <w:rPr>
          <w:sz w:val="20"/>
          <w:szCs w:val="20"/>
          <w:color w:val="auto"/>
        </w:rPr>
      </w:pPr>
    </w:p>
    <w:p>
      <w:pPr>
        <w:jc w:val="both"/>
        <w:ind w:firstLine="506"/>
        <w:spacing w:after="0" w:line="260" w:lineRule="auto"/>
        <w:rPr>
          <w:sz w:val="20"/>
          <w:szCs w:val="20"/>
          <w:color w:val="auto"/>
        </w:rPr>
      </w:pPr>
      <w:r>
        <w:rPr>
          <w:rFonts w:ascii="Arial" w:cs="Arial" w:eastAsia="Arial" w:hAnsi="Arial"/>
          <w:sz w:val="14"/>
          <w:szCs w:val="14"/>
          <w:color w:val="auto"/>
        </w:rPr>
        <w:t>The management of Cumberland Pharmaceuticals Inc. and its subsidiaries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The Company’s management assessed the effectiveness of the Company’s internal control over financial reporting as of December 31, 2021. In making this assessment, it used the criteria set forth by the Committee of Sponsoring Organizations of the Treadway Commission (COSO)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Based on its assessment, management has concluded that, as of December 31, 2021, the Company’s internal control over financial reporting was effective based on those criteria.</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0524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3052445" cy="69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J. Kazimi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March 11, 2022</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 John M.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05244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3052445" cy="69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M. Hamm</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Board of Directors and Audit Committee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Cumberland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audited the accompanying consolidated balance sheets of Cumberland Pharmaceuticals Inc. (Company) as of December 31, 2021 and 2020, and the related consolidated statements of operations, equity, and cash flows for each of the years in the two-year period ended December 31, 2021, and the related notes and schedule listed in the accompanying index (collectively referred to as the “financial statements”). In our opinion, the consolidated financial statements referred to above present fairly, in all material respects, the financial position of the Company as of December 31, 2021 and 2020, and the results of its operations and its cash flows for each of the years in the two-year period ended December 31, 2021</w:t>
      </w:r>
      <w:r>
        <w:rPr>
          <w:rFonts w:ascii="Arial" w:cs="Arial" w:eastAsia="Arial" w:hAnsi="Arial"/>
          <w:sz w:val="14"/>
          <w:szCs w:val="14"/>
          <w:b w:val="1"/>
          <w:bCs w:val="1"/>
          <w:color w:val="auto"/>
        </w:rPr>
        <w:t>,</w:t>
      </w:r>
      <w:r>
        <w:rPr>
          <w:rFonts w:ascii="Arial" w:cs="Arial" w:eastAsia="Arial" w:hAnsi="Arial"/>
          <w:sz w:val="14"/>
          <w:szCs w:val="14"/>
          <w:color w:val="auto"/>
        </w:rPr>
        <w:t xml:space="preserve">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3"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critical audit matter communicated below is a matter arising from the current-period audit of the financial statements that was communicated or required to be communicated to the audit</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0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auto"/>
        </w:rPr>
        <w:t>Customer Allowances for Chargebacks, Discounts and Damaged Goods, and Accruals for Rebates, Coupons, Product Returns, and Certain Fees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As described in Note 2 to the financial statements, revenues from product sales are recorded net of estimated allowances for chargebacks, discounts and damaged goods and reflects sales-related</w:t>
      </w:r>
    </w:p>
    <w:p>
      <w:pPr>
        <w:spacing w:after="0" w:line="51" w:lineRule="exact"/>
        <w:rPr>
          <w:sz w:val="20"/>
          <w:szCs w:val="20"/>
          <w:color w:val="auto"/>
        </w:rPr>
      </w:pPr>
    </w:p>
    <w:p>
      <w:pPr>
        <w:jc w:val="both"/>
        <w:spacing w:after="0" w:line="320" w:lineRule="auto"/>
        <w:rPr>
          <w:sz w:val="20"/>
          <w:szCs w:val="20"/>
          <w:color w:val="auto"/>
        </w:rPr>
      </w:pPr>
      <w:r>
        <w:rPr>
          <w:rFonts w:ascii="Arial" w:cs="Arial" w:eastAsia="Arial" w:hAnsi="Arial"/>
          <w:sz w:val="12"/>
          <w:szCs w:val="12"/>
          <w:color w:val="auto"/>
        </w:rPr>
        <w:t>accruals for rebates, coupons, product returns, and certain fees. These allowances and accruals are determined on a product-by-product basis, and are established by management as the Company’s best estimate at the time of sale based on each product’s historical experience adjusted to reflect known changes in the factors that impact such allowances. Management reviews these allowances on an</w:t>
      </w:r>
    </w:p>
    <w:p>
      <w:pPr>
        <w:spacing w:after="0" w:line="1"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ongoing basis and adjusts them based on the most recent information available, including actual results since the end of the reporting period. As of December 31, 2021, allowances in accounts receivable for chargebacks, cash discounts, and damaged goods were $0.3 million and the estimated liability for rebates, coupons, product returns, and certain fees were $3.7 million. These provisions are recognized concurrently with the sales of products. Provisions for chargebacks involve estimates of usage by retailers and other indirect buyers with varying contract prices for multiple wholesalers. The provision for chargebacks varies in relation to changes in sales volume, product mix, pricing, and the level of inventory at the wholesalers. Provisions are calculated using historical chargeback experience, and/or expected chargeback levels for new products and anticipated pricing changes. Provisions for rebates are recognized based on contractual obligations in place at the time of sales with consideration given to relevant factors that may affect the payment as well as historical experience for estimated market activity. Provisions for product returns are calculated based on the expiration dates of products sold, the window where customers are permitted to return products and the history of returns for individual products in relation to the sales volume for each product.</w:t>
      </w:r>
    </w:p>
    <w:p>
      <w:pPr>
        <w:spacing w:after="0" w:line="59" w:lineRule="exact"/>
        <w:rPr>
          <w:sz w:val="20"/>
          <w:szCs w:val="20"/>
          <w:color w:val="auto"/>
        </w:rPr>
      </w:pPr>
    </w:p>
    <w:p>
      <w:pPr>
        <w:jc w:val="both"/>
        <w:spacing w:after="0" w:line="320" w:lineRule="auto"/>
        <w:rPr>
          <w:sz w:val="20"/>
          <w:szCs w:val="20"/>
          <w:color w:val="auto"/>
        </w:rPr>
      </w:pPr>
      <w:r>
        <w:rPr>
          <w:rFonts w:ascii="Arial" w:cs="Arial" w:eastAsia="Arial" w:hAnsi="Arial"/>
          <w:sz w:val="12"/>
          <w:szCs w:val="12"/>
          <w:color w:val="auto"/>
        </w:rPr>
        <w:t>The principal consideration for our determination that performing procedures relating to these allowances and accruals is a critical audit matter was the significant judgment by management to estimate the reserves due to the significant measurement uncertainty involved in developing the reserves. Management tracks the various types of allowances on several different schedules, each of which</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relates to different contracts agreed to with various customers or the interplay with government payors. Management exercises judgment in computing the amount of sales subject to the allowances and</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tracks the amount of allowances taken over time. All of this in turn led to a high degree of auditor judgment, subjectivity, and effort in performing procedures and evaluating management’s significant assumptions.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We identified the estimated sales allowances and accruals as a critical audit matter.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included:</w:t>
      </w:r>
    </w:p>
    <w:p>
      <w:pPr>
        <w:spacing w:after="0" w:line="124" w:lineRule="exact"/>
        <w:rPr>
          <w:sz w:val="20"/>
          <w:szCs w:val="20"/>
          <w:color w:val="auto"/>
        </w:rPr>
      </w:pPr>
    </w:p>
    <w:p>
      <w:pPr>
        <w:ind w:left="500" w:hanging="243"/>
        <w:spacing w:after="0"/>
        <w:tabs>
          <w:tab w:leader="none" w:pos="500" w:val="left"/>
        </w:tabs>
        <w:numPr>
          <w:ilvl w:val="0"/>
          <w:numId w:val="43"/>
        </w:numPr>
        <w:rPr>
          <w:rFonts w:ascii="Arial" w:cs="Arial" w:eastAsia="Arial" w:hAnsi="Arial"/>
          <w:sz w:val="15"/>
          <w:szCs w:val="15"/>
          <w:color w:val="auto"/>
        </w:rPr>
      </w:pPr>
      <w:r>
        <w:rPr>
          <w:rFonts w:ascii="Arial" w:cs="Arial" w:eastAsia="Arial" w:hAnsi="Arial"/>
          <w:sz w:val="14"/>
          <w:szCs w:val="14"/>
          <w:color w:val="auto"/>
        </w:rPr>
        <w:t>Testing of management’s process for calculating the allowances, including a look back analysis of prior year reserves compared to actual experience in the current year.</w:t>
      </w:r>
    </w:p>
    <w:p>
      <w:pPr>
        <w:spacing w:after="0" w:line="122" w:lineRule="exact"/>
        <w:rPr>
          <w:rFonts w:ascii="Arial" w:cs="Arial" w:eastAsia="Arial" w:hAnsi="Arial"/>
          <w:sz w:val="15"/>
          <w:szCs w:val="15"/>
          <w:color w:val="auto"/>
        </w:rPr>
      </w:pPr>
    </w:p>
    <w:p>
      <w:pPr>
        <w:ind w:left="520" w:hanging="263"/>
        <w:spacing w:after="0" w:line="300" w:lineRule="auto"/>
        <w:tabs>
          <w:tab w:leader="none" w:pos="511" w:val="left"/>
        </w:tabs>
        <w:numPr>
          <w:ilvl w:val="0"/>
          <w:numId w:val="43"/>
        </w:numPr>
        <w:rPr>
          <w:rFonts w:ascii="Arial" w:cs="Arial" w:eastAsia="Arial" w:hAnsi="Arial"/>
          <w:sz w:val="14"/>
          <w:szCs w:val="14"/>
          <w:color w:val="auto"/>
        </w:rPr>
      </w:pPr>
      <w:r>
        <w:rPr>
          <w:rFonts w:ascii="Arial" w:cs="Arial" w:eastAsia="Arial" w:hAnsi="Arial"/>
          <w:sz w:val="13"/>
          <w:szCs w:val="13"/>
          <w:color w:val="auto"/>
        </w:rPr>
        <w:t>Testing completeness and accuracy of underlying data used to estimate the accrual by agreeing sales data used in the calculations to reports that were reconciled to the financial statements, reconciling various allowance percentages to signed customer contracts, tracing allowance amounts used by various customers during the year to supporting documentation.</w:t>
      </w:r>
    </w:p>
    <w:p>
      <w:pPr>
        <w:spacing w:after="0" w:line="75" w:lineRule="exact"/>
        <w:rPr>
          <w:rFonts w:ascii="Arial" w:cs="Arial" w:eastAsia="Arial" w:hAnsi="Arial"/>
          <w:sz w:val="14"/>
          <w:szCs w:val="14"/>
          <w:color w:val="auto"/>
        </w:rPr>
      </w:pPr>
    </w:p>
    <w:p>
      <w:pPr>
        <w:ind w:left="520" w:hanging="263"/>
        <w:spacing w:after="0" w:line="261" w:lineRule="auto"/>
        <w:tabs>
          <w:tab w:leader="none" w:pos="511" w:val="left"/>
        </w:tabs>
        <w:numPr>
          <w:ilvl w:val="0"/>
          <w:numId w:val="43"/>
        </w:numPr>
        <w:rPr>
          <w:rFonts w:ascii="Arial" w:cs="Arial" w:eastAsia="Arial" w:hAnsi="Arial"/>
          <w:sz w:val="15"/>
          <w:szCs w:val="15"/>
          <w:color w:val="auto"/>
        </w:rPr>
      </w:pPr>
      <w:r>
        <w:rPr>
          <w:rFonts w:ascii="Arial" w:cs="Arial" w:eastAsia="Arial" w:hAnsi="Arial"/>
          <w:sz w:val="14"/>
          <w:szCs w:val="14"/>
          <w:color w:val="auto"/>
        </w:rPr>
        <w:t>Evaluating the reasonableness of significant assumptions used by management in the computation of selected allowances, including comparison to historical results and considering recent changes in factors that could influence the future allowances to be claimed.</w:t>
      </w:r>
    </w:p>
    <w:p>
      <w:pPr>
        <w:spacing w:after="0" w:line="90" w:lineRule="exact"/>
        <w:rPr>
          <w:rFonts w:ascii="Arial" w:cs="Arial" w:eastAsia="Arial" w:hAnsi="Arial"/>
          <w:sz w:val="15"/>
          <w:szCs w:val="15"/>
          <w:color w:val="auto"/>
        </w:rPr>
      </w:pPr>
    </w:p>
    <w:p>
      <w:pPr>
        <w:ind w:left="520" w:hanging="263"/>
        <w:spacing w:after="0" w:line="261" w:lineRule="auto"/>
        <w:tabs>
          <w:tab w:leader="none" w:pos="511" w:val="left"/>
        </w:tabs>
        <w:numPr>
          <w:ilvl w:val="0"/>
          <w:numId w:val="43"/>
        </w:numPr>
        <w:rPr>
          <w:rFonts w:ascii="Arial" w:cs="Arial" w:eastAsia="Arial" w:hAnsi="Arial"/>
          <w:sz w:val="15"/>
          <w:szCs w:val="15"/>
          <w:color w:val="auto"/>
        </w:rPr>
      </w:pPr>
      <w:r>
        <w:rPr>
          <w:rFonts w:ascii="Arial" w:cs="Arial" w:eastAsia="Arial" w:hAnsi="Arial"/>
          <w:sz w:val="14"/>
          <w:szCs w:val="14"/>
          <w:color w:val="auto"/>
        </w:rPr>
        <w:t>Testing the clerical accuracy of individual customer allowances computed by management and agreeing the total of all estimated allowances to the respective accounts on the financial statements.</w:t>
      </w:r>
    </w:p>
    <w:p>
      <w:pPr>
        <w:spacing w:after="0" w:line="101" w:lineRule="exact"/>
        <w:rPr>
          <w:rFonts w:ascii="Arial" w:cs="Arial" w:eastAsia="Arial" w:hAnsi="Arial"/>
          <w:sz w:val="15"/>
          <w:szCs w:val="15"/>
          <w:color w:val="auto"/>
        </w:rPr>
      </w:pPr>
    </w:p>
    <w:p>
      <w:pPr>
        <w:ind w:left="500" w:hanging="243"/>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3"/>
          <w:szCs w:val="13"/>
          <w:color w:val="auto"/>
        </w:rPr>
        <w:t>Developing our own independent expectation of the reserve balance for certain allowances and comparing that to the balance recorded on the December 31, 2021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91" w:name="page92"/>
    <w:bookmarkEnd w:id="91"/>
    <w:p>
      <w:pPr>
        <w:ind w:left="500" w:hanging="243"/>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2"/>
          <w:szCs w:val="12"/>
          <w:color w:val="auto"/>
        </w:rPr>
        <w:t>Comparing actual allowances reported after December 31, 2021 to estimated reserves and accruals on the December 31, 2021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/s/ BKD, LLP</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2020.</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1267"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Shareholders and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Cumberland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audited the accompanying the consolidated statements of operations, equity and cash flows of Cumberland Pharmaceuticals Inc. (the Company) for the year ended December 31, 2019 and the related notes and financial statement schedule listed in the accompanying index (collectively referred to as the “consolidated financial statements”). In our opinion, the consolidated financial statements present fairly, in all material respects, the results of its operations and its cash flows for the year ended December 31, 2019</w:t>
      </w:r>
      <w:r>
        <w:rPr>
          <w:rFonts w:ascii="Arial" w:cs="Arial" w:eastAsia="Arial" w:hAnsi="Arial"/>
          <w:sz w:val="14"/>
          <w:szCs w:val="14"/>
          <w:b w:val="1"/>
          <w:bCs w:val="1"/>
          <w:color w:val="auto"/>
        </w:rPr>
        <w:t>,</w:t>
      </w:r>
      <w:r>
        <w:rPr>
          <w:rFonts w:ascii="Arial" w:cs="Arial" w:eastAsia="Arial" w:hAnsi="Arial"/>
          <w:sz w:val="14"/>
          <w:szCs w:val="14"/>
          <w:color w:val="auto"/>
        </w:rPr>
        <w:t xml:space="preserve"> in conformity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/s/ BDO USA, LLP</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We served as the Company's auditor from 2017 to 2020.</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March 20, 2020, except for the effects of presenting discontinued operations as discussed in Note 19, as to which the date is December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05" w:right="3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Consolidated Balance Sheets</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December 31, 2021 and 2020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71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06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27,040,816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24,753,796</w:t>
            </w:r>
          </w:p>
        </w:tc>
        <w:tc>
          <w:tcPr>
            <w:tcW w:w="0" w:type="dxa"/>
            <w:vAlign w:val="bottom"/>
          </w:tcPr>
          <w:p>
            <w:pPr>
              <w:spacing w:after="0"/>
              <w:rPr>
                <w:sz w:val="1"/>
                <w:szCs w:val="1"/>
                <w:color w:val="auto"/>
              </w:rPr>
            </w:pPr>
          </w:p>
        </w:tc>
      </w:tr>
      <w:tr>
        <w:trPr>
          <w:trHeight w:val="179"/>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0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6,877,346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12,377,713</w:t>
            </w: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 net</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8,429,882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10,638,157</w:t>
            </w:r>
          </w:p>
        </w:tc>
        <w:tc>
          <w:tcPr>
            <w:tcW w:w="0" w:type="dxa"/>
            <w:vAlign w:val="bottom"/>
          </w:tcPr>
          <w:p>
            <w:pPr>
              <w:spacing w:after="0"/>
              <w:rPr>
                <w:sz w:val="1"/>
                <w:szCs w:val="1"/>
                <w:color w:val="auto"/>
              </w:rPr>
            </w:pPr>
          </w:p>
        </w:tc>
      </w:tr>
      <w:tr>
        <w:trPr>
          <w:trHeight w:val="179"/>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and other current assets</w:t>
            </w:r>
          </w:p>
        </w:tc>
        <w:tc>
          <w:tcPr>
            <w:tcW w:w="1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3,339,969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2,199,926</w:t>
            </w: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Total current assets</w:t>
            </w:r>
          </w:p>
        </w:tc>
        <w:tc>
          <w:tcPr>
            <w:tcW w:w="10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45,688,013</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49,969,592</w:t>
            </w:r>
          </w:p>
        </w:tc>
        <w:tc>
          <w:tcPr>
            <w:tcW w:w="0" w:type="dxa"/>
            <w:vAlign w:val="bottom"/>
          </w:tcPr>
          <w:p>
            <w:pPr>
              <w:spacing w:after="0"/>
              <w:rPr>
                <w:sz w:val="1"/>
                <w:szCs w:val="1"/>
                <w:color w:val="auto"/>
              </w:rPr>
            </w:pPr>
          </w:p>
        </w:tc>
      </w:tr>
      <w:tr>
        <w:trPr>
          <w:trHeight w:val="179"/>
        </w:trPr>
        <w:tc>
          <w:tcPr>
            <w:tcW w:w="7440" w:type="dxa"/>
            <w:vAlign w:val="bottom"/>
          </w:tcPr>
          <w:p>
            <w:pPr>
              <w:ind w:left="20"/>
              <w:spacing w:after="0"/>
              <w:rPr>
                <w:sz w:val="20"/>
                <w:szCs w:val="20"/>
                <w:color w:val="auto"/>
              </w:rPr>
            </w:pPr>
            <w:r>
              <w:rPr>
                <w:rFonts w:ascii="Arial" w:cs="Arial" w:eastAsia="Arial" w:hAnsi="Arial"/>
                <w:sz w:val="14"/>
                <w:szCs w:val="14"/>
                <w:color w:val="auto"/>
              </w:rPr>
              <w:t>Non-current inventories</w:t>
            </w:r>
          </w:p>
        </w:tc>
        <w:tc>
          <w:tcPr>
            <w:tcW w:w="10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9,048,567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11,656,742</w:t>
            </w: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442,635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574,169</w:t>
            </w:r>
          </w:p>
        </w:tc>
        <w:tc>
          <w:tcPr>
            <w:tcW w:w="0" w:type="dxa"/>
            <w:vAlign w:val="bottom"/>
          </w:tcPr>
          <w:p>
            <w:pPr>
              <w:spacing w:after="0"/>
              <w:rPr>
                <w:sz w:val="1"/>
                <w:szCs w:val="1"/>
                <w:color w:val="auto"/>
              </w:rPr>
            </w:pPr>
          </w:p>
        </w:tc>
      </w:tr>
      <w:tr>
        <w:trPr>
          <w:trHeight w:val="179"/>
        </w:trPr>
        <w:tc>
          <w:tcPr>
            <w:tcW w:w="74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0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23,954,475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28,118,316</w:t>
            </w: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882,000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882,000</w:t>
            </w:r>
          </w:p>
        </w:tc>
        <w:tc>
          <w:tcPr>
            <w:tcW w:w="0" w:type="dxa"/>
            <w:vAlign w:val="bottom"/>
          </w:tcPr>
          <w:p>
            <w:pPr>
              <w:spacing w:after="0"/>
              <w:rPr>
                <w:sz w:val="1"/>
                <w:szCs w:val="1"/>
                <w:color w:val="auto"/>
              </w:rPr>
            </w:pPr>
          </w:p>
        </w:tc>
      </w:tr>
      <w:tr>
        <w:trPr>
          <w:trHeight w:val="179"/>
        </w:trPr>
        <w:tc>
          <w:tcPr>
            <w:tcW w:w="74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0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1,024,200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2,028,148</w:t>
            </w: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3,419,908</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3,234,338</w:t>
            </w:r>
          </w:p>
        </w:tc>
        <w:tc>
          <w:tcPr>
            <w:tcW w:w="0" w:type="dxa"/>
            <w:vAlign w:val="bottom"/>
          </w:tcPr>
          <w:p>
            <w:pPr>
              <w:spacing w:after="0"/>
              <w:rPr>
                <w:sz w:val="1"/>
                <w:szCs w:val="1"/>
                <w:color w:val="auto"/>
              </w:rPr>
            </w:pPr>
          </w:p>
        </w:tc>
      </w:tr>
      <w:tr>
        <w:trPr>
          <w:trHeight w:val="170"/>
        </w:trPr>
        <w:tc>
          <w:tcPr>
            <w:tcW w:w="7440" w:type="dxa"/>
            <w:vAlign w:val="bottom"/>
          </w:tcPr>
          <w:p>
            <w:pPr>
              <w:ind w:left="700"/>
              <w:spacing w:after="0" w:line="159" w:lineRule="exact"/>
              <w:rPr>
                <w:sz w:val="20"/>
                <w:szCs w:val="20"/>
                <w:color w:val="auto"/>
              </w:rPr>
            </w:pPr>
            <w:r>
              <w:rPr>
                <w:rFonts w:ascii="Arial" w:cs="Arial" w:eastAsia="Arial" w:hAnsi="Arial"/>
                <w:sz w:val="14"/>
                <w:szCs w:val="14"/>
                <w:color w:val="auto"/>
              </w:rPr>
              <w:t>Total assets</w:t>
            </w:r>
          </w:p>
        </w:tc>
        <w:tc>
          <w:tcPr>
            <w:tcW w:w="106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84,459,798</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96,463,305</w:t>
            </w:r>
          </w:p>
        </w:tc>
        <w:tc>
          <w:tcPr>
            <w:tcW w:w="0" w:type="dxa"/>
            <w:vAlign w:val="bottom"/>
          </w:tcPr>
          <w:p>
            <w:pPr>
              <w:spacing w:after="0"/>
              <w:rPr>
                <w:sz w:val="1"/>
                <w:szCs w:val="1"/>
                <w:color w:val="auto"/>
              </w:rPr>
            </w:pPr>
          </w:p>
        </w:tc>
      </w:tr>
      <w:tr>
        <w:trPr>
          <w:trHeight w:val="70"/>
        </w:trPr>
        <w:tc>
          <w:tcPr>
            <w:tcW w:w="74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74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060" w:type="dxa"/>
            <w:vAlign w:val="bottom"/>
          </w:tcPr>
          <w:p>
            <w:pPr>
              <w:jc w:val="right"/>
              <w:ind w:right="91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9,640,980</w:t>
            </w:r>
          </w:p>
        </w:tc>
        <w:tc>
          <w:tcPr>
            <w:tcW w:w="120" w:type="dxa"/>
            <w:vAlign w:val="bottom"/>
          </w:tcPr>
          <w:p>
            <w:pPr>
              <w:spacing w:after="0"/>
              <w:rPr>
                <w:sz w:val="15"/>
                <w:szCs w:val="15"/>
                <w:color w:val="auto"/>
              </w:rPr>
            </w:pPr>
          </w:p>
        </w:tc>
        <w:tc>
          <w:tcPr>
            <w:tcW w:w="440" w:type="dxa"/>
            <w:vAlign w:val="bottom"/>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13,396,286</w:t>
            </w: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current liabilities</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969,677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1,016,779</w:t>
            </w:r>
          </w:p>
        </w:tc>
        <w:tc>
          <w:tcPr>
            <w:tcW w:w="0" w:type="dxa"/>
            <w:vAlign w:val="bottom"/>
          </w:tcPr>
          <w:p>
            <w:pPr>
              <w:spacing w:after="0"/>
              <w:rPr>
                <w:sz w:val="1"/>
                <w:szCs w:val="1"/>
                <w:color w:val="auto"/>
              </w:rPr>
            </w:pPr>
          </w:p>
        </w:tc>
      </w:tr>
      <w:tr>
        <w:trPr>
          <w:trHeight w:val="179"/>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liabilities</w:t>
            </w:r>
          </w:p>
        </w:tc>
        <w:tc>
          <w:tcPr>
            <w:tcW w:w="1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8,668,303</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11,254,381</w:t>
            </w: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Total current liabilities</w:t>
            </w:r>
          </w:p>
        </w:tc>
        <w:tc>
          <w:tcPr>
            <w:tcW w:w="10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19,278,960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25,667,446</w:t>
            </w:r>
          </w:p>
        </w:tc>
        <w:tc>
          <w:tcPr>
            <w:tcW w:w="0" w:type="dxa"/>
            <w:vAlign w:val="bottom"/>
          </w:tcPr>
          <w:p>
            <w:pPr>
              <w:spacing w:after="0"/>
              <w:rPr>
                <w:sz w:val="1"/>
                <w:szCs w:val="1"/>
                <w:color w:val="auto"/>
              </w:rPr>
            </w:pPr>
          </w:p>
        </w:tc>
      </w:tr>
      <w:tr>
        <w:trPr>
          <w:trHeight w:val="179"/>
        </w:trPr>
        <w:tc>
          <w:tcPr>
            <w:tcW w:w="7440" w:type="dxa"/>
            <w:vAlign w:val="bottom"/>
          </w:tcPr>
          <w:p>
            <w:pPr>
              <w:ind w:left="20"/>
              <w:spacing w:after="0"/>
              <w:rPr>
                <w:sz w:val="20"/>
                <w:szCs w:val="20"/>
                <w:color w:val="auto"/>
              </w:rPr>
            </w:pPr>
            <w:r>
              <w:rPr>
                <w:rFonts w:ascii="Arial" w:cs="Arial" w:eastAsia="Arial" w:hAnsi="Arial"/>
                <w:sz w:val="14"/>
                <w:szCs w:val="14"/>
                <w:color w:val="auto"/>
              </w:rPr>
              <w:t>Revolving line of credit</w:t>
            </w:r>
          </w:p>
        </w:tc>
        <w:tc>
          <w:tcPr>
            <w:tcW w:w="10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15,000,000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non-current liabilities</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90,016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1,059,693</w:t>
            </w:r>
          </w:p>
        </w:tc>
        <w:tc>
          <w:tcPr>
            <w:tcW w:w="0" w:type="dxa"/>
            <w:vAlign w:val="bottom"/>
          </w:tcPr>
          <w:p>
            <w:pPr>
              <w:spacing w:after="0"/>
              <w:rPr>
                <w:sz w:val="1"/>
                <w:szCs w:val="1"/>
                <w:color w:val="auto"/>
              </w:rPr>
            </w:pPr>
          </w:p>
        </w:tc>
      </w:tr>
      <w:tr>
        <w:trPr>
          <w:trHeight w:val="17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1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7,488,844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7,862,772</w:t>
            </w: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Total liabilities</w:t>
            </w:r>
          </w:p>
        </w:tc>
        <w:tc>
          <w:tcPr>
            <w:tcW w:w="10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41,857,820</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49,589,911</w:t>
            </w:r>
          </w:p>
        </w:tc>
        <w:tc>
          <w:tcPr>
            <w:tcW w:w="0" w:type="dxa"/>
            <w:vAlign w:val="bottom"/>
          </w:tcPr>
          <w:p>
            <w:pPr>
              <w:spacing w:after="0"/>
              <w:rPr>
                <w:sz w:val="1"/>
                <w:szCs w:val="1"/>
                <w:color w:val="auto"/>
              </w:rPr>
            </w:pPr>
          </w:p>
        </w:tc>
      </w:tr>
      <w:tr>
        <w:trPr>
          <w:trHeight w:val="159"/>
        </w:trPr>
        <w:tc>
          <w:tcPr>
            <w:tcW w:w="7440" w:type="dxa"/>
            <w:vAlign w:val="bottom"/>
          </w:tcPr>
          <w:p>
            <w:pPr>
              <w:ind w:left="20"/>
              <w:spacing w:after="0" w:line="159" w:lineRule="exact"/>
              <w:rPr>
                <w:sz w:val="20"/>
                <w:szCs w:val="20"/>
                <w:color w:val="auto"/>
              </w:rPr>
            </w:pPr>
            <w:r>
              <w:rPr>
                <w:rFonts w:ascii="Arial" w:cs="Arial" w:eastAsia="Arial" w:hAnsi="Arial"/>
                <w:sz w:val="14"/>
                <w:szCs w:val="14"/>
                <w:color w:val="auto"/>
              </w:rPr>
              <w:t>Commitments and contingencies</w:t>
            </w: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tcPr>
          <w:p>
            <w:pPr>
              <w:ind w:left="180"/>
              <w:spacing w:after="0"/>
              <w:rPr>
                <w:sz w:val="20"/>
                <w:szCs w:val="20"/>
                <w:color w:val="auto"/>
              </w:rPr>
            </w:pPr>
            <w:r>
              <w:rPr>
                <w:rFonts w:ascii="Arial" w:cs="Arial" w:eastAsia="Arial" w:hAnsi="Arial"/>
                <w:sz w:val="14"/>
                <w:szCs w:val="14"/>
                <w:color w:val="auto"/>
              </w:rPr>
              <w:t>Shareholders’ equity:</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440" w:type="dxa"/>
            <w:vAlign w:val="bottom"/>
            <w:shd w:val="clear" w:color="auto" w:fill="CCEEFF"/>
          </w:tcPr>
          <w:p>
            <w:pPr>
              <w:ind w:left="360"/>
              <w:spacing w:after="0" w:line="137" w:lineRule="exact"/>
              <w:rPr>
                <w:sz w:val="20"/>
                <w:szCs w:val="20"/>
                <w:color w:val="auto"/>
              </w:rPr>
            </w:pPr>
            <w:r>
              <w:rPr>
                <w:rFonts w:ascii="Arial" w:cs="Arial" w:eastAsia="Arial" w:hAnsi="Arial"/>
                <w:sz w:val="14"/>
                <w:szCs w:val="14"/>
                <w:color w:val="auto"/>
                <w:w w:val="92"/>
              </w:rPr>
              <w:t>Common stock – no par value; 100,000,000 shares authorized; 14,742,754 and 14,988,429 shares issued and outstanding</w:t>
            </w:r>
          </w:p>
        </w:tc>
        <w:tc>
          <w:tcPr>
            <w:tcW w:w="10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48,452,906</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49,121,523</w:t>
            </w:r>
          </w:p>
        </w:tc>
        <w:tc>
          <w:tcPr>
            <w:tcW w:w="0" w:type="dxa"/>
            <w:vAlign w:val="bottom"/>
          </w:tcPr>
          <w:p>
            <w:pPr>
              <w:spacing w:after="0"/>
              <w:rPr>
                <w:sz w:val="1"/>
                <w:szCs w:val="1"/>
                <w:color w:val="auto"/>
              </w:rPr>
            </w:pPr>
          </w:p>
        </w:tc>
      </w:tr>
      <w:tr>
        <w:trPr>
          <w:trHeight w:val="179"/>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 of December 31, 2021 and 2020, respectively</w:t>
            </w:r>
          </w:p>
        </w:tc>
        <w:tc>
          <w:tcPr>
            <w:tcW w:w="10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Retained earnings (deficit)</w:t>
            </w:r>
          </w:p>
        </w:tc>
        <w:tc>
          <w:tcPr>
            <w:tcW w:w="1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(5,638,600)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(2,131,013)</w:t>
            </w: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Total shareholders’ equity</w:t>
            </w:r>
          </w:p>
        </w:tc>
        <w:tc>
          <w:tcPr>
            <w:tcW w:w="10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42,814,306</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46,990,510</w:t>
            </w:r>
          </w:p>
        </w:tc>
        <w:tc>
          <w:tcPr>
            <w:tcW w:w="0" w:type="dxa"/>
            <w:vAlign w:val="bottom"/>
          </w:tcPr>
          <w:p>
            <w:pPr>
              <w:spacing w:after="0"/>
              <w:rPr>
                <w:sz w:val="1"/>
                <w:szCs w:val="1"/>
                <w:color w:val="auto"/>
              </w:rPr>
            </w:pPr>
          </w:p>
        </w:tc>
      </w:tr>
      <w:tr>
        <w:trPr>
          <w:trHeight w:val="179"/>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Noncontrolling interests</w:t>
            </w:r>
          </w:p>
        </w:tc>
        <w:tc>
          <w:tcPr>
            <w:tcW w:w="1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(212,328)</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(117,116)</w:t>
            </w: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Total equity</w:t>
            </w:r>
          </w:p>
        </w:tc>
        <w:tc>
          <w:tcPr>
            <w:tcW w:w="10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42,601,978</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46,873,394</w:t>
            </w:r>
          </w:p>
        </w:tc>
        <w:tc>
          <w:tcPr>
            <w:tcW w:w="0" w:type="dxa"/>
            <w:vAlign w:val="bottom"/>
          </w:tcPr>
          <w:p>
            <w:pPr>
              <w:spacing w:after="0"/>
              <w:rPr>
                <w:sz w:val="1"/>
                <w:szCs w:val="1"/>
                <w:color w:val="auto"/>
              </w:rPr>
            </w:pPr>
          </w:p>
        </w:tc>
      </w:tr>
      <w:tr>
        <w:trPr>
          <w:trHeight w:val="170"/>
        </w:trPr>
        <w:tc>
          <w:tcPr>
            <w:tcW w:w="7440" w:type="dxa"/>
            <w:vAlign w:val="bottom"/>
          </w:tcPr>
          <w:p>
            <w:pPr>
              <w:ind w:left="700"/>
              <w:spacing w:after="0" w:line="159" w:lineRule="exact"/>
              <w:rPr>
                <w:sz w:val="20"/>
                <w:szCs w:val="20"/>
                <w:color w:val="auto"/>
              </w:rPr>
            </w:pPr>
            <w:r>
              <w:rPr>
                <w:rFonts w:ascii="Arial" w:cs="Arial" w:eastAsia="Arial" w:hAnsi="Arial"/>
                <w:sz w:val="14"/>
                <w:szCs w:val="14"/>
                <w:color w:val="auto"/>
              </w:rPr>
              <w:t>Total liabilities and equity</w:t>
            </w:r>
          </w:p>
        </w:tc>
        <w:tc>
          <w:tcPr>
            <w:tcW w:w="106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84,459,798</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96,463,305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52705</wp:posOffset>
            </wp:positionV>
            <wp:extent cx="71875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80"/>
          </w:cols>
          <w:pgMar w:left="360" w:top="1189" w:right="35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Operations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Years ended December 31, 2021,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0"/>
              <w:spacing w:after="0"/>
              <w:rPr>
                <w:sz w:val="20"/>
                <w:szCs w:val="20"/>
                <w:color w:val="auto"/>
              </w:rPr>
            </w:pPr>
            <w:r>
              <w:rPr>
                <w:rFonts w:ascii="Arial" w:cs="Arial" w:eastAsia="Arial" w:hAnsi="Arial"/>
                <w:sz w:val="13"/>
                <w:szCs w:val="13"/>
                <w:b w:val="1"/>
                <w:bCs w:val="1"/>
                <w:color w:val="auto"/>
              </w:rPr>
              <w:t>2019</w:t>
            </w:r>
          </w:p>
        </w:tc>
      </w:tr>
      <w:tr>
        <w:trPr>
          <w:trHeight w:val="181"/>
        </w:trPr>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Revenues:</w:t>
            </w:r>
          </w:p>
        </w:tc>
        <w:tc>
          <w:tcPr>
            <w:tcW w:w="380" w:type="dxa"/>
            <w:vAlign w:val="bottom"/>
            <w:shd w:val="clear" w:color="auto" w:fill="BFE4FF"/>
          </w:tcPr>
          <w:p>
            <w:pPr>
              <w:spacing w:after="0"/>
              <w:rPr>
                <w:sz w:val="15"/>
                <w:szCs w:val="15"/>
                <w:color w:val="auto"/>
              </w:rPr>
            </w:pPr>
          </w:p>
        </w:tc>
        <w:tc>
          <w:tcPr>
            <w:tcW w:w="118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spacing w:after="0"/>
              <w:rPr>
                <w:sz w:val="15"/>
                <w:szCs w:val="15"/>
                <w:color w:val="auto"/>
              </w:rPr>
            </w:pPr>
          </w:p>
        </w:tc>
      </w:tr>
      <w:tr>
        <w:trPr>
          <w:trHeight w:val="179"/>
        </w:trPr>
        <w:tc>
          <w:tcPr>
            <w:tcW w:w="6320" w:type="dxa"/>
            <w:vAlign w:val="bottom"/>
          </w:tcPr>
          <w:p>
            <w:pPr>
              <w:ind w:left="180"/>
              <w:spacing w:after="0"/>
              <w:rPr>
                <w:sz w:val="20"/>
                <w:szCs w:val="20"/>
                <w:color w:val="auto"/>
              </w:rPr>
            </w:pPr>
            <w:r>
              <w:rPr>
                <w:rFonts w:ascii="Arial" w:cs="Arial" w:eastAsia="Arial" w:hAnsi="Arial"/>
                <w:sz w:val="14"/>
                <w:szCs w:val="14"/>
                <w:color w:val="auto"/>
              </w:rPr>
              <w:t>Net product revenue</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35,045,259</w:t>
            </w:r>
          </w:p>
        </w:tc>
        <w:tc>
          <w:tcPr>
            <w:tcW w:w="14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35,840,673</w:t>
            </w:r>
          </w:p>
        </w:tc>
        <w:tc>
          <w:tcPr>
            <w:tcW w:w="14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32,407,845</w:t>
            </w:r>
          </w:p>
        </w:tc>
      </w:tr>
      <w:tr>
        <w:trPr>
          <w:trHeight w:val="179"/>
        </w:trPr>
        <w:tc>
          <w:tcPr>
            <w:tcW w:w="6320" w:type="dxa"/>
            <w:vAlign w:val="bottom"/>
            <w:shd w:val="clear" w:color="auto" w:fill="BFE4FF"/>
          </w:tcPr>
          <w:p>
            <w:pPr>
              <w:ind w:left="180"/>
              <w:spacing w:after="0"/>
              <w:rPr>
                <w:sz w:val="20"/>
                <w:szCs w:val="20"/>
                <w:color w:val="auto"/>
              </w:rPr>
            </w:pPr>
            <w:r>
              <w:rPr>
                <w:rFonts w:ascii="Arial" w:cs="Arial" w:eastAsia="Arial" w:hAnsi="Arial"/>
                <w:sz w:val="14"/>
                <w:szCs w:val="14"/>
                <w:color w:val="auto"/>
              </w:rPr>
              <w:t>Other revenue</w:t>
            </w:r>
          </w:p>
        </w:tc>
        <w:tc>
          <w:tcPr>
            <w:tcW w:w="380" w:type="dxa"/>
            <w:vAlign w:val="bottom"/>
            <w:tcBorders>
              <w:bottom w:val="single" w:sz="8" w:color="auto"/>
            </w:tcBorders>
            <w:shd w:val="clear" w:color="auto" w:fill="BFE4FF"/>
          </w:tcPr>
          <w:p>
            <w:pPr>
              <w:spacing w:after="0"/>
              <w:rPr>
                <w:sz w:val="15"/>
                <w:szCs w:val="15"/>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939,784</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1,600,461</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1,980,450</w:t>
            </w:r>
          </w:p>
        </w:tc>
      </w:tr>
      <w:tr>
        <w:trPr>
          <w:trHeight w:val="170"/>
        </w:trPr>
        <w:tc>
          <w:tcPr>
            <w:tcW w:w="6320" w:type="dxa"/>
            <w:vAlign w:val="bottom"/>
            <w:tcBorders>
              <w:bottom w:val="single" w:sz="8" w:color="BFE4FF"/>
            </w:tcBorders>
          </w:tcPr>
          <w:p>
            <w:pPr>
              <w:ind w:left="440"/>
              <w:spacing w:after="0" w:line="159" w:lineRule="exact"/>
              <w:rPr>
                <w:sz w:val="20"/>
                <w:szCs w:val="20"/>
                <w:color w:val="auto"/>
              </w:rPr>
            </w:pPr>
            <w:r>
              <w:rPr>
                <w:rFonts w:ascii="Arial" w:cs="Arial" w:eastAsia="Arial" w:hAnsi="Arial"/>
                <w:sz w:val="14"/>
                <w:szCs w:val="14"/>
                <w:color w:val="auto"/>
              </w:rPr>
              <w:t>Net revenues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35,985,043</w:t>
            </w:r>
          </w:p>
        </w:tc>
        <w:tc>
          <w:tcPr>
            <w:tcW w:w="140" w:type="dxa"/>
            <w:vAlign w:val="bottom"/>
            <w:tcBorders>
              <w:bottom w:val="single" w:sz="8" w:color="BFE4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37,441,134</w:t>
            </w:r>
          </w:p>
        </w:tc>
        <w:tc>
          <w:tcPr>
            <w:tcW w:w="140" w:type="dxa"/>
            <w:vAlign w:val="bottom"/>
            <w:tcBorders>
              <w:bottom w:val="single" w:sz="8" w:color="BFE4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34,388,295</w:t>
            </w:r>
          </w:p>
        </w:tc>
      </w:tr>
      <w:tr>
        <w:trPr>
          <w:trHeight w:val="159"/>
        </w:trPr>
        <w:tc>
          <w:tcPr>
            <w:tcW w:w="6320" w:type="dxa"/>
            <w:vAlign w:val="bottom"/>
            <w:shd w:val="clear" w:color="auto" w:fill="BFE4FF"/>
          </w:tcPr>
          <w:p>
            <w:pPr>
              <w:ind w:left="20"/>
              <w:spacing w:after="0" w:line="159" w:lineRule="exact"/>
              <w:rPr>
                <w:sz w:val="20"/>
                <w:szCs w:val="20"/>
                <w:color w:val="auto"/>
              </w:rPr>
            </w:pPr>
            <w:r>
              <w:rPr>
                <w:rFonts w:ascii="Arial" w:cs="Arial" w:eastAsia="Arial" w:hAnsi="Arial"/>
                <w:sz w:val="14"/>
                <w:szCs w:val="14"/>
                <w:color w:val="auto"/>
              </w:rPr>
              <w:t>Costs and expenses:</w:t>
            </w:r>
          </w:p>
        </w:tc>
        <w:tc>
          <w:tcPr>
            <w:tcW w:w="380" w:type="dxa"/>
            <w:vAlign w:val="bottom"/>
            <w:shd w:val="clear" w:color="auto" w:fill="BFE4FF"/>
          </w:tcPr>
          <w:p>
            <w:pPr>
              <w:spacing w:after="0"/>
              <w:rPr>
                <w:sz w:val="13"/>
                <w:szCs w:val="13"/>
                <w:color w:val="auto"/>
              </w:rPr>
            </w:pPr>
          </w:p>
        </w:tc>
        <w:tc>
          <w:tcPr>
            <w:tcW w:w="118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360" w:type="dxa"/>
            <w:vAlign w:val="bottom"/>
            <w:shd w:val="clear" w:color="auto" w:fill="BFE4FF"/>
          </w:tcPr>
          <w:p>
            <w:pPr>
              <w:spacing w:after="0"/>
              <w:rPr>
                <w:sz w:val="13"/>
                <w:szCs w:val="13"/>
                <w:color w:val="auto"/>
              </w:rPr>
            </w:pPr>
          </w:p>
        </w:tc>
        <w:tc>
          <w:tcPr>
            <w:tcW w:w="12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360" w:type="dxa"/>
            <w:vAlign w:val="bottom"/>
            <w:shd w:val="clear" w:color="auto" w:fill="BFE4FF"/>
          </w:tcPr>
          <w:p>
            <w:pPr>
              <w:spacing w:after="0"/>
              <w:rPr>
                <w:sz w:val="13"/>
                <w:szCs w:val="13"/>
                <w:color w:val="auto"/>
              </w:rPr>
            </w:pPr>
          </w:p>
        </w:tc>
        <w:tc>
          <w:tcPr>
            <w:tcW w:w="1200" w:type="dxa"/>
            <w:vAlign w:val="bottom"/>
            <w:shd w:val="clear" w:color="auto" w:fill="BFE4FF"/>
          </w:tcPr>
          <w:p>
            <w:pPr>
              <w:spacing w:after="0"/>
              <w:rPr>
                <w:sz w:val="13"/>
                <w:szCs w:val="13"/>
                <w:color w:val="auto"/>
              </w:rPr>
            </w:pPr>
          </w:p>
        </w:tc>
      </w:tr>
      <w:tr>
        <w:trPr>
          <w:trHeight w:val="179"/>
        </w:trPr>
        <w:tc>
          <w:tcPr>
            <w:tcW w:w="6320" w:type="dxa"/>
            <w:vAlign w:val="bottom"/>
          </w:tcPr>
          <w:p>
            <w:pPr>
              <w:ind w:left="180"/>
              <w:spacing w:after="0"/>
              <w:rPr>
                <w:sz w:val="20"/>
                <w:szCs w:val="20"/>
                <w:color w:val="auto"/>
              </w:rPr>
            </w:pPr>
            <w:r>
              <w:rPr>
                <w:rFonts w:ascii="Arial" w:cs="Arial" w:eastAsia="Arial" w:hAnsi="Arial"/>
                <w:sz w:val="14"/>
                <w:szCs w:val="14"/>
                <w:color w:val="auto"/>
              </w:rPr>
              <w:t>Cost of products sold</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8,811,248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8,653,020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7,421,316</w:t>
            </w:r>
          </w:p>
        </w:tc>
      </w:tr>
      <w:tr>
        <w:trPr>
          <w:trHeight w:val="179"/>
        </w:trPr>
        <w:tc>
          <w:tcPr>
            <w:tcW w:w="6320" w:type="dxa"/>
            <w:vAlign w:val="bottom"/>
            <w:shd w:val="clear" w:color="auto" w:fill="BFE4FF"/>
          </w:tcPr>
          <w:p>
            <w:pPr>
              <w:ind w:left="180"/>
              <w:spacing w:after="0"/>
              <w:rPr>
                <w:sz w:val="20"/>
                <w:szCs w:val="20"/>
                <w:color w:val="auto"/>
              </w:rPr>
            </w:pPr>
            <w:r>
              <w:rPr>
                <w:rFonts w:ascii="Arial" w:cs="Arial" w:eastAsia="Arial" w:hAnsi="Arial"/>
                <w:sz w:val="14"/>
                <w:szCs w:val="14"/>
                <w:color w:val="auto"/>
              </w:rPr>
              <w:t>Selling and marketing</w:t>
            </w:r>
          </w:p>
        </w:tc>
        <w:tc>
          <w:tcPr>
            <w:tcW w:w="380" w:type="dxa"/>
            <w:vAlign w:val="bottom"/>
            <w:shd w:val="clear" w:color="auto" w:fill="BFE4FF"/>
          </w:tcPr>
          <w:p>
            <w:pPr>
              <w:spacing w:after="0"/>
              <w:rPr>
                <w:sz w:val="15"/>
                <w:szCs w:val="15"/>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15,015,424</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14,765,465</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15,277,740</w:t>
            </w:r>
          </w:p>
        </w:tc>
      </w:tr>
      <w:tr>
        <w:trPr>
          <w:trHeight w:val="179"/>
        </w:trPr>
        <w:tc>
          <w:tcPr>
            <w:tcW w:w="632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5,684,465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5,773,825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6,868,480</w:t>
            </w:r>
          </w:p>
        </w:tc>
      </w:tr>
      <w:tr>
        <w:trPr>
          <w:trHeight w:val="179"/>
        </w:trPr>
        <w:tc>
          <w:tcPr>
            <w:tcW w:w="6320" w:type="dxa"/>
            <w:vAlign w:val="bottom"/>
            <w:shd w:val="clear" w:color="auto" w:fill="BFE4FF"/>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BFE4FF"/>
          </w:tcPr>
          <w:p>
            <w:pPr>
              <w:spacing w:after="0"/>
              <w:rPr>
                <w:sz w:val="15"/>
                <w:szCs w:val="15"/>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9,780,026</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10,196,299</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9,974,384</w:t>
            </w:r>
          </w:p>
        </w:tc>
      </w:tr>
      <w:tr>
        <w:trPr>
          <w:trHeight w:val="179"/>
        </w:trPr>
        <w:tc>
          <w:tcPr>
            <w:tcW w:w="632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Amortization</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4,371,300</w:t>
            </w:r>
          </w:p>
        </w:tc>
        <w:tc>
          <w:tcPr>
            <w:tcW w:w="140" w:type="dxa"/>
            <w:vAlign w:val="bottom"/>
            <w:tcBorders>
              <w:bottom w:val="single" w:sz="8" w:color="BFE4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4,434,120</w:t>
            </w:r>
          </w:p>
        </w:tc>
        <w:tc>
          <w:tcPr>
            <w:tcW w:w="140" w:type="dxa"/>
            <w:vAlign w:val="bottom"/>
            <w:tcBorders>
              <w:bottom w:val="single" w:sz="8" w:color="BFE4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4,134,557</w:t>
            </w:r>
          </w:p>
        </w:tc>
      </w:tr>
      <w:tr>
        <w:trPr>
          <w:trHeight w:val="170"/>
        </w:trPr>
        <w:tc>
          <w:tcPr>
            <w:tcW w:w="6320" w:type="dxa"/>
            <w:vAlign w:val="bottom"/>
            <w:shd w:val="clear" w:color="auto" w:fill="BFE4FF"/>
          </w:tcPr>
          <w:p>
            <w:pPr>
              <w:ind w:left="440"/>
              <w:spacing w:after="0" w:line="159" w:lineRule="exact"/>
              <w:rPr>
                <w:sz w:val="20"/>
                <w:szCs w:val="20"/>
                <w:color w:val="auto"/>
              </w:rPr>
            </w:pPr>
            <w:r>
              <w:rPr>
                <w:rFonts w:ascii="Arial" w:cs="Arial" w:eastAsia="Arial" w:hAnsi="Arial"/>
                <w:sz w:val="14"/>
                <w:szCs w:val="14"/>
                <w:color w:val="auto"/>
              </w:rPr>
              <w:t>Total costs and expenses</w:t>
            </w:r>
          </w:p>
        </w:tc>
        <w:tc>
          <w:tcPr>
            <w:tcW w:w="380" w:type="dxa"/>
            <w:vAlign w:val="bottom"/>
            <w:tcBorders>
              <w:bottom w:val="single" w:sz="8" w:color="auto"/>
            </w:tcBorders>
            <w:shd w:val="clear" w:color="auto" w:fill="BFE4FF"/>
          </w:tcPr>
          <w:p>
            <w:pPr>
              <w:spacing w:after="0"/>
              <w:rPr>
                <w:sz w:val="14"/>
                <w:szCs w:val="14"/>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43,662,463</w:t>
            </w:r>
          </w:p>
        </w:tc>
        <w:tc>
          <w:tcPr>
            <w:tcW w:w="14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spacing w:after="0"/>
              <w:rPr>
                <w:sz w:val="14"/>
                <w:szCs w:val="14"/>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43,822,729</w:t>
            </w:r>
          </w:p>
        </w:tc>
        <w:tc>
          <w:tcPr>
            <w:tcW w:w="14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spacing w:after="0"/>
              <w:rPr>
                <w:sz w:val="14"/>
                <w:szCs w:val="14"/>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43,676,477</w:t>
            </w:r>
          </w:p>
        </w:tc>
      </w:tr>
      <w:tr>
        <w:trPr>
          <w:trHeight w:val="170"/>
        </w:trPr>
        <w:tc>
          <w:tcPr>
            <w:tcW w:w="6320" w:type="dxa"/>
            <w:vAlign w:val="bottom"/>
          </w:tcPr>
          <w:p>
            <w:pPr>
              <w:ind w:left="20"/>
              <w:spacing w:after="0" w:line="159" w:lineRule="exact"/>
              <w:rPr>
                <w:sz w:val="20"/>
                <w:szCs w:val="20"/>
                <w:color w:val="auto"/>
              </w:rPr>
            </w:pPr>
            <w:r>
              <w:rPr>
                <w:rFonts w:ascii="Arial" w:cs="Arial" w:eastAsia="Arial" w:hAnsi="Arial"/>
                <w:sz w:val="14"/>
                <w:szCs w:val="14"/>
                <w:color w:val="auto"/>
              </w:rPr>
              <w:t>Operating income (loss)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(7,677,420)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(6,381,595)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(9,288,182)</w:t>
            </w:r>
          </w:p>
        </w:tc>
      </w:tr>
      <w:tr>
        <w:trPr>
          <w:trHeight w:val="179"/>
        </w:trPr>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shd w:val="clear" w:color="auto" w:fill="BFE4FF"/>
          </w:tcPr>
          <w:p>
            <w:pPr>
              <w:spacing w:after="0"/>
              <w:rPr>
                <w:sz w:val="15"/>
                <w:szCs w:val="15"/>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26,081</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75,345</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243,364</w:t>
            </w:r>
          </w:p>
        </w:tc>
      </w:tr>
      <w:tr>
        <w:trPr>
          <w:trHeight w:val="179"/>
        </w:trPr>
        <w:tc>
          <w:tcPr>
            <w:tcW w:w="632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2,187,140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shd w:val="clear" w:color="auto" w:fill="BFE4FF"/>
          </w:tcPr>
          <w:p>
            <w:pPr>
              <w:spacing w:after="0"/>
              <w:rPr>
                <w:sz w:val="15"/>
                <w:szCs w:val="15"/>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(98,031)</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(263,627)</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(246,186)</w:t>
            </w:r>
          </w:p>
        </w:tc>
      </w:tr>
      <w:tr>
        <w:trPr>
          <w:trHeight w:val="170"/>
        </w:trPr>
        <w:tc>
          <w:tcPr>
            <w:tcW w:w="6320" w:type="dxa"/>
            <w:vAlign w:val="bottom"/>
          </w:tcPr>
          <w:p>
            <w:pPr>
              <w:ind w:left="360"/>
              <w:spacing w:after="0" w:line="159" w:lineRule="exact"/>
              <w:rPr>
                <w:sz w:val="20"/>
                <w:szCs w:val="20"/>
                <w:color w:val="auto"/>
              </w:rPr>
            </w:pPr>
            <w:r>
              <w:rPr>
                <w:rFonts w:ascii="Arial" w:cs="Arial" w:eastAsia="Arial" w:hAnsi="Arial"/>
                <w:sz w:val="14"/>
                <w:szCs w:val="14"/>
                <w:color w:val="auto"/>
              </w:rPr>
              <w:t>Income (loss) before income taxes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(5,562,230)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(6,569,877)</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(9,291,004)</w:t>
            </w:r>
          </w:p>
        </w:tc>
      </w:tr>
      <w:tr>
        <w:trPr>
          <w:trHeight w:val="179"/>
        </w:trPr>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Income tax (expense) benefit</w:t>
            </w:r>
          </w:p>
        </w:tc>
        <w:tc>
          <w:tcPr>
            <w:tcW w:w="380" w:type="dxa"/>
            <w:vAlign w:val="bottom"/>
            <w:tcBorders>
              <w:bottom w:val="single" w:sz="8" w:color="auto"/>
            </w:tcBorders>
            <w:shd w:val="clear" w:color="auto" w:fill="BFE4FF"/>
          </w:tcPr>
          <w:p>
            <w:pPr>
              <w:spacing w:after="0"/>
              <w:rPr>
                <w:sz w:val="15"/>
                <w:szCs w:val="15"/>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(34,891)</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(55,902)</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79,316</w:t>
            </w:r>
          </w:p>
        </w:tc>
      </w:tr>
      <w:tr>
        <w:trPr>
          <w:trHeight w:val="170"/>
        </w:trPr>
        <w:tc>
          <w:tcPr>
            <w:tcW w:w="6320" w:type="dxa"/>
            <w:vAlign w:val="bottom"/>
          </w:tcPr>
          <w:p>
            <w:pPr>
              <w:ind w:left="360"/>
              <w:spacing w:after="0" w:line="159" w:lineRule="exact"/>
              <w:rPr>
                <w:sz w:val="20"/>
                <w:szCs w:val="20"/>
                <w:color w:val="auto"/>
              </w:rPr>
            </w:pPr>
            <w:r>
              <w:rPr>
                <w:rFonts w:ascii="Arial" w:cs="Arial" w:eastAsia="Arial" w:hAnsi="Arial"/>
                <w:sz w:val="14"/>
                <w:szCs w:val="14"/>
                <w:color w:val="auto"/>
              </w:rPr>
              <w:t>Net income (loss) from continuing operations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(5,597,121)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(6,625,779)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(9,211,688)</w:t>
            </w:r>
          </w:p>
        </w:tc>
      </w:tr>
      <w:tr>
        <w:trPr>
          <w:trHeight w:val="179"/>
        </w:trPr>
        <w:tc>
          <w:tcPr>
            <w:tcW w:w="6320" w:type="dxa"/>
            <w:vAlign w:val="bottom"/>
            <w:shd w:val="clear" w:color="auto" w:fill="BFE4FF"/>
          </w:tcPr>
          <w:p>
            <w:pPr>
              <w:ind w:left="360"/>
              <w:spacing w:after="0"/>
              <w:rPr>
                <w:sz w:val="20"/>
                <w:szCs w:val="20"/>
                <w:color w:val="auto"/>
              </w:rPr>
            </w:pPr>
            <w:r>
              <w:rPr>
                <w:rFonts w:ascii="Arial" w:cs="Arial" w:eastAsia="Arial" w:hAnsi="Arial"/>
                <w:sz w:val="14"/>
                <w:szCs w:val="14"/>
                <w:color w:val="auto"/>
              </w:rPr>
              <w:t>Discontinued operations net of tax</w:t>
            </w:r>
          </w:p>
        </w:tc>
        <w:tc>
          <w:tcPr>
            <w:tcW w:w="380" w:type="dxa"/>
            <w:vAlign w:val="bottom"/>
            <w:tcBorders>
              <w:bottom w:val="single" w:sz="8" w:color="auto"/>
            </w:tcBorders>
            <w:shd w:val="clear" w:color="auto" w:fill="BFE4FF"/>
          </w:tcPr>
          <w:p>
            <w:pPr>
              <w:spacing w:after="0"/>
              <w:rPr>
                <w:sz w:val="15"/>
                <w:szCs w:val="15"/>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1,994,322</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3,206,875</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5,665,177</w:t>
            </w:r>
          </w:p>
        </w:tc>
      </w:tr>
      <w:tr>
        <w:trPr>
          <w:trHeight w:val="170"/>
        </w:trPr>
        <w:tc>
          <w:tcPr>
            <w:tcW w:w="6320" w:type="dxa"/>
            <w:vAlign w:val="bottom"/>
          </w:tcPr>
          <w:p>
            <w:pPr>
              <w:ind w:left="360"/>
              <w:spacing w:after="0" w:line="159" w:lineRule="exact"/>
              <w:rPr>
                <w:sz w:val="20"/>
                <w:szCs w:val="20"/>
                <w:color w:val="auto"/>
              </w:rPr>
            </w:pPr>
            <w:r>
              <w:rPr>
                <w:rFonts w:ascii="Arial" w:cs="Arial" w:eastAsia="Arial" w:hAnsi="Arial"/>
                <w:sz w:val="14"/>
                <w:szCs w:val="14"/>
                <w:color w:val="auto"/>
              </w:rPr>
              <w:t>Net income (loss)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(3,602,799)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(3,418,904)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(3,546,511)</w:t>
            </w:r>
          </w:p>
        </w:tc>
      </w:tr>
      <w:tr>
        <w:trPr>
          <w:trHeight w:val="179"/>
        </w:trPr>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Net loss at subsidiary attributable to noncontrolling interests</w:t>
            </w:r>
          </w:p>
        </w:tc>
        <w:tc>
          <w:tcPr>
            <w:tcW w:w="380" w:type="dxa"/>
            <w:vAlign w:val="bottom"/>
            <w:tcBorders>
              <w:bottom w:val="single" w:sz="8" w:color="auto"/>
            </w:tcBorders>
            <w:shd w:val="clear" w:color="auto" w:fill="BFE4FF"/>
          </w:tcPr>
          <w:p>
            <w:pPr>
              <w:spacing w:after="0"/>
              <w:rPr>
                <w:sz w:val="15"/>
                <w:szCs w:val="15"/>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95,212</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79,496</w:t>
            </w:r>
          </w:p>
        </w:tc>
        <w:tc>
          <w:tcPr>
            <w:tcW w:w="140" w:type="dxa"/>
            <w:vAlign w:val="bottom"/>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spacing w:after="0"/>
              <w:rPr>
                <w:sz w:val="15"/>
                <w:szCs w:val="15"/>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8,752</w:t>
            </w:r>
          </w:p>
        </w:tc>
      </w:tr>
      <w:tr>
        <w:trPr>
          <w:trHeight w:val="170"/>
        </w:trPr>
        <w:tc>
          <w:tcPr>
            <w:tcW w:w="6320" w:type="dxa"/>
            <w:vAlign w:val="bottom"/>
          </w:tcPr>
          <w:p>
            <w:pPr>
              <w:ind w:left="360"/>
              <w:spacing w:after="0" w:line="159" w:lineRule="exact"/>
              <w:rPr>
                <w:sz w:val="20"/>
                <w:szCs w:val="20"/>
                <w:color w:val="auto"/>
              </w:rPr>
            </w:pPr>
            <w:r>
              <w:rPr>
                <w:rFonts w:ascii="Arial" w:cs="Arial" w:eastAsia="Arial" w:hAnsi="Arial"/>
                <w:sz w:val="14"/>
                <w:szCs w:val="14"/>
                <w:color w:val="auto"/>
              </w:rPr>
              <w:t>Net income (loss) attributable to common shareholders</w:t>
            </w: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(3,507,587)</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(3,339,408)</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(3,537,759)</w:t>
            </w:r>
          </w:p>
        </w:tc>
      </w:tr>
      <w:tr>
        <w:trPr>
          <w:trHeight w:val="20"/>
        </w:trPr>
        <w:tc>
          <w:tcPr>
            <w:tcW w:w="632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7"/>
        </w:trPr>
        <w:tc>
          <w:tcPr>
            <w:tcW w:w="6320" w:type="dxa"/>
            <w:vAlign w:val="bottom"/>
            <w:shd w:val="clear" w:color="auto" w:fill="BFE4FF"/>
          </w:tcPr>
          <w:p>
            <w:pPr>
              <w:spacing w:after="0"/>
              <w:rPr>
                <w:sz w:val="6"/>
                <w:szCs w:val="6"/>
                <w:color w:val="auto"/>
              </w:rPr>
            </w:pPr>
          </w:p>
        </w:tc>
        <w:tc>
          <w:tcPr>
            <w:tcW w:w="380" w:type="dxa"/>
            <w:vAlign w:val="bottom"/>
            <w:shd w:val="clear" w:color="auto" w:fill="BFE4FF"/>
          </w:tcPr>
          <w:p>
            <w:pPr>
              <w:spacing w:after="0"/>
              <w:rPr>
                <w:sz w:val="6"/>
                <w:szCs w:val="6"/>
                <w:color w:val="auto"/>
              </w:rPr>
            </w:pPr>
          </w:p>
        </w:tc>
        <w:tc>
          <w:tcPr>
            <w:tcW w:w="118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360" w:type="dxa"/>
            <w:vAlign w:val="bottom"/>
            <w:shd w:val="clear" w:color="auto" w:fill="BFE4FF"/>
          </w:tcPr>
          <w:p>
            <w:pPr>
              <w:spacing w:after="0"/>
              <w:rPr>
                <w:sz w:val="6"/>
                <w:szCs w:val="6"/>
                <w:color w:val="auto"/>
              </w:rPr>
            </w:pPr>
          </w:p>
        </w:tc>
        <w:tc>
          <w:tcPr>
            <w:tcW w:w="12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360" w:type="dxa"/>
            <w:vAlign w:val="bottom"/>
            <w:shd w:val="clear" w:color="auto" w:fill="BFE4FF"/>
          </w:tcPr>
          <w:p>
            <w:pPr>
              <w:spacing w:after="0"/>
              <w:rPr>
                <w:sz w:val="6"/>
                <w:szCs w:val="6"/>
                <w:color w:val="auto"/>
              </w:rPr>
            </w:pPr>
          </w:p>
        </w:tc>
        <w:tc>
          <w:tcPr>
            <w:tcW w:w="1200" w:type="dxa"/>
            <w:vAlign w:val="bottom"/>
            <w:shd w:val="clear" w:color="auto" w:fill="BFE4FF"/>
          </w:tcPr>
          <w:p>
            <w:pPr>
              <w:spacing w:after="0"/>
              <w:rPr>
                <w:sz w:val="6"/>
                <w:szCs w:val="6"/>
                <w:color w:val="auto"/>
              </w:rPr>
            </w:pPr>
          </w:p>
        </w:tc>
      </w:tr>
      <w:tr>
        <w:trPr>
          <w:trHeight w:val="179"/>
        </w:trPr>
        <w:tc>
          <w:tcPr>
            <w:tcW w:w="6320" w:type="dxa"/>
            <w:vAlign w:val="bottom"/>
          </w:tcPr>
          <w:p>
            <w:pPr>
              <w:ind w:left="20"/>
              <w:spacing w:after="0"/>
              <w:rPr>
                <w:sz w:val="20"/>
                <w:szCs w:val="20"/>
                <w:color w:val="auto"/>
              </w:rPr>
            </w:pPr>
            <w:r>
              <w:rPr>
                <w:rFonts w:ascii="Arial" w:cs="Arial" w:eastAsia="Arial" w:hAnsi="Arial"/>
                <w:sz w:val="14"/>
                <w:szCs w:val="14"/>
                <w:color w:val="auto"/>
              </w:rPr>
              <w:t>Earnings (loss) per share attributable to common shareholders: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6320" w:type="dxa"/>
            <w:vAlign w:val="bottom"/>
            <w:shd w:val="clear" w:color="auto" w:fill="BFE4FF"/>
          </w:tcPr>
          <w:p>
            <w:pPr>
              <w:ind w:left="360"/>
              <w:spacing w:after="0"/>
              <w:rPr>
                <w:sz w:val="20"/>
                <w:szCs w:val="20"/>
                <w:color w:val="auto"/>
              </w:rPr>
            </w:pPr>
            <w:r>
              <w:rPr>
                <w:rFonts w:ascii="Arial" w:cs="Arial" w:eastAsia="Arial" w:hAnsi="Arial"/>
                <w:sz w:val="14"/>
                <w:szCs w:val="14"/>
                <w:color w:val="auto"/>
              </w:rPr>
              <w:t>-Continuing operations-basic</w:t>
            </w:r>
          </w:p>
        </w:tc>
        <w:tc>
          <w:tcPr>
            <w:tcW w:w="380" w:type="dxa"/>
            <w:vAlign w:val="bottom"/>
            <w:shd w:val="clear" w:color="auto" w:fill="BFE4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(0.37)</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(0.43)</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(0.60)</w:t>
            </w:r>
          </w:p>
        </w:tc>
      </w:tr>
      <w:tr>
        <w:trPr>
          <w:trHeight w:val="179"/>
        </w:trPr>
        <w:tc>
          <w:tcPr>
            <w:tcW w:w="6320" w:type="dxa"/>
            <w:vAlign w:val="bottom"/>
            <w:tcBorders>
              <w:bottom w:val="single" w:sz="8" w:color="BFE4FF"/>
            </w:tcBorders>
          </w:tcPr>
          <w:p>
            <w:pPr>
              <w:ind w:left="360"/>
              <w:spacing w:after="0"/>
              <w:rPr>
                <w:sz w:val="20"/>
                <w:szCs w:val="20"/>
                <w:color w:val="auto"/>
              </w:rPr>
            </w:pPr>
            <w:r>
              <w:rPr>
                <w:rFonts w:ascii="Arial" w:cs="Arial" w:eastAsia="Arial" w:hAnsi="Arial"/>
                <w:sz w:val="14"/>
                <w:szCs w:val="14"/>
                <w:color w:val="auto"/>
              </w:rPr>
              <w:t>-Discontinued operations-basic</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40" w:type="dxa"/>
            <w:vAlign w:val="bottom"/>
            <w:tcBorders>
              <w:bottom w:val="single" w:sz="8" w:color="BFE4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Borders>
              <w:bottom w:val="single" w:sz="8" w:color="BFE4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r>
      <w:tr>
        <w:trPr>
          <w:trHeight w:val="170"/>
        </w:trPr>
        <w:tc>
          <w:tcPr>
            <w:tcW w:w="6320" w:type="dxa"/>
            <w:vAlign w:val="bottom"/>
            <w:shd w:val="clear" w:color="auto" w:fill="BFE4FF"/>
          </w:tcPr>
          <w:p>
            <w:pPr>
              <w:ind w:left="360"/>
              <w:spacing w:after="0" w:line="159" w:lineRule="exact"/>
              <w:rPr>
                <w:sz w:val="20"/>
                <w:szCs w:val="20"/>
                <w:color w:val="auto"/>
              </w:rPr>
            </w:pPr>
            <w:r>
              <w:rPr>
                <w:rFonts w:ascii="Arial" w:cs="Arial" w:eastAsia="Arial" w:hAnsi="Arial"/>
                <w:sz w:val="14"/>
                <w:szCs w:val="14"/>
                <w:color w:val="auto"/>
              </w:rPr>
              <w:t>Basic</w:t>
            </w:r>
          </w:p>
        </w:tc>
        <w:tc>
          <w:tcPr>
            <w:tcW w:w="380" w:type="dxa"/>
            <w:vAlign w:val="bottom"/>
            <w:shd w:val="clear" w:color="auto" w:fill="BFE4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(0.24)</w:t>
            </w:r>
          </w:p>
        </w:tc>
        <w:tc>
          <w:tcPr>
            <w:tcW w:w="140" w:type="dxa"/>
            <w:vAlign w:val="bottom"/>
            <w:shd w:val="clear" w:color="auto" w:fill="BFE4FF"/>
          </w:tcPr>
          <w:p>
            <w:pPr>
              <w:spacing w:after="0"/>
              <w:rPr>
                <w:sz w:val="14"/>
                <w:szCs w:val="14"/>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(0.22)</w:t>
            </w:r>
          </w:p>
        </w:tc>
        <w:tc>
          <w:tcPr>
            <w:tcW w:w="140" w:type="dxa"/>
            <w:vAlign w:val="bottom"/>
            <w:shd w:val="clear" w:color="auto" w:fill="BFE4FF"/>
          </w:tcPr>
          <w:p>
            <w:pPr>
              <w:spacing w:after="0"/>
              <w:rPr>
                <w:sz w:val="14"/>
                <w:szCs w:val="14"/>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(0.23)</w:t>
            </w:r>
          </w:p>
        </w:tc>
      </w:tr>
      <w:tr>
        <w:trPr>
          <w:trHeight w:val="116"/>
        </w:trPr>
        <w:tc>
          <w:tcPr>
            <w:tcW w:w="6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9"/>
        </w:trPr>
        <w:tc>
          <w:tcPr>
            <w:tcW w:w="6320" w:type="dxa"/>
            <w:vAlign w:val="bottom"/>
            <w:shd w:val="clear" w:color="auto" w:fill="BFE4FF"/>
          </w:tcPr>
          <w:p>
            <w:pPr>
              <w:ind w:left="360"/>
              <w:spacing w:after="0"/>
              <w:rPr>
                <w:sz w:val="20"/>
                <w:szCs w:val="20"/>
                <w:color w:val="auto"/>
              </w:rPr>
            </w:pPr>
            <w:r>
              <w:rPr>
                <w:rFonts w:ascii="Arial" w:cs="Arial" w:eastAsia="Arial" w:hAnsi="Arial"/>
                <w:sz w:val="14"/>
                <w:szCs w:val="14"/>
                <w:color w:val="auto"/>
              </w:rPr>
              <w:t>-Continuing operations-diluted</w:t>
            </w:r>
          </w:p>
        </w:tc>
        <w:tc>
          <w:tcPr>
            <w:tcW w:w="380" w:type="dxa"/>
            <w:vAlign w:val="bottom"/>
            <w:shd w:val="clear" w:color="auto" w:fill="BFE4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(0.37)</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(0.43)</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(0.60)</w:t>
            </w:r>
          </w:p>
        </w:tc>
      </w:tr>
      <w:tr>
        <w:trPr>
          <w:trHeight w:val="179"/>
        </w:trPr>
        <w:tc>
          <w:tcPr>
            <w:tcW w:w="6320" w:type="dxa"/>
            <w:vAlign w:val="bottom"/>
            <w:tcBorders>
              <w:bottom w:val="single" w:sz="8" w:color="BFE4FF"/>
            </w:tcBorders>
          </w:tcPr>
          <w:p>
            <w:pPr>
              <w:ind w:left="360"/>
              <w:spacing w:after="0"/>
              <w:rPr>
                <w:sz w:val="20"/>
                <w:szCs w:val="20"/>
                <w:color w:val="auto"/>
              </w:rPr>
            </w:pPr>
            <w:r>
              <w:rPr>
                <w:rFonts w:ascii="Arial" w:cs="Arial" w:eastAsia="Arial" w:hAnsi="Arial"/>
                <w:sz w:val="14"/>
                <w:szCs w:val="14"/>
                <w:color w:val="auto"/>
              </w:rPr>
              <w:t>-Discontinued operations-diluted</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40" w:type="dxa"/>
            <w:vAlign w:val="bottom"/>
            <w:tcBorders>
              <w:bottom w:val="single" w:sz="8" w:color="BFE4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Borders>
              <w:bottom w:val="single" w:sz="8" w:color="BFE4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r>
      <w:tr>
        <w:trPr>
          <w:trHeight w:val="170"/>
        </w:trPr>
        <w:tc>
          <w:tcPr>
            <w:tcW w:w="6320" w:type="dxa"/>
            <w:vAlign w:val="bottom"/>
            <w:shd w:val="clear" w:color="auto" w:fill="BFE4FF"/>
          </w:tcPr>
          <w:p>
            <w:pPr>
              <w:ind w:left="360"/>
              <w:spacing w:after="0" w:line="159" w:lineRule="exact"/>
              <w:rPr>
                <w:sz w:val="20"/>
                <w:szCs w:val="20"/>
                <w:color w:val="auto"/>
              </w:rPr>
            </w:pPr>
            <w:r>
              <w:rPr>
                <w:rFonts w:ascii="Arial" w:cs="Arial" w:eastAsia="Arial" w:hAnsi="Arial"/>
                <w:sz w:val="14"/>
                <w:szCs w:val="14"/>
                <w:color w:val="auto"/>
              </w:rPr>
              <w:t>Diluted</w:t>
            </w:r>
          </w:p>
        </w:tc>
        <w:tc>
          <w:tcPr>
            <w:tcW w:w="380" w:type="dxa"/>
            <w:vAlign w:val="bottom"/>
            <w:shd w:val="clear" w:color="auto" w:fill="BFE4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(0.24)</w:t>
            </w:r>
          </w:p>
        </w:tc>
        <w:tc>
          <w:tcPr>
            <w:tcW w:w="140" w:type="dxa"/>
            <w:vAlign w:val="bottom"/>
            <w:shd w:val="clear" w:color="auto" w:fill="BFE4FF"/>
          </w:tcPr>
          <w:p>
            <w:pPr>
              <w:spacing w:after="0"/>
              <w:rPr>
                <w:sz w:val="14"/>
                <w:szCs w:val="14"/>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(0.22)</w:t>
            </w:r>
          </w:p>
        </w:tc>
        <w:tc>
          <w:tcPr>
            <w:tcW w:w="140" w:type="dxa"/>
            <w:vAlign w:val="bottom"/>
            <w:shd w:val="clear" w:color="auto" w:fill="BFE4FF"/>
          </w:tcPr>
          <w:p>
            <w:pPr>
              <w:spacing w:after="0"/>
              <w:rPr>
                <w:sz w:val="14"/>
                <w:szCs w:val="14"/>
                <w:color w:val="auto"/>
              </w:rPr>
            </w:pPr>
          </w:p>
        </w:tc>
        <w:tc>
          <w:tcPr>
            <w:tcW w:w="360" w:type="dxa"/>
            <w:vAlign w:val="bottom"/>
            <w:shd w:val="clear" w:color="auto" w:fill="BFE4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(0.23)</w:t>
            </w:r>
          </w:p>
        </w:tc>
      </w:tr>
      <w:tr>
        <w:trPr>
          <w:trHeight w:val="179"/>
        </w:trPr>
        <w:tc>
          <w:tcPr>
            <w:tcW w:w="632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6320" w:type="dxa"/>
            <w:vAlign w:val="bottom"/>
            <w:shd w:val="clear" w:color="auto" w:fill="BFE4FF"/>
          </w:tcPr>
          <w:p>
            <w:pPr>
              <w:ind w:left="360"/>
              <w:spacing w:after="0"/>
              <w:rPr>
                <w:sz w:val="20"/>
                <w:szCs w:val="20"/>
                <w:color w:val="auto"/>
              </w:rPr>
            </w:pPr>
            <w:r>
              <w:rPr>
                <w:rFonts w:ascii="Arial" w:cs="Arial" w:eastAsia="Arial" w:hAnsi="Arial"/>
                <w:sz w:val="14"/>
                <w:szCs w:val="14"/>
                <w:color w:val="auto"/>
              </w:rPr>
              <w:t>Basic</w:t>
            </w:r>
          </w:p>
        </w:tc>
        <w:tc>
          <w:tcPr>
            <w:tcW w:w="380" w:type="dxa"/>
            <w:vAlign w:val="bottom"/>
            <w:shd w:val="clear" w:color="auto" w:fill="BFE4FF"/>
          </w:tcPr>
          <w:p>
            <w:pPr>
              <w:spacing w:after="0"/>
              <w:rPr>
                <w:sz w:val="15"/>
                <w:szCs w:val="15"/>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14,904,834</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15,162,184</w:t>
            </w:r>
          </w:p>
        </w:tc>
        <w:tc>
          <w:tcPr>
            <w:tcW w:w="14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15,396,098</w:t>
            </w:r>
          </w:p>
        </w:tc>
      </w:tr>
      <w:tr>
        <w:trPr>
          <w:trHeight w:val="179"/>
        </w:trPr>
        <w:tc>
          <w:tcPr>
            <w:tcW w:w="6320" w:type="dxa"/>
            <w:vAlign w:val="bottom"/>
          </w:tcPr>
          <w:p>
            <w:pPr>
              <w:ind w:left="36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14,904,834</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15,162,184</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15,396,098</w:t>
            </w:r>
          </w:p>
        </w:tc>
      </w:tr>
      <w:tr>
        <w:trPr>
          <w:trHeight w:val="20"/>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89"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Cash Flows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Years ended December 31, 2021,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9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9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90"/>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4"/>
                <w:szCs w:val="14"/>
                <w:color w:val="auto"/>
              </w:rPr>
            </w:pPr>
          </w:p>
        </w:tc>
      </w:tr>
      <w:tr>
        <w:trPr>
          <w:trHeight w:val="181"/>
        </w:trPr>
        <w:tc>
          <w:tcPr>
            <w:tcW w:w="220" w:type="dxa"/>
            <w:vAlign w:val="bottom"/>
          </w:tcPr>
          <w:p>
            <w:pPr>
              <w:spacing w:after="0"/>
              <w:rPr>
                <w:sz w:val="15"/>
                <w:szCs w:val="15"/>
                <w:color w:val="auto"/>
              </w:rPr>
            </w:pPr>
          </w:p>
        </w:tc>
        <w:tc>
          <w:tcPr>
            <w:tcW w:w="6440" w:type="dxa"/>
            <w:vAlign w:val="bottom"/>
            <w:shd w:val="clear" w:color="auto" w:fill="BFE4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(3,602,799)</w:t>
            </w:r>
          </w:p>
        </w:tc>
        <w:tc>
          <w:tcPr>
            <w:tcW w:w="14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(3,418,904)</w:t>
            </w:r>
          </w:p>
        </w:tc>
        <w:tc>
          <w:tcPr>
            <w:tcW w:w="12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(3,546,511)</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shd w:val="clear" w:color="auto" w:fill="BFE4FF"/>
          </w:tcPr>
          <w:p>
            <w:pPr>
              <w:spacing w:after="0"/>
              <w:rPr>
                <w:sz w:val="15"/>
                <w:szCs w:val="15"/>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1,994,322</w:t>
            </w:r>
          </w:p>
        </w:tc>
        <w:tc>
          <w:tcPr>
            <w:tcW w:w="14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3,206,875</w:t>
            </w:r>
          </w:p>
        </w:tc>
        <w:tc>
          <w:tcPr>
            <w:tcW w:w="12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5,665,177</w:t>
            </w:r>
          </w:p>
        </w:tc>
        <w:tc>
          <w:tcPr>
            <w:tcW w:w="220" w:type="dxa"/>
            <w:vAlign w:val="bottom"/>
          </w:tcPr>
          <w:p>
            <w:pPr>
              <w:spacing w:after="0"/>
              <w:rPr>
                <w:sz w:val="15"/>
                <w:szCs w:val="15"/>
                <w:color w:val="auto"/>
              </w:rPr>
            </w:pPr>
          </w:p>
        </w:tc>
      </w:tr>
      <w:tr>
        <w:trPr>
          <w:trHeight w:val="170"/>
        </w:trPr>
        <w:tc>
          <w:tcPr>
            <w:tcW w:w="220" w:type="dxa"/>
            <w:vAlign w:val="bottom"/>
          </w:tcPr>
          <w:p>
            <w:pPr>
              <w:spacing w:after="0"/>
              <w:rPr>
                <w:sz w:val="14"/>
                <w:szCs w:val="14"/>
                <w:color w:val="auto"/>
              </w:rPr>
            </w:pPr>
          </w:p>
        </w:tc>
        <w:tc>
          <w:tcPr>
            <w:tcW w:w="6440" w:type="dxa"/>
            <w:vAlign w:val="bottom"/>
          </w:tcPr>
          <w:p>
            <w:pPr>
              <w:ind w:left="180"/>
              <w:spacing w:after="0" w:line="159" w:lineRule="exact"/>
              <w:rPr>
                <w:sz w:val="20"/>
                <w:szCs w:val="20"/>
                <w:color w:val="auto"/>
              </w:rPr>
            </w:pPr>
            <w:r>
              <w:rPr>
                <w:rFonts w:ascii="Arial" w:cs="Arial" w:eastAsia="Arial" w:hAnsi="Arial"/>
                <w:sz w:val="14"/>
                <w:szCs w:val="14"/>
                <w:color w:val="auto"/>
              </w:rPr>
              <w:t>Net income (loss) from continuing operations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(5,597,121)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(6,625,779)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(9,211,688)</w:t>
            </w:r>
          </w:p>
        </w:tc>
        <w:tc>
          <w:tcPr>
            <w:tcW w:w="220" w:type="dxa"/>
            <w:vAlign w:val="bottom"/>
          </w:tcPr>
          <w:p>
            <w:pPr>
              <w:spacing w:after="0"/>
              <w:rPr>
                <w:sz w:val="14"/>
                <w:szCs w:val="14"/>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Adjustments to reconcile net income (loss) to net cash flows provided by operating activities:</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36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4,606,366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4,748,565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4,404,175</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360"/>
              <w:spacing w:after="0"/>
              <w:rPr>
                <w:sz w:val="20"/>
                <w:szCs w:val="20"/>
                <w:color w:val="auto"/>
              </w:rPr>
            </w:pPr>
            <w:r>
              <w:rPr>
                <w:rFonts w:ascii="Arial" w:cs="Arial" w:eastAsia="Arial" w:hAnsi="Arial"/>
                <w:sz w:val="14"/>
                <w:szCs w:val="14"/>
                <w:color w:val="auto"/>
              </w:rPr>
              <w:t>Deferred tax expense</w:t>
            </w:r>
          </w:p>
        </w:tc>
        <w:tc>
          <w:tcPr>
            <w:tcW w:w="3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21,802</w:t>
            </w: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65,408</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360"/>
              <w:spacing w:after="0"/>
              <w:rPr>
                <w:sz w:val="20"/>
                <w:szCs w:val="20"/>
                <w:color w:val="auto"/>
              </w:rPr>
            </w:pPr>
            <w:r>
              <w:rPr>
                <w:rFonts w:ascii="Arial" w:cs="Arial" w:eastAsia="Arial" w:hAnsi="Arial"/>
                <w:sz w:val="14"/>
                <w:szCs w:val="14"/>
                <w:color w:val="auto"/>
              </w:rPr>
              <w:t>Share-based compensation</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741,867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1,046,516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1,485,898</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360"/>
              <w:spacing w:after="0"/>
              <w:rPr>
                <w:sz w:val="20"/>
                <w:szCs w:val="20"/>
                <w:color w:val="auto"/>
              </w:rPr>
            </w:pPr>
            <w:r>
              <w:rPr>
                <w:rFonts w:ascii="Arial" w:cs="Arial" w:eastAsia="Arial" w:hAnsi="Arial"/>
                <w:sz w:val="14"/>
                <w:szCs w:val="14"/>
                <w:color w:val="auto"/>
              </w:rPr>
              <w:t>Decrease in non-cash contingent consideration</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(1,147,750)</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(1,160,202)</w:t>
            </w: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(804,167)</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360"/>
              <w:spacing w:after="0"/>
              <w:rPr>
                <w:sz w:val="20"/>
                <w:szCs w:val="20"/>
                <w:color w:val="auto"/>
              </w:rPr>
            </w:pPr>
            <w:r>
              <w:rPr>
                <w:rFonts w:ascii="Arial" w:cs="Arial" w:eastAsia="Arial" w:hAnsi="Arial"/>
                <w:sz w:val="14"/>
                <w:szCs w:val="14"/>
                <w:color w:val="auto"/>
              </w:rPr>
              <w:t>Write off of deferred offering costs</w:t>
            </w: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440,091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360"/>
              <w:spacing w:after="0"/>
              <w:rPr>
                <w:sz w:val="20"/>
                <w:szCs w:val="20"/>
                <w:color w:val="auto"/>
              </w:rPr>
            </w:pPr>
            <w:r>
              <w:rPr>
                <w:rFonts w:ascii="Arial" w:cs="Arial" w:eastAsia="Arial" w:hAnsi="Arial"/>
                <w:sz w:val="14"/>
                <w:szCs w:val="14"/>
                <w:color w:val="auto"/>
              </w:rPr>
              <w:t>Increase in cash surrender value of life insurance policies over premiums paid</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(282,207)</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(154,611)</w:t>
            </w: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34,053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47,636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47,525</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360"/>
              <w:spacing w:after="0"/>
              <w:rPr>
                <w:sz w:val="20"/>
                <w:szCs w:val="20"/>
                <w:color w:val="auto"/>
              </w:rPr>
            </w:pPr>
            <w:r>
              <w:rPr>
                <w:rFonts w:ascii="Arial" w:cs="Arial" w:eastAsia="Arial" w:hAnsi="Arial"/>
                <w:sz w:val="14"/>
                <w:szCs w:val="14"/>
                <w:color w:val="auto"/>
              </w:rPr>
              <w:t>Noncash investment gains</w:t>
            </w:r>
          </w:p>
        </w:tc>
        <w:tc>
          <w:tcPr>
            <w:tcW w:w="3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(26,315)</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360"/>
              <w:spacing w:after="0"/>
              <w:rPr>
                <w:sz w:val="20"/>
                <w:szCs w:val="20"/>
                <w:color w:val="auto"/>
              </w:rPr>
            </w:pPr>
            <w:r>
              <w:rPr>
                <w:rFonts w:ascii="Arial" w:cs="Arial" w:eastAsia="Arial" w:hAnsi="Arial"/>
                <w:sz w:val="14"/>
                <w:szCs w:val="14"/>
                <w:color w:val="auto"/>
              </w:rPr>
              <w:t>Gain on forgiveness of debt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(2,187,140)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360"/>
              <w:spacing w:after="0"/>
              <w:rPr>
                <w:sz w:val="20"/>
                <w:szCs w:val="20"/>
                <w:color w:val="auto"/>
              </w:rPr>
            </w:pPr>
            <w:r>
              <w:rPr>
                <w:rFonts w:ascii="Arial" w:cs="Arial" w:eastAsia="Arial" w:hAnsi="Arial"/>
                <w:sz w:val="14"/>
                <w:szCs w:val="14"/>
                <w:color w:val="auto"/>
              </w:rPr>
              <w:t>Net changes in assets and liabilities affecting operating activities:</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5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5,500,367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(4,518,707)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(1,399,012)</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52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4,816,450</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2,131,347</w:t>
            </w: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1,106,175</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520"/>
              <w:spacing w:after="0"/>
              <w:rPr>
                <w:sz w:val="20"/>
                <w:szCs w:val="20"/>
                <w:color w:val="auto"/>
              </w:rPr>
            </w:pPr>
            <w:r>
              <w:rPr>
                <w:rFonts w:ascii="Arial" w:cs="Arial" w:eastAsia="Arial" w:hAnsi="Arial"/>
                <w:sz w:val="14"/>
                <w:szCs w:val="14"/>
                <w:color w:val="auto"/>
              </w:rPr>
              <w:t>Other current assets and other assets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(35,568)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1,210,489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(615,199)</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520"/>
              <w:spacing w:after="0"/>
              <w:rPr>
                <w:sz w:val="20"/>
                <w:szCs w:val="20"/>
                <w:color w:val="auto"/>
              </w:rPr>
            </w:pPr>
            <w:r>
              <w:rPr>
                <w:rFonts w:ascii="Arial" w:cs="Arial" w:eastAsia="Arial" w:hAnsi="Arial"/>
                <w:sz w:val="14"/>
                <w:szCs w:val="14"/>
                <w:color w:val="auto"/>
              </w:rPr>
              <w:t>Accounts payable and other current liabilities</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(757,591)</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6,569,002</w:t>
            </w: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3,221,780</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Borders>
              <w:bottom w:val="single" w:sz="8" w:color="BFE4FF"/>
            </w:tcBorders>
          </w:tcPr>
          <w:p>
            <w:pPr>
              <w:ind w:left="52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(1,343,605)</w:t>
            </w:r>
          </w:p>
        </w:tc>
        <w:tc>
          <w:tcPr>
            <w:tcW w:w="14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(1,859,330)</w:t>
            </w:r>
          </w:p>
        </w:tc>
        <w:tc>
          <w:tcPr>
            <w:tcW w:w="12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(729,820)</w:t>
            </w:r>
          </w:p>
        </w:tc>
        <w:tc>
          <w:tcPr>
            <w:tcW w:w="220" w:type="dxa"/>
            <w:vAlign w:val="bottom"/>
          </w:tcPr>
          <w:p>
            <w:pPr>
              <w:spacing w:after="0"/>
              <w:rPr>
                <w:sz w:val="15"/>
                <w:szCs w:val="15"/>
                <w:color w:val="auto"/>
              </w:rPr>
            </w:pPr>
          </w:p>
        </w:tc>
      </w:tr>
      <w:tr>
        <w:trPr>
          <w:trHeight w:val="170"/>
        </w:trPr>
        <w:tc>
          <w:tcPr>
            <w:tcW w:w="220" w:type="dxa"/>
            <w:vAlign w:val="bottom"/>
          </w:tcPr>
          <w:p>
            <w:pPr>
              <w:spacing w:after="0"/>
              <w:rPr>
                <w:sz w:val="14"/>
                <w:szCs w:val="14"/>
                <w:color w:val="auto"/>
              </w:rPr>
            </w:pPr>
          </w:p>
        </w:tc>
        <w:tc>
          <w:tcPr>
            <w:tcW w:w="6440" w:type="dxa"/>
            <w:vAlign w:val="bottom"/>
            <w:shd w:val="clear" w:color="auto" w:fill="BFE4FF"/>
          </w:tcPr>
          <w:p>
            <w:pPr>
              <w:ind w:left="700"/>
              <w:spacing w:after="0" w:line="159" w:lineRule="exact"/>
              <w:rPr>
                <w:sz w:val="20"/>
                <w:szCs w:val="20"/>
                <w:color w:val="auto"/>
              </w:rPr>
            </w:pPr>
            <w:r>
              <w:rPr>
                <w:rFonts w:ascii="Arial" w:cs="Arial" w:eastAsia="Arial" w:hAnsi="Arial"/>
                <w:sz w:val="14"/>
                <w:szCs w:val="14"/>
                <w:color w:val="auto"/>
              </w:rPr>
              <w:t>Net cash provided by (used in) operating activities from continuing operations</w:t>
            </w:r>
          </w:p>
        </w:tc>
        <w:tc>
          <w:tcPr>
            <w:tcW w:w="340" w:type="dxa"/>
            <w:vAlign w:val="bottom"/>
            <w:shd w:val="clear" w:color="auto" w:fill="BFE4FF"/>
          </w:tcPr>
          <w:p>
            <w:pPr>
              <w:spacing w:after="0"/>
              <w:rPr>
                <w:sz w:val="14"/>
                <w:szCs w:val="14"/>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4,348,121</w:t>
            </w:r>
          </w:p>
        </w:tc>
        <w:tc>
          <w:tcPr>
            <w:tcW w:w="140" w:type="dxa"/>
            <w:vAlign w:val="bottom"/>
            <w:shd w:val="clear" w:color="auto" w:fill="BFE4FF"/>
          </w:tcPr>
          <w:p>
            <w:pPr>
              <w:spacing w:after="0"/>
              <w:rPr>
                <w:sz w:val="14"/>
                <w:szCs w:val="14"/>
                <w:color w:val="auto"/>
              </w:rPr>
            </w:pPr>
          </w:p>
        </w:tc>
        <w:tc>
          <w:tcPr>
            <w:tcW w:w="320" w:type="dxa"/>
            <w:vAlign w:val="bottom"/>
            <w:shd w:val="clear" w:color="auto" w:fill="BFE4FF"/>
          </w:tcPr>
          <w:p>
            <w:pPr>
              <w:spacing w:after="0"/>
              <w:rPr>
                <w:sz w:val="14"/>
                <w:szCs w:val="14"/>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1,896,819</w:t>
            </w:r>
          </w:p>
        </w:tc>
        <w:tc>
          <w:tcPr>
            <w:tcW w:w="120" w:type="dxa"/>
            <w:vAlign w:val="bottom"/>
            <w:shd w:val="clear" w:color="auto" w:fill="BFE4FF"/>
          </w:tcPr>
          <w:p>
            <w:pPr>
              <w:spacing w:after="0"/>
              <w:rPr>
                <w:sz w:val="14"/>
                <w:szCs w:val="14"/>
                <w:color w:val="auto"/>
              </w:rPr>
            </w:pPr>
          </w:p>
        </w:tc>
        <w:tc>
          <w:tcPr>
            <w:tcW w:w="320" w:type="dxa"/>
            <w:vAlign w:val="bottom"/>
            <w:shd w:val="clear" w:color="auto" w:fill="BFE4FF"/>
          </w:tcPr>
          <w:p>
            <w:pPr>
              <w:spacing w:after="0"/>
              <w:rPr>
                <w:sz w:val="14"/>
                <w:szCs w:val="14"/>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(2,455,240)</w:t>
            </w:r>
          </w:p>
        </w:tc>
        <w:tc>
          <w:tcPr>
            <w:tcW w:w="220" w:type="dxa"/>
            <w:vAlign w:val="bottom"/>
          </w:tcPr>
          <w:p>
            <w:pPr>
              <w:spacing w:after="0"/>
              <w:rPr>
                <w:sz w:val="14"/>
                <w:szCs w:val="14"/>
                <w:color w:val="auto"/>
              </w:rPr>
            </w:pPr>
          </w:p>
        </w:tc>
      </w:tr>
      <w:tr>
        <w:trPr>
          <w:trHeight w:val="179"/>
        </w:trPr>
        <w:tc>
          <w:tcPr>
            <w:tcW w:w="220" w:type="dxa"/>
            <w:vAlign w:val="bottom"/>
          </w:tcPr>
          <w:p>
            <w:pPr>
              <w:spacing w:after="0"/>
              <w:rPr>
                <w:sz w:val="15"/>
                <w:szCs w:val="15"/>
                <w:color w:val="auto"/>
              </w:rPr>
            </w:pPr>
          </w:p>
        </w:tc>
        <w:tc>
          <w:tcPr>
            <w:tcW w:w="6440" w:type="dxa"/>
            <w:vAlign w:val="bottom"/>
            <w:tcBorders>
              <w:bottom w:val="single" w:sz="8" w:color="BFE4FF"/>
            </w:tcBorders>
          </w:tcPr>
          <w:p>
            <w:pPr>
              <w:ind w:left="70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1,994,322</w:t>
            </w:r>
          </w:p>
        </w:tc>
        <w:tc>
          <w:tcPr>
            <w:tcW w:w="14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3,518,242</w:t>
            </w:r>
          </w:p>
        </w:tc>
        <w:tc>
          <w:tcPr>
            <w:tcW w:w="12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5,511,596</w:t>
            </w:r>
          </w:p>
        </w:tc>
        <w:tc>
          <w:tcPr>
            <w:tcW w:w="220" w:type="dxa"/>
            <w:vAlign w:val="bottom"/>
          </w:tcPr>
          <w:p>
            <w:pPr>
              <w:spacing w:after="0"/>
              <w:rPr>
                <w:sz w:val="15"/>
                <w:szCs w:val="15"/>
                <w:color w:val="auto"/>
              </w:rPr>
            </w:pPr>
          </w:p>
        </w:tc>
      </w:tr>
      <w:tr>
        <w:trPr>
          <w:trHeight w:val="170"/>
        </w:trPr>
        <w:tc>
          <w:tcPr>
            <w:tcW w:w="220" w:type="dxa"/>
            <w:vAlign w:val="bottom"/>
          </w:tcPr>
          <w:p>
            <w:pPr>
              <w:spacing w:after="0"/>
              <w:rPr>
                <w:sz w:val="14"/>
                <w:szCs w:val="14"/>
                <w:color w:val="auto"/>
              </w:rPr>
            </w:pPr>
          </w:p>
        </w:tc>
        <w:tc>
          <w:tcPr>
            <w:tcW w:w="6440" w:type="dxa"/>
            <w:vAlign w:val="bottom"/>
            <w:shd w:val="clear" w:color="auto" w:fill="BFE4FF"/>
          </w:tcPr>
          <w:p>
            <w:pPr>
              <w:ind w:left="700"/>
              <w:spacing w:after="0" w:line="159" w:lineRule="exact"/>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BFE4FF"/>
          </w:tcPr>
          <w:p>
            <w:pPr>
              <w:spacing w:after="0"/>
              <w:rPr>
                <w:sz w:val="14"/>
                <w:szCs w:val="14"/>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6,342,443</w:t>
            </w:r>
          </w:p>
        </w:tc>
        <w:tc>
          <w:tcPr>
            <w:tcW w:w="140" w:type="dxa"/>
            <w:vAlign w:val="bottom"/>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5,415,061</w:t>
            </w:r>
          </w:p>
        </w:tc>
        <w:tc>
          <w:tcPr>
            <w:tcW w:w="120" w:type="dxa"/>
            <w:vAlign w:val="bottom"/>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3,056,356</w:t>
            </w:r>
          </w:p>
        </w:tc>
        <w:tc>
          <w:tcPr>
            <w:tcW w:w="220" w:type="dxa"/>
            <w:vAlign w:val="bottom"/>
          </w:tcPr>
          <w:p>
            <w:pPr>
              <w:spacing w:after="0"/>
              <w:rPr>
                <w:sz w:val="14"/>
                <w:szCs w:val="14"/>
                <w:color w:val="auto"/>
              </w:rPr>
            </w:pPr>
          </w:p>
        </w:tc>
      </w:tr>
      <w:tr>
        <w:trPr>
          <w:trHeight w:val="159"/>
        </w:trPr>
        <w:tc>
          <w:tcPr>
            <w:tcW w:w="220" w:type="dxa"/>
            <w:vAlign w:val="bottom"/>
          </w:tcPr>
          <w:p>
            <w:pPr>
              <w:spacing w:after="0"/>
              <w:rPr>
                <w:sz w:val="13"/>
                <w:szCs w:val="13"/>
                <w:color w:val="auto"/>
              </w:rPr>
            </w:pPr>
          </w:p>
        </w:tc>
        <w:tc>
          <w:tcPr>
            <w:tcW w:w="6440" w:type="dxa"/>
            <w:vAlign w:val="bottom"/>
          </w:tcPr>
          <w:p>
            <w:pPr>
              <w:ind w:left="20"/>
              <w:spacing w:after="0" w:line="159" w:lineRule="exact"/>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Additions to property and equipment</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(103,532)</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(140,817)</w:t>
            </w: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(246,202)</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180"/>
              <w:spacing w:after="0"/>
              <w:rPr>
                <w:sz w:val="20"/>
                <w:szCs w:val="20"/>
                <w:color w:val="auto"/>
              </w:rPr>
            </w:pPr>
            <w:r>
              <w:rPr>
                <w:rFonts w:ascii="Arial" w:cs="Arial" w:eastAsia="Arial" w:hAnsi="Arial"/>
                <w:sz w:val="14"/>
                <w:szCs w:val="14"/>
                <w:color w:val="auto"/>
              </w:rPr>
              <w:t>Additions to intangible assets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(250,930)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(1,973,110)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(772,944)</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Proceeds from surrender of life insurance policies</w:t>
            </w:r>
          </w:p>
        </w:tc>
        <w:tc>
          <w:tcPr>
            <w:tcW w:w="34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85,944</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460,888</w:t>
            </w:r>
          </w:p>
        </w:tc>
        <w:tc>
          <w:tcPr>
            <w:tcW w:w="12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180"/>
              <w:spacing w:after="0"/>
              <w:rPr>
                <w:sz w:val="20"/>
                <w:szCs w:val="20"/>
                <w:color w:val="auto"/>
              </w:rPr>
            </w:pPr>
            <w:r>
              <w:rPr>
                <w:rFonts w:ascii="Arial" w:cs="Arial" w:eastAsia="Arial" w:hAnsi="Arial"/>
                <w:sz w:val="14"/>
                <w:szCs w:val="14"/>
                <w:color w:val="auto"/>
              </w:rPr>
              <w:t>Premiums paid for life insurance policies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(33,375)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(104,750)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Cash paid for acquisition</w:t>
            </w:r>
          </w:p>
        </w:tc>
        <w:tc>
          <w:tcPr>
            <w:tcW w:w="3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180"/>
              <w:spacing w:after="0"/>
              <w:rPr>
                <w:sz w:val="20"/>
                <w:szCs w:val="20"/>
                <w:color w:val="auto"/>
              </w:rPr>
            </w:pPr>
            <w:r>
              <w:rPr>
                <w:rFonts w:ascii="Arial" w:cs="Arial" w:eastAsia="Arial" w:hAnsi="Arial"/>
                <w:sz w:val="14"/>
                <w:szCs w:val="14"/>
                <w:color w:val="auto"/>
              </w:rPr>
              <w:t>Note receivable investment funding</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Proceeds from sale of marketable securities</w:t>
            </w:r>
          </w:p>
        </w:tc>
        <w:tc>
          <w:tcPr>
            <w:tcW w:w="34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20,062,132</w:t>
            </w:r>
          </w:p>
        </w:tc>
        <w:tc>
          <w:tcPr>
            <w:tcW w:w="220" w:type="dxa"/>
            <w:vAlign w:val="bottom"/>
          </w:tcPr>
          <w:p>
            <w:pPr>
              <w:spacing w:after="0"/>
              <w:rPr>
                <w:sz w:val="15"/>
                <w:szCs w:val="15"/>
                <w:color w:val="auto"/>
              </w:rPr>
            </w:pPr>
          </w:p>
        </w:tc>
      </w:tr>
      <w:tr>
        <w:trPr>
          <w:trHeight w:val="179"/>
        </w:trPr>
        <w:tc>
          <w:tcPr>
            <w:tcW w:w="220" w:type="dxa"/>
            <w:vAlign w:val="bottom"/>
          </w:tcPr>
          <w:p>
            <w:pPr>
              <w:spacing w:after="0"/>
              <w:rPr>
                <w:sz w:val="15"/>
                <w:szCs w:val="15"/>
                <w:color w:val="auto"/>
              </w:rPr>
            </w:pPr>
          </w:p>
        </w:tc>
        <w:tc>
          <w:tcPr>
            <w:tcW w:w="6440" w:type="dxa"/>
            <w:vAlign w:val="bottom"/>
          </w:tcPr>
          <w:p>
            <w:pPr>
              <w:ind w:left="180"/>
              <w:spacing w:after="0"/>
              <w:rPr>
                <w:sz w:val="20"/>
                <w:szCs w:val="20"/>
                <w:color w:val="auto"/>
              </w:rPr>
            </w:pPr>
            <w:r>
              <w:rPr>
                <w:rFonts w:ascii="Arial" w:cs="Arial" w:eastAsia="Arial" w:hAnsi="Arial"/>
                <w:sz w:val="14"/>
                <w:szCs w:val="14"/>
                <w:color w:val="auto"/>
              </w:rPr>
              <w:t>Purchases of marketable securities</w:t>
            </w: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(11,745,138)</w:t>
            </w:r>
          </w:p>
        </w:tc>
        <w:tc>
          <w:tcPr>
            <w:tcW w:w="220" w:type="dxa"/>
            <w:vAlign w:val="bottom"/>
          </w:tcPr>
          <w:p>
            <w:pPr>
              <w:spacing w:after="0"/>
              <w:rPr>
                <w:sz w:val="15"/>
                <w:szCs w:val="15"/>
                <w:color w:val="auto"/>
              </w:rPr>
            </w:pPr>
          </w:p>
        </w:tc>
      </w:tr>
      <w:tr>
        <w:trPr>
          <w:trHeight w:val="170"/>
        </w:trPr>
        <w:tc>
          <w:tcPr>
            <w:tcW w:w="220" w:type="dxa"/>
            <w:vAlign w:val="bottom"/>
          </w:tcPr>
          <w:p>
            <w:pPr>
              <w:spacing w:after="0"/>
              <w:rPr>
                <w:sz w:val="14"/>
                <w:szCs w:val="14"/>
                <w:color w:val="auto"/>
              </w:rPr>
            </w:pPr>
          </w:p>
        </w:tc>
        <w:tc>
          <w:tcPr>
            <w:tcW w:w="6440" w:type="dxa"/>
            <w:vAlign w:val="bottom"/>
            <w:tcBorders>
              <w:top w:val="single" w:sz="8" w:color="BFE4FF"/>
            </w:tcBorders>
            <w:shd w:val="clear" w:color="auto" w:fill="BFE4FF"/>
          </w:tcPr>
          <w:p>
            <w:pPr>
              <w:ind w:left="700"/>
              <w:spacing w:after="0" w:line="159" w:lineRule="exact"/>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top w:val="single" w:sz="8" w:color="auto"/>
            </w:tcBorders>
            <w:shd w:val="clear" w:color="auto" w:fill="BFE4FF"/>
          </w:tcPr>
          <w:p>
            <w:pPr>
              <w:spacing w:after="0"/>
              <w:rPr>
                <w:sz w:val="14"/>
                <w:szCs w:val="14"/>
                <w:color w:val="auto"/>
              </w:rPr>
            </w:pPr>
          </w:p>
        </w:tc>
        <w:tc>
          <w:tcPr>
            <w:tcW w:w="10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(501,893)</w:t>
            </w:r>
          </w:p>
        </w:tc>
        <w:tc>
          <w:tcPr>
            <w:tcW w:w="140" w:type="dxa"/>
            <w:vAlign w:val="bottom"/>
            <w:tcBorders>
              <w:top w:val="single" w:sz="8" w:color="BFE4FF"/>
            </w:tcBorders>
            <w:shd w:val="clear" w:color="auto" w:fill="BFE4FF"/>
          </w:tcPr>
          <w:p>
            <w:pPr>
              <w:spacing w:after="0"/>
              <w:rPr>
                <w:sz w:val="14"/>
                <w:szCs w:val="14"/>
                <w:color w:val="auto"/>
              </w:rPr>
            </w:pPr>
          </w:p>
        </w:tc>
        <w:tc>
          <w:tcPr>
            <w:tcW w:w="320" w:type="dxa"/>
            <w:vAlign w:val="bottom"/>
            <w:tcBorders>
              <w:top w:val="single" w:sz="8" w:color="auto"/>
            </w:tcBorders>
            <w:shd w:val="clear" w:color="auto" w:fill="BFE4FF"/>
          </w:tcPr>
          <w:p>
            <w:pPr>
              <w:spacing w:after="0"/>
              <w:rPr>
                <w:sz w:val="14"/>
                <w:szCs w:val="14"/>
                <w:color w:val="auto"/>
              </w:rPr>
            </w:pPr>
          </w:p>
        </w:tc>
        <w:tc>
          <w:tcPr>
            <w:tcW w:w="10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(1,757,789)</w:t>
            </w:r>
          </w:p>
        </w:tc>
        <w:tc>
          <w:tcPr>
            <w:tcW w:w="120" w:type="dxa"/>
            <w:vAlign w:val="bottom"/>
            <w:tcBorders>
              <w:top w:val="single" w:sz="8" w:color="BFE4FF"/>
            </w:tcBorders>
            <w:shd w:val="clear" w:color="auto" w:fill="BFE4FF"/>
          </w:tcPr>
          <w:p>
            <w:pPr>
              <w:spacing w:after="0"/>
              <w:rPr>
                <w:sz w:val="14"/>
                <w:szCs w:val="14"/>
                <w:color w:val="auto"/>
              </w:rPr>
            </w:pPr>
          </w:p>
        </w:tc>
        <w:tc>
          <w:tcPr>
            <w:tcW w:w="320" w:type="dxa"/>
            <w:vAlign w:val="bottom"/>
            <w:tcBorders>
              <w:top w:val="single" w:sz="8" w:color="auto"/>
            </w:tcBorders>
            <w:shd w:val="clear" w:color="auto" w:fill="BFE4FF"/>
          </w:tcPr>
          <w:p>
            <w:pPr>
              <w:spacing w:after="0"/>
              <w:rPr>
                <w:sz w:val="14"/>
                <w:szCs w:val="14"/>
                <w:color w:val="auto"/>
              </w:rPr>
            </w:pPr>
          </w:p>
        </w:tc>
        <w:tc>
          <w:tcPr>
            <w:tcW w:w="10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2,297,848</w:t>
            </w:r>
          </w:p>
        </w:tc>
        <w:tc>
          <w:tcPr>
            <w:tcW w:w="220" w:type="dxa"/>
            <w:vAlign w:val="bottom"/>
          </w:tcPr>
          <w:p>
            <w:pPr>
              <w:spacing w:after="0"/>
              <w:rPr>
                <w:sz w:val="14"/>
                <w:szCs w:val="14"/>
                <w:color w:val="auto"/>
              </w:rPr>
            </w:pPr>
          </w:p>
        </w:tc>
      </w:tr>
      <w:tr>
        <w:trPr>
          <w:trHeight w:val="833"/>
        </w:trPr>
        <w:tc>
          <w:tcPr>
            <w:tcW w:w="220" w:type="dxa"/>
            <w:vAlign w:val="bottom"/>
          </w:tcPr>
          <w:p>
            <w:pPr>
              <w:spacing w:after="0"/>
              <w:rPr>
                <w:sz w:val="24"/>
                <w:szCs w:val="24"/>
                <w:color w:val="auto"/>
              </w:rPr>
            </w:pPr>
          </w:p>
        </w:tc>
        <w:tc>
          <w:tcPr>
            <w:tcW w:w="6440" w:type="dxa"/>
            <w:vAlign w:val="bottom"/>
          </w:tcPr>
          <w:p>
            <w:pPr>
              <w:ind w:left="5320"/>
              <w:spacing w:after="0"/>
              <w:rPr>
                <w:sz w:val="20"/>
                <w:szCs w:val="20"/>
                <w:color w:val="auto"/>
              </w:rPr>
            </w:pPr>
            <w:r>
              <w:rPr>
                <w:rFonts w:ascii="Arial" w:cs="Arial" w:eastAsia="Arial" w:hAnsi="Arial"/>
                <w:sz w:val="14"/>
                <w:szCs w:val="14"/>
                <w:color w:val="auto"/>
              </w:rPr>
              <w:t>F-8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6"/>
        </w:trPr>
        <w:tc>
          <w:tcPr>
            <w:tcW w:w="220" w:type="dxa"/>
            <w:vAlign w:val="bottom"/>
            <w:tcBorders>
              <w:bottom w:val="single" w:sz="8" w:color="9A9A9A"/>
            </w:tcBorders>
          </w:tcPr>
          <w:p>
            <w:pPr>
              <w:spacing w:after="0"/>
              <w:rPr>
                <w:sz w:val="7"/>
                <w:szCs w:val="7"/>
                <w:color w:val="auto"/>
              </w:rPr>
            </w:pPr>
          </w:p>
        </w:tc>
        <w:tc>
          <w:tcPr>
            <w:tcW w:w="64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3"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9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9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90"/>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180"/>
              <w:spacing w:after="0"/>
              <w:rPr>
                <w:sz w:val="20"/>
                <w:szCs w:val="20"/>
                <w:color w:val="auto"/>
              </w:rPr>
            </w:pPr>
            <w:r>
              <w:rPr>
                <w:rFonts w:ascii="Arial" w:cs="Arial" w:eastAsia="Arial" w:hAnsi="Arial"/>
                <w:sz w:val="14"/>
                <w:szCs w:val="14"/>
                <w:color w:val="auto"/>
              </w:rPr>
              <w:t>Borrowings on line of credit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59,000,000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59,000,000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line of credit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(59,000,000)</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(62,500,000)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180"/>
              <w:spacing w:after="0"/>
              <w:rPr>
                <w:sz w:val="20"/>
                <w:szCs w:val="20"/>
                <w:color w:val="auto"/>
              </w:rPr>
            </w:pPr>
            <w:r>
              <w:rPr>
                <w:rFonts w:ascii="Arial" w:cs="Arial" w:eastAsia="Arial" w:hAnsi="Arial"/>
                <w:sz w:val="14"/>
                <w:szCs w:val="14"/>
                <w:color w:val="auto"/>
              </w:rPr>
              <w:t>Payments made in connection with repurchase of common shares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(1,386,849)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(1,851,526)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(3,494,921)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settlement of contingent consideration</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(2,166,681)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(819,180)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180"/>
              <w:spacing w:after="0"/>
              <w:rPr>
                <w:sz w:val="20"/>
                <w:szCs w:val="20"/>
                <w:color w:val="auto"/>
              </w:rPr>
            </w:pPr>
            <w:r>
              <w:rPr>
                <w:rFonts w:ascii="Arial" w:cs="Arial" w:eastAsia="Arial" w:hAnsi="Arial"/>
                <w:sz w:val="14"/>
                <w:szCs w:val="14"/>
                <w:color w:val="auto"/>
              </w:rPr>
              <w:t>Repurchase of subsidiary shares from noncontrolling interest</w:t>
            </w: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of subsidiary shares to noncontrolling interest</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180"/>
              <w:spacing w:after="0"/>
              <w:rPr>
                <w:sz w:val="20"/>
                <w:szCs w:val="20"/>
                <w:color w:val="auto"/>
              </w:rPr>
            </w:pPr>
            <w:r>
              <w:rPr>
                <w:rFonts w:ascii="Arial" w:cs="Arial" w:eastAsia="Arial" w:hAnsi="Arial"/>
                <w:sz w:val="14"/>
                <w:szCs w:val="14"/>
                <w:color w:val="auto"/>
              </w:rPr>
              <w:t>Payments of deferred equity offering costs</w:t>
            </w: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(135,405)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deferred financing costs</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440" w:type="dxa"/>
            <w:vAlign w:val="bottom"/>
            <w:tcBorders>
              <w:bottom w:val="single" w:sz="8" w:color="CCEEFF"/>
            </w:tcBorders>
          </w:tcPr>
          <w:p>
            <w:pPr>
              <w:ind w:left="700"/>
              <w:spacing w:after="0" w:line="159" w:lineRule="exact"/>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(3,553,530)</w:t>
            </w:r>
          </w:p>
        </w:tc>
        <w:tc>
          <w:tcPr>
            <w:tcW w:w="1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(7,116,111)</w:t>
            </w:r>
          </w:p>
        </w:tc>
        <w:tc>
          <w:tcPr>
            <w:tcW w:w="1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(5,080,529)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40" w:type="dxa"/>
            <w:vAlign w:val="bottom"/>
            <w:shd w:val="clear" w:color="auto" w:fill="CCEEFF"/>
          </w:tcPr>
          <w:p>
            <w:pPr>
              <w:ind w:left="700"/>
              <w:spacing w:after="0" w:line="159" w:lineRule="exact"/>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2,287,020</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(3,458,839)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24,753,796</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28,212,635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27,938,960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Cash and cash equivalents, end of year</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27,040,816</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24,753,796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28,212,635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paid (refunded) during the year for:</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340"/>
              <w:spacing w:after="0"/>
              <w:rPr>
                <w:sz w:val="20"/>
                <w:szCs w:val="20"/>
                <w:color w:val="auto"/>
              </w:rPr>
            </w:pPr>
            <w:r>
              <w:rPr>
                <w:rFonts w:ascii="Arial" w:cs="Arial" w:eastAsia="Arial" w:hAnsi="Arial"/>
                <w:sz w:val="14"/>
                <w:szCs w:val="14"/>
                <w:color w:val="auto"/>
              </w:rPr>
              <w:t>Interest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63,978</w:t>
            </w:r>
          </w:p>
        </w:tc>
        <w:tc>
          <w:tcPr>
            <w:tcW w:w="14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215,991</w:t>
            </w:r>
          </w:p>
        </w:tc>
        <w:tc>
          <w:tcPr>
            <w:tcW w:w="12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198,661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(91,486)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unpaid invoices for intangible asset additions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(43,471)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(340,997)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(576,837)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180"/>
              <w:spacing w:after="0"/>
              <w:rPr>
                <w:sz w:val="20"/>
                <w:szCs w:val="20"/>
                <w:color w:val="auto"/>
              </w:rPr>
            </w:pPr>
            <w:r>
              <w:rPr>
                <w:rFonts w:ascii="Arial" w:cs="Arial" w:eastAsia="Arial" w:hAnsi="Arial"/>
                <w:sz w:val="14"/>
                <w:szCs w:val="14"/>
                <w:color w:val="auto"/>
              </w:rPr>
              <w:t>Change in unpaid invoices for offering costs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(90,512)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increase in liabilities related to other asset</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180"/>
              <w:spacing w:after="0"/>
              <w:rPr>
                <w:sz w:val="20"/>
                <w:szCs w:val="20"/>
                <w:color w:val="auto"/>
              </w:rPr>
            </w:pPr>
            <w:r>
              <w:rPr>
                <w:rFonts w:ascii="Arial" w:cs="Arial" w:eastAsia="Arial" w:hAnsi="Arial"/>
                <w:sz w:val="14"/>
                <w:szCs w:val="14"/>
                <w:color w:val="auto"/>
              </w:rPr>
              <w:t>Recognition of operating lease assets and liabilities through adoption of ASC 842</w:t>
            </w: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3,629,320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shares related to RediTrex approval</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tcPr>
          <w:p>
            <w:pPr>
              <w:ind w:left="180"/>
              <w:spacing w:after="0"/>
              <w:rPr>
                <w:sz w:val="20"/>
                <w:szCs w:val="20"/>
                <w:color w:val="auto"/>
              </w:rPr>
            </w:pPr>
            <w:r>
              <w:rPr>
                <w:rFonts w:ascii="Arial" w:cs="Arial" w:eastAsia="Arial" w:hAnsi="Arial"/>
                <w:sz w:val="14"/>
                <w:szCs w:val="14"/>
                <w:color w:val="auto"/>
              </w:rPr>
              <w:t>Repurchase of subsidiary shares from noncontrolling interests</w:t>
            </w: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Additions to intangible assets from final purchase price allocation</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52705</wp:posOffset>
            </wp:positionV>
            <wp:extent cx="71875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860"/>
          </w:cols>
          <w:pgMar w:left="520" w:top="1098" w:right="51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Equity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Years ended December 31, 2021,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Pr>
          <w:p>
            <w:pPr>
              <w:spacing w:after="0"/>
              <w:rPr>
                <w:sz w:val="14"/>
                <w:szCs w:val="14"/>
                <w:color w:val="auto"/>
              </w:rPr>
            </w:pPr>
          </w:p>
        </w:tc>
        <w:tc>
          <w:tcPr>
            <w:tcW w:w="456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87"/>
              </w:rPr>
              <w:t>Cumberland Pharmaceuticals Inc. Shareholders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6"/>
              </w:rPr>
              <w:t>Retained earnings</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5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9"/>
              </w:rPr>
              <w:t>Non-controlling interest</w:t>
            </w:r>
          </w:p>
        </w:tc>
        <w:tc>
          <w:tcPr>
            <w:tcW w:w="240" w:type="dxa"/>
            <w:vAlign w:val="bottom"/>
          </w:tcPr>
          <w:p>
            <w:pPr>
              <w:spacing w:after="0"/>
              <w:rPr>
                <w:sz w:val="2"/>
                <w:szCs w:val="2"/>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line="20" w:lineRule="exact"/>
              <w:rPr>
                <w:sz w:val="1"/>
                <w:szCs w:val="1"/>
                <w:color w:val="auto"/>
              </w:rPr>
            </w:pPr>
          </w:p>
        </w:tc>
      </w:tr>
      <w:tr>
        <w:trPr>
          <w:trHeight w:val="167"/>
        </w:trPr>
        <w:tc>
          <w:tcPr>
            <w:tcW w:w="3440" w:type="dxa"/>
            <w:vAlign w:val="bottom"/>
          </w:tcPr>
          <w:p>
            <w:pPr>
              <w:spacing w:after="0"/>
              <w:rPr>
                <w:sz w:val="14"/>
                <w:szCs w:val="14"/>
                <w:color w:val="auto"/>
              </w:rPr>
            </w:pPr>
          </w:p>
        </w:tc>
        <w:tc>
          <w:tcPr>
            <w:tcW w:w="1560" w:type="dxa"/>
            <w:vAlign w:val="bottom"/>
            <w:gridSpan w:val="2"/>
          </w:tcPr>
          <w:p>
            <w:pPr>
              <w:ind w:left="560"/>
              <w:spacing w:after="0"/>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1"/>
              </w:rPr>
              <w:t>Amount</w:t>
            </w:r>
          </w:p>
        </w:tc>
        <w:tc>
          <w:tcPr>
            <w:tcW w:w="16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(deficit)</w:t>
            </w:r>
          </w:p>
        </w:tc>
        <w:tc>
          <w:tcPr>
            <w:tcW w:w="15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40" w:type="dxa"/>
            <w:vAlign w:val="bottom"/>
            <w:tcBorders>
              <w:bottom w:val="single" w:sz="8" w:color="CCEEFF"/>
            </w:tcBorders>
          </w:tcPr>
          <w:p>
            <w:pPr>
              <w:spacing w:after="0"/>
              <w:rPr>
                <w:sz w:val="9"/>
                <w:szCs w:val="9"/>
                <w:color w:val="auto"/>
              </w:rPr>
            </w:pPr>
          </w:p>
        </w:tc>
        <w:tc>
          <w:tcPr>
            <w:tcW w:w="142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420" w:type="dxa"/>
            <w:vAlign w:val="bottom"/>
            <w:tcBorders>
              <w:top w:val="single" w:sz="8" w:color="auto"/>
              <w:bottom w:val="single" w:sz="8" w:color="auto"/>
            </w:tcBorders>
          </w:tcPr>
          <w:p>
            <w:pPr>
              <w:spacing w:after="0"/>
              <w:rPr>
                <w:sz w:val="9"/>
                <w:szCs w:val="9"/>
                <w:color w:val="auto"/>
              </w:rPr>
            </w:pPr>
          </w:p>
        </w:tc>
        <w:tc>
          <w:tcPr>
            <w:tcW w:w="100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8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20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15,481,497</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51,098,613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4,746,154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(274,266)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55,570,501</w:t>
            </w:r>
          </w:p>
        </w:tc>
        <w:tc>
          <w:tcPr>
            <w:tcW w:w="0" w:type="dxa"/>
            <w:vAlign w:val="bottom"/>
          </w:tcPr>
          <w:p>
            <w:pPr>
              <w:spacing w:after="0"/>
              <w:rPr>
                <w:sz w:val="1"/>
                <w:szCs w:val="1"/>
                <w:color w:val="auto"/>
              </w:rPr>
            </w:pPr>
          </w:p>
        </w:tc>
      </w:tr>
      <w:tr>
        <w:trPr>
          <w:trHeight w:val="179"/>
        </w:trPr>
        <w:tc>
          <w:tcPr>
            <w:tcW w:w="34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(3,537,759)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(8,752)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(3,546,511)</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Repurchase of subsidiary shares to noncontrolling</w:t>
            </w:r>
          </w:p>
        </w:tc>
        <w:tc>
          <w:tcPr>
            <w:tcW w:w="1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(685,805)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(114,195)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156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40" w:type="dxa"/>
            <w:vAlign w:val="bottom"/>
          </w:tcPr>
          <w:p>
            <w:pPr>
              <w:ind w:left="180"/>
              <w:spacing w:after="0"/>
              <w:rPr>
                <w:sz w:val="20"/>
                <w:szCs w:val="20"/>
                <w:color w:val="auto"/>
              </w:rPr>
            </w:pPr>
            <w:r>
              <w:rPr>
                <w:rFonts w:ascii="Arial" w:cs="Arial" w:eastAsia="Arial" w:hAnsi="Arial"/>
                <w:sz w:val="14"/>
                <w:szCs w:val="14"/>
                <w:color w:val="auto"/>
              </w:rPr>
              <w:t>Sale of subsidiary shares to noncontrolling interest</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640,407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359,593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common stock</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862,200</w:t>
            </w:r>
          </w:p>
        </w:tc>
        <w:tc>
          <w:tcPr>
            <w:tcW w:w="0" w:type="dxa"/>
            <w:vAlign w:val="bottom"/>
          </w:tcPr>
          <w:p>
            <w:pPr>
              <w:spacing w:after="0"/>
              <w:rPr>
                <w:sz w:val="1"/>
                <w:szCs w:val="1"/>
                <w:color w:val="auto"/>
              </w:rPr>
            </w:pPr>
          </w:p>
        </w:tc>
      </w:tr>
      <w:tr>
        <w:trPr>
          <w:trHeight w:val="179"/>
        </w:trPr>
        <w:tc>
          <w:tcPr>
            <w:tcW w:w="34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420" w:type="dxa"/>
            <w:vAlign w:val="bottom"/>
          </w:tcPr>
          <w:p>
            <w:pPr>
              <w:jc w:val="right"/>
              <w:spacing w:after="0"/>
              <w:rPr>
                <w:sz w:val="20"/>
                <w:szCs w:val="20"/>
                <w:color w:val="auto"/>
              </w:rPr>
            </w:pPr>
            <w:r>
              <w:rPr>
                <w:rFonts w:ascii="Arial" w:cs="Arial" w:eastAsia="Arial" w:hAnsi="Arial"/>
                <w:sz w:val="14"/>
                <w:szCs w:val="14"/>
                <w:color w:val="auto"/>
              </w:rPr>
              <w:t>225,536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1,485,898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1,485,898</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(623,478)</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(3,486,835)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(3,486,835)</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15,263,555</w:t>
            </w:r>
          </w:p>
        </w:tc>
        <w:tc>
          <w:tcPr>
            <w:tcW w:w="140" w:type="dxa"/>
            <w:vAlign w:val="bottom"/>
          </w:tcPr>
          <w:p>
            <w:pPr>
              <w:spacing w:after="0"/>
              <w:rPr>
                <w:sz w:val="14"/>
                <w:szCs w:val="14"/>
                <w:color w:val="auto"/>
              </w:rPr>
            </w:pPr>
          </w:p>
        </w:tc>
        <w:tc>
          <w:tcPr>
            <w:tcW w:w="42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49,914,478</w:t>
            </w:r>
          </w:p>
        </w:tc>
        <w:tc>
          <w:tcPr>
            <w:tcW w:w="140" w:type="dxa"/>
            <w:vAlign w:val="bottom"/>
          </w:tcPr>
          <w:p>
            <w:pPr>
              <w:spacing w:after="0"/>
              <w:rPr>
                <w:sz w:val="14"/>
                <w:szCs w:val="14"/>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1,208,395</w:t>
            </w:r>
          </w:p>
        </w:tc>
        <w:tc>
          <w:tcPr>
            <w:tcW w:w="120" w:type="dxa"/>
            <w:vAlign w:val="bottom"/>
          </w:tcPr>
          <w:p>
            <w:pPr>
              <w:spacing w:after="0"/>
              <w:rPr>
                <w:sz w:val="14"/>
                <w:szCs w:val="14"/>
                <w:color w:val="auto"/>
              </w:rPr>
            </w:pPr>
          </w:p>
        </w:tc>
        <w:tc>
          <w:tcPr>
            <w:tcW w:w="48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(37,620)</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51,085,253</w:t>
            </w:r>
          </w:p>
        </w:tc>
        <w:tc>
          <w:tcPr>
            <w:tcW w:w="0" w:type="dxa"/>
            <w:vAlign w:val="bottom"/>
          </w:tcPr>
          <w:p>
            <w:pPr>
              <w:spacing w:after="0"/>
              <w:rPr>
                <w:sz w:val="1"/>
                <w:szCs w:val="1"/>
                <w:color w:val="auto"/>
              </w:rPr>
            </w:pPr>
          </w:p>
        </w:tc>
      </w:tr>
      <w:tr>
        <w:trPr>
          <w:trHeight w:val="179"/>
        </w:trPr>
        <w:tc>
          <w:tcPr>
            <w:tcW w:w="34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(3,339,408)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(79,496)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(3,418,904)</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228,500</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1,046,516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1,046,516</w:t>
            </w:r>
          </w:p>
        </w:tc>
        <w:tc>
          <w:tcPr>
            <w:tcW w:w="0" w:type="dxa"/>
            <w:vAlign w:val="bottom"/>
          </w:tcPr>
          <w:p>
            <w:pPr>
              <w:spacing w:after="0"/>
              <w:rPr>
                <w:sz w:val="1"/>
                <w:szCs w:val="1"/>
                <w:color w:val="auto"/>
              </w:rPr>
            </w:pPr>
          </w:p>
        </w:tc>
      </w:tr>
      <w:tr>
        <w:trPr>
          <w:trHeight w:val="179"/>
        </w:trPr>
        <w:tc>
          <w:tcPr>
            <w:tcW w:w="3440" w:type="dxa"/>
            <w:vAlign w:val="bottom"/>
          </w:tcPr>
          <w:p>
            <w:pPr>
              <w:ind w:left="180"/>
              <w:spacing w:after="0"/>
              <w:rPr>
                <w:sz w:val="20"/>
                <w:szCs w:val="20"/>
                <w:color w:val="auto"/>
              </w:rPr>
            </w:pPr>
            <w:r>
              <w:rPr>
                <w:rFonts w:ascii="Arial" w:cs="Arial" w:eastAsia="Arial" w:hAnsi="Arial"/>
                <w:sz w:val="14"/>
                <w:szCs w:val="14"/>
                <w:color w:val="auto"/>
              </w:rPr>
              <w:t>Repurchase of common shares</w:t>
            </w:r>
          </w:p>
        </w:tc>
        <w:tc>
          <w:tcPr>
            <w:tcW w:w="1420" w:type="dxa"/>
            <w:vAlign w:val="bottom"/>
          </w:tcPr>
          <w:p>
            <w:pPr>
              <w:jc w:val="right"/>
              <w:spacing w:after="0"/>
              <w:rPr>
                <w:sz w:val="20"/>
                <w:szCs w:val="20"/>
                <w:color w:val="auto"/>
              </w:rPr>
            </w:pPr>
            <w:r>
              <w:rPr>
                <w:rFonts w:ascii="Arial" w:cs="Arial" w:eastAsia="Arial" w:hAnsi="Arial"/>
                <w:sz w:val="14"/>
                <w:szCs w:val="14"/>
                <w:color w:val="auto"/>
              </w:rPr>
              <w:t>(503,626)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(1,839,471)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(1,839,471)</w:t>
            </w:r>
          </w:p>
        </w:tc>
        <w:tc>
          <w:tcPr>
            <w:tcW w:w="0" w:type="dxa"/>
            <w:vAlign w:val="bottom"/>
          </w:tcPr>
          <w:p>
            <w:pPr>
              <w:spacing w:after="0"/>
              <w:rPr>
                <w:sz w:val="1"/>
                <w:szCs w:val="1"/>
                <w:color w:val="auto"/>
              </w:rPr>
            </w:pPr>
          </w:p>
        </w:tc>
      </w:tr>
      <w:tr>
        <w:trPr>
          <w:trHeight w:val="17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14,988,429</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49,121,523</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(2,131,013)</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(117,116)</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46,873,394</w:t>
            </w:r>
          </w:p>
        </w:tc>
        <w:tc>
          <w:tcPr>
            <w:tcW w:w="0" w:type="dxa"/>
            <w:vAlign w:val="bottom"/>
          </w:tcPr>
          <w:p>
            <w:pPr>
              <w:spacing w:after="0"/>
              <w:rPr>
                <w:sz w:val="1"/>
                <w:szCs w:val="1"/>
                <w:color w:val="auto"/>
              </w:rPr>
            </w:pPr>
          </w:p>
        </w:tc>
      </w:tr>
      <w:tr>
        <w:trPr>
          <w:trHeight w:val="179"/>
        </w:trPr>
        <w:tc>
          <w:tcPr>
            <w:tcW w:w="34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(3,507,587)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(95,212)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(3,602,799)</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192,684</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741,867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741,867</w:t>
            </w:r>
          </w:p>
        </w:tc>
        <w:tc>
          <w:tcPr>
            <w:tcW w:w="0" w:type="dxa"/>
            <w:vAlign w:val="bottom"/>
          </w:tcPr>
          <w:p>
            <w:pPr>
              <w:spacing w:after="0"/>
              <w:rPr>
                <w:sz w:val="1"/>
                <w:szCs w:val="1"/>
                <w:color w:val="auto"/>
              </w:rPr>
            </w:pPr>
          </w:p>
        </w:tc>
      </w:tr>
      <w:tr>
        <w:trPr>
          <w:trHeight w:val="179"/>
        </w:trPr>
        <w:tc>
          <w:tcPr>
            <w:tcW w:w="3440" w:type="dxa"/>
            <w:vAlign w:val="bottom"/>
          </w:tcPr>
          <w:p>
            <w:pPr>
              <w:ind w:left="180"/>
              <w:spacing w:after="0"/>
              <w:rPr>
                <w:sz w:val="20"/>
                <w:szCs w:val="20"/>
                <w:color w:val="auto"/>
              </w:rPr>
            </w:pPr>
            <w:r>
              <w:rPr>
                <w:rFonts w:ascii="Arial" w:cs="Arial" w:eastAsia="Arial" w:hAnsi="Arial"/>
                <w:sz w:val="14"/>
                <w:szCs w:val="14"/>
                <w:color w:val="auto"/>
              </w:rPr>
              <w:t>Repurchase of common shares</w:t>
            </w:r>
          </w:p>
        </w:tc>
        <w:tc>
          <w:tcPr>
            <w:tcW w:w="1420" w:type="dxa"/>
            <w:vAlign w:val="bottom"/>
          </w:tcPr>
          <w:p>
            <w:pPr>
              <w:jc w:val="right"/>
              <w:spacing w:after="0"/>
              <w:rPr>
                <w:sz w:val="20"/>
                <w:szCs w:val="20"/>
                <w:color w:val="auto"/>
              </w:rPr>
            </w:pPr>
            <w:r>
              <w:rPr>
                <w:rFonts w:ascii="Arial" w:cs="Arial" w:eastAsia="Arial" w:hAnsi="Arial"/>
                <w:sz w:val="14"/>
                <w:szCs w:val="14"/>
                <w:color w:val="auto"/>
              </w:rPr>
              <w:t>(438,359)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(1,410,484)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(1,410,484)</w:t>
            </w:r>
          </w:p>
        </w:tc>
        <w:tc>
          <w:tcPr>
            <w:tcW w:w="0" w:type="dxa"/>
            <w:vAlign w:val="bottom"/>
          </w:tcPr>
          <w:p>
            <w:pPr>
              <w:spacing w:after="0"/>
              <w:rPr>
                <w:sz w:val="1"/>
                <w:szCs w:val="1"/>
                <w:color w:val="auto"/>
              </w:rPr>
            </w:pPr>
          </w:p>
        </w:tc>
      </w:tr>
      <w:tr>
        <w:trPr>
          <w:trHeight w:val="195"/>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14,742,754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48,452,906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(5,638,600)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42,601,978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52705</wp:posOffset>
            </wp:positionV>
            <wp:extent cx="71875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20"/>
          </w:cols>
          <w:pgMar w:left="380" w:top="1189" w:right="399" w:bottom="1440" w:gutter="0" w:footer="0" w:header="0"/>
        </w:sectPr>
      </w:pPr>
    </w:p>
    <w:bookmarkStart w:id="98" w:name="page99"/>
    <w:bookmarkEnd w:id="98"/>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rheumatology and oncology.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field and oncology sales forces in the United States and is establishing a network of international partners to bring its medicines to patients in their countries.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spacing w:after="0" w:line="89"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In order to build a pipeline of early-stage product candidates, the Company formed a subsidiary, Cumberland Emerging Technologies, Inc. ("CET"), which teams with universities and other research organizations to help advance scientific discoveries from the laboratory to the marketplace. In 2014, the Company organized equity financing to recapitalize and strengthen the financial position of CET including an investment of approximately $1.0 million from Gloria Pharmaceuticals Co., Ltd. (“Gloria”). As a result, Gloria received shares in CET and joined the CET ownership group.</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Cumberland purchased additional CET shares through contribution of $0.3 million in cash and a conversion of $0.7 million in intercompany loans payable. Upon completion of the additional investment by WinHealth and Cumberland, Gloria Pharmaceuticals returned its shares in CET in exchange for $0.8 million that was funded during 2020.</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ownership in CET is now 85%. While the remaining interest is owned by WinHealth, Vanderbilt University and the Tennessee Technology Development Corporation. The operating results of CET allocated to noncontrolling interests in the consolidated statements of operations were $95,212, $79,496 and $8,752 for the years ended December 31, 2021, 2020 and 2019, respectively.</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Effective January 1, 2007, the Company formed a wholly-owned subsidiary, Cumberland Pharma Sales Corp. ("CPSC"). CPSC is the subsidiary that employs the Company's hospital and field sales force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consolidated financial statements of the Company are stated in U.S. dollars and are prepared using U.S. generally accepted accounting principles. These financial statements include the accounts of the Company and its wholly and majority-owned subsidiaries. All significant intercompany transactions and accounts have been eliminated in consolidation.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Pandemic</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early 2020, the U.S. declared a health care emergency following the outbreak of SARS-CoV-2, a novel strain of coronavirus that causes COVID-19, a respiratory illness. The Company has managed through the resulting COVID-19 pandemic, continuing to operate our business – keeping facilities open and our organization intact. We moved quickly to ensure the health and safety of our team. We also maintained our ongoing compliance with the many laws and regulations that apply to us as a publicly traded pharmaceutical company.</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Throughout the pandemic, Cumberland faced the same challenges affecting other companies that rely on hospital admissions and patient visits to drive revenue. Our business and our clinical studies were impacted, as fewer patients sought elective surgeries and our access to medical facilities was substantially limited. We carefully monitored our supply chain, including the flow of raw materials and the batches of finished products emerging from the facilities that manufacture our products.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Several of our brands were negatively impacted by the lockdowns and postponement of physician office visits and elective procedures. However, we are fortunate to have a diversified product portfolio that includes other brands that have delivered a strong performance during the pandemic. Overall, we have been able to continue the delivery of our products while addressing the interests of our shareholders, employees, partners and community.</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the employees’ safety and well-being, while also keeping its business operating. Given the uncertainty, magnitude and impact of such changes, the Company is unable to quantify the impact on the future results as of the date of this filing.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4"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liability associated with business combinations.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$2.2 million, $2.4 million and $1.5 million for the years ended December 31, 2021, 2020 and 2019,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fair value hierarchy that prioritizes observable and unobservable inputs used to measure fair value into three broad levels is described below:</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Level 1 - Quoted prices for identical instruments in active markets.</w:t>
      </w:r>
    </w:p>
    <w:p>
      <w:pPr>
        <w:spacing w:after="0" w:line="124" w:lineRule="exact"/>
        <w:rPr>
          <w:sz w:val="20"/>
          <w:szCs w:val="20"/>
          <w:color w:val="auto"/>
        </w:rPr>
      </w:pPr>
    </w:p>
    <w:p>
      <w:pPr>
        <w:ind w:left="1020"/>
        <w:spacing w:after="0" w:line="278" w:lineRule="auto"/>
        <w:rPr>
          <w:sz w:val="20"/>
          <w:szCs w:val="20"/>
          <w:color w:val="auto"/>
        </w:rPr>
      </w:pPr>
      <w:r>
        <w:rPr>
          <w:rFonts w:ascii="Arial" w:cs="Arial" w:eastAsia="Arial" w:hAnsi="Arial"/>
          <w:sz w:val="14"/>
          <w:szCs w:val="14"/>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Level 3 - Significant inputs to the valuation model are unobservable.</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maintain policies and procedures to value instruments using the best and most relevant data available. The following section describes the valuation methodologies we use to measure different financial instruments at fair value on a recurring basis.</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financial instruments include cash and cash equivalents,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Cash and cash equivalents include highly liquid investments with original maturities of three months or less. As of December 31, 2021 and 2020, cash equivalents consist primarily of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Trade accounts receivable are recorded at the invoiced amount. The Company records allowances for amounts that could become uncollectible in the future based on historical experience, as well as amounts related to chargebacks and cash discounts. The Company reviews each customer balance to assess collection status.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and discounts. The allowances in accounts receivable for chargebacks and cash discounts were $0.3 million at December 31, 2021 and $1.0 million at December 31, 2020.</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revenues are reduced and accrued liabilities are increased by the Company’s estimate of the rebate that may be claimed. Cash discounts are reductions to invoiced amounts offered to customers for payment within a specified period of time from the date of the invoice.</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Inventories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at third party facilities. Periodic inventory counts are made by the warehouse teams and by the Company on a regular basis. In addition, the Company re-tests API inventory prior to use to confirm product expiration. Inventories are stated at the lower of cost or net realizable value with cost determined using the first-in, first-out method.</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 The Company classifies the Vibativ inventories and ifetroban inventories that it does not expect to sell within one year as non-current inventories.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Prepaid and Other Current Assets</w:t>
      </w:r>
    </w:p>
    <w:p>
      <w:pPr>
        <w:spacing w:after="0" w:line="10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spacing w:after="0" w:line="36"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w:t>
      </w:r>
    </w:p>
    <w:p>
      <w:pPr>
        <w:spacing w:after="0" w:line="7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On December 27, 2021, the Company filed a related prospectus supplement in connection with the sale and issuance of shares having an aggregate gross sales price of up to $19 million. The Company amended the At the Market Sales Agreement on December 27, 2021, in order to allow the Company to continue using its ATM feature to sell shares at market prices.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The Company intends to continue an ATM feature through B. Riley FBR, Inc. that would allow the Company to issue shares of its common stock.</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Company has recorded deferred offering costs for payments directly related to the current Shelf Registration on Form S-3 that was completed during December 2020 and 2021. These costs consist of legal and accounting fees that the Company has capitalized. Deferred costs associated with the Shelf Registration will be reclassified to additional paid in capital on a pro-rata basis as the Company completes sales of shares under the Shelf Registration. The Company did not issue any shares under this ATM during the year ended December 31, 2021. During the year ended December 31, 2020, the Company expensed $0.4 million in deferred offering costs associated with the Shelf Registration that was declared effective in January 2018.</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income (loss) in the consolidated statement of operations. Improvements that extend an asset’s useful life are capitalized. Repairs and maintenance costs are expensed as incurred.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and Goodwill</w:t>
      </w:r>
    </w:p>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Company’s intangible assets and goodwill consist of capitalized costs related to product and license rights, patents, trademarks and goodwill obtained in the Vibativ acquisition. Goodwill is not amortized for financial reporting purposes, but is subject to impairment analysis at least annually.</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and as well as management's expectations 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 such determination is made. All costs associated with obtaining patents for products that have not been approved for marketing by the FDA are expensed as incurred.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is recognized ratably over the following periods:</w:t>
      </w:r>
    </w:p>
    <w:p>
      <w:pPr>
        <w:sectPr>
          <w:pgSz w:w="11900" w:h="16838" w:orient="portrait"/>
          <w:cols w:equalWidth="0" w:num="1">
            <w:col w:w="11280"/>
          </w:cols>
          <w:pgMar w:left="300" w:top="314" w:right="319" w:bottom="1440" w:gutter="0" w:footer="0" w:header="0"/>
        </w:sectPr>
      </w:pPr>
    </w:p>
    <w:p>
      <w:pPr>
        <w:spacing w:after="0" w:line="145"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Product rights</w:t>
      </w:r>
    </w:p>
    <w:p>
      <w:pPr>
        <w:spacing w:after="0" w:line="41"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License rights</w:t>
      </w:r>
    </w:p>
    <w:p>
      <w:pPr>
        <w:spacing w:after="0" w:line="41"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Patents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Estimated economic life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Term of license agreement</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Life of patent</w:t>
      </w:r>
    </w:p>
    <w:p>
      <w:pPr>
        <w:spacing w:after="0" w:line="200" w:lineRule="exact"/>
        <w:rPr>
          <w:sz w:val="20"/>
          <w:szCs w:val="20"/>
          <w:color w:val="auto"/>
        </w:rPr>
      </w:pPr>
    </w:p>
    <w:p>
      <w:pPr>
        <w:sectPr>
          <w:pgSz w:w="11900" w:h="16838" w:orient="portrait"/>
          <w:cols w:equalWidth="0" w:num="2">
            <w:col w:w="5080" w:space="720"/>
            <w:col w:w="5480"/>
          </w:cols>
          <w:pgMar w:left="300" w:top="31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67310</wp:posOffset>
            </wp:positionV>
            <wp:extent cx="71875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Long-lived assets, such as property and equipment, operating lease right-of-use assets and intangible assets subject to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As a result, the Vibativ component of the Company is the reporting unit evaluated for goodwill impairment. Cumberland determined the fair value of the reporting unit through current and future estimated revenue and profitability of the product. The Company recorded no impairment charges during 2021, 2020 and 2019.</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Venture Agreement</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August 2020, Cumberland entered into an agreement with WinHealth Investment (Singapore) Ltd creating WHC Biopharmaceuticals, Pte. Ltd.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$0.2 million convertible note. The joint venture will seek additional future capital from additional investors and has entered into exclusive option agreements to license intellectual property from both Cumberland Pharmaceuticals Inc. and Cumberland Emerging Technologies.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Product Revenue</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Revenues from product sales are recognized in the amount that reflects the consideration that we expect to receive for these goods. Depending upon the shipping terms of the transaction, the revenue is recognized 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Rebates and Discounts</w:t>
      </w:r>
    </w:p>
    <w:p>
      <w:pPr>
        <w:spacing w:after="0" w:line="124"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sales revenues are reduced and accrued liabilities are increased by the Company’s estimate of the rebate that may be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Sales Returns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expected to impact future returns. Any changes in the assumptions used to estimate the provision for returns are recognized in the period those assumptions are changed.</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Other Revenues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Other revenues primarily consist of income from grant funding programs, licensing agreements, leases and contract services. Revenue related to grants is recognized when all conditions related to such grants have been met. All other revenue is recognized when earned.</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Products Sold</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Selling and Marketing Expense</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Selling and marketing expense consists primarily of expenses relating to the advertising, promotion, distribution and sale of products, including royalty expense, salaries and related costs.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Distribution Costs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Distribution costs are expensed as incurred and are included as a component of selling and marketing expenses in the consolidated statements of operations. Distribution costs were as follows for the years ended December 31:</w:t>
      </w:r>
    </w:p>
    <w:p>
      <w:pPr>
        <w:spacing w:after="0" w:line="97" w:lineRule="exact"/>
        <w:rPr>
          <w:sz w:val="20"/>
          <w:szCs w:val="20"/>
          <w:color w:val="auto"/>
        </w:rPr>
      </w:pPr>
    </w:p>
    <w:tbl>
      <w:tblPr>
        <w:tblLayout w:type="fixed"/>
        <w:tblInd w:w="80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2019</w:t>
            </w:r>
          </w:p>
        </w:tc>
      </w:tr>
      <w:tr>
        <w:trPr>
          <w:trHeight w:val="107"/>
        </w:trPr>
        <w:tc>
          <w:tcPr>
            <w:tcW w:w="4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0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 costs</w:t>
            </w: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806,311</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890,686</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613,637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Advertising Costs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Advertising costs are expensed as incurred and are included as a component of selling and marketing expenses in the consolidated statements of operations. Advertising costs were as follows for the years ended December 31:</w:t>
      </w:r>
    </w:p>
    <w:p>
      <w:pPr>
        <w:spacing w:after="0" w:line="97" w:lineRule="exact"/>
        <w:rPr>
          <w:sz w:val="20"/>
          <w:szCs w:val="20"/>
          <w:color w:val="auto"/>
        </w:rPr>
      </w:pPr>
    </w:p>
    <w:tbl>
      <w:tblPr>
        <w:tblLayout w:type="fixed"/>
        <w:tblInd w:w="80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2019</w:t>
            </w:r>
          </w:p>
        </w:tc>
      </w:tr>
      <w:tr>
        <w:trPr>
          <w:trHeight w:val="107"/>
        </w:trPr>
        <w:tc>
          <w:tcPr>
            <w:tcW w:w="4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0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Advertising costs</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1,927,864</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2,379,424</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2,594,630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Research and development costs are expensed in the period incurred. Research and development costs are comprised mainly of clinical trial expenses, salaries, wages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associated with an income tax position in which it is “more likely than not” that the position would be sustained upon examination by the taxing authorities.</w:t>
      </w:r>
    </w:p>
    <w:p>
      <w:pPr>
        <w:spacing w:after="0" w:line="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Company’s accounting policy with respect to interest and penalties arising from income tax settlements is to recognize them as part of the provision for income taxes.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Earnings (Loss) per Share</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Basic earnings (loss) per share is calculated by dividing net income (loss) attributable to common shareholders by the weighted-average number of shares outstanding. Except where the result would be antidilutive to income from continuing operations, diluted earnings (loss) per share is calculated by assuming the vesting of unvested restricted stock and the exercise of stock options and warrants and unrecognized compensation costs.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Share-Based Payments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Collaborative Agreements</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The Company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3 do not meet the criteria for accounting under ASC Topic 808, </w:t>
      </w:r>
      <w:r>
        <w:rPr>
          <w:rFonts w:ascii="Arial" w:cs="Arial" w:eastAsia="Arial" w:hAnsi="Arial"/>
          <w:sz w:val="14"/>
          <w:szCs w:val="14"/>
          <w:i w:val="1"/>
          <w:iCs w:val="1"/>
          <w:color w:val="auto"/>
        </w:rPr>
        <w:t>Collaborative Agreements</w:t>
      </w:r>
      <w:r>
        <w:rPr>
          <w:rFonts w:ascii="Arial" w:cs="Arial" w:eastAsia="Arial" w:hAnsi="Arial"/>
          <w:sz w:val="14"/>
          <w:szCs w:val="14"/>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consolidated statements of operations.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Discontinued Operations</w:t>
      </w:r>
    </w:p>
    <w:p>
      <w:pPr>
        <w:spacing w:after="0" w:line="92"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As discussed further in Note 20, 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18"/>
          <w:szCs w:val="18"/>
          <w:b w:val="1"/>
          <w:bCs w:val="1"/>
          <w:color w:val="auto"/>
          <w:vertAlign w:val="superscript"/>
        </w:rPr>
        <w:t>®</w:t>
      </w:r>
      <w:r>
        <w:rPr>
          <w:rFonts w:ascii="Arial" w:cs="Arial" w:eastAsia="Arial" w:hAnsi="Arial"/>
          <w:sz w:val="14"/>
          <w:szCs w:val="14"/>
          <w:color w:val="auto"/>
        </w:rPr>
        <w:t xml:space="preserve"> and Totect</w:t>
      </w:r>
      <w:r>
        <w:rPr>
          <w:rFonts w:ascii="Arial" w:cs="Arial" w:eastAsia="Arial" w:hAnsi="Arial"/>
          <w:sz w:val="18"/>
          <w:szCs w:val="18"/>
          <w:b w:val="1"/>
          <w:bCs w:val="1"/>
          <w:color w:val="auto"/>
          <w:vertAlign w:val="superscript"/>
        </w:rPr>
        <w:t>®</w:t>
      </w:r>
      <w:r>
        <w:rPr>
          <w:rFonts w:ascii="Arial" w:cs="Arial" w:eastAsia="Arial" w:hAnsi="Arial"/>
          <w:sz w:val="14"/>
          <w:szCs w:val="14"/>
          <w:color w:val="auto"/>
        </w:rPr>
        <w:t xml:space="preserve"> in the United States to Clinigen. Under the terms of the Dissolution Agreement, Cumberland is no longer involved directly or indirectly with the distribution, marketing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promotion of either Ethyol or Totect or any competing products following December 31, 2019. The Company's exit from the products meets the accounting criteria to be reported as discontinued operations and the discontinued operating results have been reclassified in the financial statements and footnotes for all periods presented to reflect the discontinued status of these products. Refer to Note 20, for additional information.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Recent Accounting Guidance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 - Not Yet Adopted</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7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2"/>
          <w:szCs w:val="12"/>
          <w:b w:val="1"/>
          <w:bCs w:val="1"/>
          <w:color w:val="auto"/>
        </w:rPr>
        <w:t>RediTrex</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and Vibativ</w:t>
      </w:r>
      <w:r>
        <w:rPr>
          <w:rFonts w:ascii="Arial" w:cs="Arial" w:eastAsia="Arial" w:hAnsi="Arial"/>
          <w:sz w:val="15"/>
          <w:szCs w:val="15"/>
          <w:b w:val="1"/>
          <w:bCs w:val="1"/>
          <w:color w:val="auto"/>
          <w:vertAlign w:val="superscript"/>
        </w:rPr>
        <w:t>®</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RediTrex</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consideration for the license Cumberland paid a deposit of $0.1 million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This milestone payment was paid in July 2020 and was recorded as an other current liability at December 31, 2019. During December 2020, Cumberland began distributing RediTrex which also resulted in a $1.0 million milestone payment due to Nordic and recorded in accounts payable at December 31, 2020. The full launch of RediTrex occurred in October 2021 and this milestone payment will be paid during 2022.</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Cumberland has approximately $2.6 million and $2.8 million in net intangible assets related to RediTrex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Vibativ</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Cumberland expects to deduct the goodwill acquired in the acquisition for tax purposes.</w:t>
      </w:r>
    </w:p>
    <w:p>
      <w:pPr>
        <w:spacing w:after="0" w:line="94"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Cumberland has accounted for the transaction as a business combination in accordance with ASC 805 and the product sales are included in the results of operations subsequent to the acquisition date. The Company paid an upfront payment of $20.0 million at closing and a $5.0 million cash payment during early 2019. In addition, Cumberland agreed to pay a royalty of up to 20% on future net sales of the product. The future royalty payments were required to be recognized at their acquisition-date fair value as part of the contingent consideration transferred in the business combination.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initial payments and consideration for the business combination:</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Consideration:</w:t>
            </w:r>
          </w:p>
        </w:tc>
        <w:tc>
          <w:tcPr>
            <w:tcW w:w="10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9"/>
        </w:trPr>
        <w:tc>
          <w:tcPr>
            <w:tcW w:w="8440" w:type="dxa"/>
            <w:vAlign w:val="bottom"/>
          </w:tcPr>
          <w:p>
            <w:pPr>
              <w:ind w:left="20"/>
              <w:spacing w:after="0"/>
              <w:rPr>
                <w:sz w:val="20"/>
                <w:szCs w:val="20"/>
                <w:color w:val="auto"/>
              </w:rPr>
            </w:pPr>
            <w:r>
              <w:rPr>
                <w:rFonts w:ascii="Arial" w:cs="Arial" w:eastAsia="Arial" w:hAnsi="Arial"/>
                <w:sz w:val="14"/>
                <w:szCs w:val="14"/>
                <w:color w:val="auto"/>
              </w:rPr>
              <w:t>Cash paid at closing</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ind w:right="10"/>
              <w:spacing w:after="0"/>
              <w:rPr>
                <w:sz w:val="20"/>
                <w:szCs w:val="20"/>
                <w:color w:val="auto"/>
              </w:rPr>
            </w:pPr>
            <w:r>
              <w:rPr>
                <w:rFonts w:ascii="Arial" w:cs="Arial" w:eastAsia="Arial" w:hAnsi="Arial"/>
                <w:sz w:val="14"/>
                <w:szCs w:val="14"/>
                <w:color w:val="auto"/>
              </w:rPr>
              <w:t>20,000,000</w:t>
            </w:r>
          </w:p>
        </w:tc>
      </w:tr>
      <w:tr>
        <w:trPr>
          <w:trHeight w:val="17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payment during early 2019</w:t>
            </w:r>
          </w:p>
        </w:tc>
        <w:tc>
          <w:tcPr>
            <w:tcW w:w="108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5,000,000</w:t>
            </w:r>
          </w:p>
        </w:tc>
      </w:tr>
      <w:tr>
        <w:trPr>
          <w:trHeight w:val="17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of contingent consideration - net sales royalty</w:t>
            </w:r>
          </w:p>
        </w:tc>
        <w:tc>
          <w:tcPr>
            <w:tcW w:w="10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9,182,000</w:t>
            </w:r>
          </w:p>
        </w:tc>
      </w:tr>
      <w:tr>
        <w:trPr>
          <w:trHeight w:val="195"/>
        </w:trPr>
        <w:tc>
          <w:tcPr>
            <w:tcW w:w="844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Total consideration</w:t>
            </w:r>
          </w:p>
        </w:tc>
        <w:tc>
          <w:tcPr>
            <w:tcW w:w="108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34,182,000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The contingent consideration liability represents the future net sales royalty payments discussed above. Cumberland prepared the valuations of the contingent consideration liability and the intangible assets utilizing significant unobservable inputs. As a result, the valuations are classified as Level 3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The following table presents the changes in the Company's Level 3 contingent consideration liability that is remeasured at fair value on a recurring basis. The contingent consideration earned and accrued in operating expenses is paid to the seller quarterly.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2"/>
              </w:rPr>
              <w:t>Contingent consideration liability</w:t>
            </w:r>
          </w:p>
        </w:tc>
      </w:tr>
      <w:tr>
        <w:trPr>
          <w:trHeight w:val="170"/>
        </w:trPr>
        <w:tc>
          <w:tcPr>
            <w:tcW w:w="8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Balance at November 12,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9,034,000</w:t>
            </w:r>
          </w:p>
        </w:tc>
      </w:tr>
      <w:tr>
        <w:trPr>
          <w:trHeight w:val="179"/>
        </w:trPr>
        <w:tc>
          <w:tcPr>
            <w:tcW w:w="884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included in operating expenses</w:t>
            </w: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(40,000)</w:t>
            </w:r>
          </w:p>
        </w:tc>
      </w:tr>
      <w:tr>
        <w:trPr>
          <w:trHeight w:val="179"/>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earned and accrued in operating expenses</w:t>
            </w:r>
          </w:p>
        </w:tc>
        <w:tc>
          <w:tcPr>
            <w:tcW w:w="140" w:type="dxa"/>
            <w:vAlign w:val="bottom"/>
            <w:tcBorders>
              <w:bottom w:val="single" w:sz="8" w:color="auto"/>
            </w:tcBorders>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508,000</w:t>
            </w:r>
          </w:p>
        </w:tc>
      </w:tr>
      <w:tr>
        <w:trPr>
          <w:trHeight w:val="170"/>
        </w:trPr>
        <w:tc>
          <w:tcPr>
            <w:tcW w:w="884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Balance at December 31,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9,502,000</w:t>
            </w:r>
          </w:p>
        </w:tc>
      </w:tr>
      <w:tr>
        <w:trPr>
          <w:trHeight w:val="170"/>
        </w:trPr>
        <w:tc>
          <w:tcPr>
            <w:tcW w:w="8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Adjustment to initial fair value of the contingent consideration liability</w:t>
            </w:r>
          </w:p>
        </w:tc>
        <w:tc>
          <w:tcPr>
            <w:tcW w:w="140" w:type="dxa"/>
            <w:vAlign w:val="bottom"/>
            <w:shd w:val="clear" w:color="auto" w:fill="CCEEFF"/>
          </w:tcPr>
          <w:p>
            <w:pPr>
              <w:spacing w:after="0"/>
              <w:rPr>
                <w:sz w:val="14"/>
                <w:szCs w:val="1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148,000</w:t>
            </w:r>
          </w:p>
        </w:tc>
      </w:tr>
      <w:tr>
        <w:trPr>
          <w:trHeight w:val="179"/>
        </w:trPr>
        <w:tc>
          <w:tcPr>
            <w:tcW w:w="8840" w:type="dxa"/>
            <w:vAlign w:val="bottom"/>
          </w:tcPr>
          <w:p>
            <w:pPr>
              <w:ind w:left="20"/>
              <w:spacing w:after="0"/>
              <w:rPr>
                <w:sz w:val="20"/>
                <w:szCs w:val="20"/>
                <w:color w:val="auto"/>
              </w:rPr>
            </w:pPr>
            <w:r>
              <w:rPr>
                <w:rFonts w:ascii="Arial" w:cs="Arial" w:eastAsia="Arial" w:hAnsi="Arial"/>
                <w:sz w:val="14"/>
                <w:szCs w:val="14"/>
                <w:color w:val="auto"/>
              </w:rPr>
              <w:t>Cash payment of royalty during the period</w:t>
            </w: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(1,033,108)</w:t>
            </w:r>
          </w:p>
        </w:tc>
      </w:tr>
      <w:tr>
        <w:trPr>
          <w:trHeight w:val="179"/>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included in operating expenses</w:t>
            </w:r>
          </w:p>
        </w:tc>
        <w:tc>
          <w:tcPr>
            <w:tcW w:w="14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(804,167)</w:t>
            </w:r>
          </w:p>
        </w:tc>
      </w:tr>
      <w:tr>
        <w:trPr>
          <w:trHeight w:val="17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earned and accrued in operating expenses</w:t>
            </w: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820,864</w:t>
            </w:r>
          </w:p>
        </w:tc>
      </w:tr>
      <w:tr>
        <w:trPr>
          <w:trHeight w:val="170"/>
        </w:trPr>
        <w:tc>
          <w:tcPr>
            <w:tcW w:w="8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Balance at 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8,633,589</w:t>
            </w:r>
          </w:p>
        </w:tc>
      </w:tr>
      <w:tr>
        <w:trPr>
          <w:trHeight w:val="170"/>
        </w:trPr>
        <w:tc>
          <w:tcPr>
            <w:tcW w:w="8840" w:type="dxa"/>
            <w:vAlign w:val="bottom"/>
          </w:tcPr>
          <w:p>
            <w:pPr>
              <w:ind w:left="20"/>
              <w:spacing w:after="0" w:line="159" w:lineRule="exact"/>
              <w:rPr>
                <w:sz w:val="20"/>
                <w:szCs w:val="20"/>
                <w:color w:val="auto"/>
              </w:rPr>
            </w:pPr>
            <w:r>
              <w:rPr>
                <w:rFonts w:ascii="Arial" w:cs="Arial" w:eastAsia="Arial" w:hAnsi="Arial"/>
                <w:sz w:val="14"/>
                <w:szCs w:val="14"/>
                <w:color w:val="auto"/>
              </w:rPr>
              <w:t>Cash payment of royalty during the period</w:t>
            </w:r>
          </w:p>
        </w:tc>
        <w:tc>
          <w:tcPr>
            <w:tcW w:w="1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(819,180)</w:t>
            </w:r>
          </w:p>
        </w:tc>
      </w:tr>
      <w:tr>
        <w:trPr>
          <w:trHeight w:val="179"/>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included in operating expenses</w:t>
            </w:r>
          </w:p>
        </w:tc>
        <w:tc>
          <w:tcPr>
            <w:tcW w:w="14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(1,160,202)</w:t>
            </w:r>
          </w:p>
        </w:tc>
      </w:tr>
      <w:tr>
        <w:trPr>
          <w:trHeight w:val="17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earned and accrued in operating expenses</w:t>
            </w: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1,546,346</w:t>
            </w:r>
          </w:p>
        </w:tc>
      </w:tr>
      <w:tr>
        <w:trPr>
          <w:trHeight w:val="170"/>
        </w:trPr>
        <w:tc>
          <w:tcPr>
            <w:tcW w:w="8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8,200,553</w:t>
            </w:r>
          </w:p>
        </w:tc>
      </w:tr>
      <w:tr>
        <w:trPr>
          <w:trHeight w:val="179"/>
        </w:trPr>
        <w:tc>
          <w:tcPr>
            <w:tcW w:w="8840" w:type="dxa"/>
            <w:vAlign w:val="bottom"/>
          </w:tcPr>
          <w:p>
            <w:pPr>
              <w:ind w:left="20"/>
              <w:spacing w:after="0"/>
              <w:rPr>
                <w:sz w:val="20"/>
                <w:szCs w:val="20"/>
                <w:color w:val="auto"/>
              </w:rPr>
            </w:pPr>
            <w:r>
              <w:rPr>
                <w:rFonts w:ascii="Arial" w:cs="Arial" w:eastAsia="Arial" w:hAnsi="Arial"/>
                <w:sz w:val="14"/>
                <w:szCs w:val="14"/>
                <w:color w:val="auto"/>
              </w:rPr>
              <w:t>Cash payment of royalty during the period</w:t>
            </w: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(2,166,682)</w:t>
            </w:r>
          </w:p>
        </w:tc>
      </w:tr>
      <w:tr>
        <w:trPr>
          <w:trHeight w:val="179"/>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included in operating expenses</w:t>
            </w:r>
          </w:p>
        </w:tc>
        <w:tc>
          <w:tcPr>
            <w:tcW w:w="14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(1,147,750)</w:t>
            </w:r>
          </w:p>
        </w:tc>
      </w:tr>
      <w:tr>
        <w:trPr>
          <w:trHeight w:val="17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earned and accrued in operating expenses</w:t>
            </w: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1,629,506</w:t>
            </w:r>
          </w:p>
        </w:tc>
      </w:tr>
      <w:tr>
        <w:trPr>
          <w:trHeight w:val="170"/>
        </w:trPr>
        <w:tc>
          <w:tcPr>
            <w:tcW w:w="8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6,515,627</w:t>
            </w: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080" w:type="dxa"/>
            <w:vAlign w:val="bottom"/>
            <w:gridSpan w:val="2"/>
          </w:tcPr>
          <w:p>
            <w:pPr>
              <w:spacing w:after="0"/>
              <w:rPr>
                <w:sz w:val="20"/>
                <w:szCs w:val="20"/>
                <w:color w:val="auto"/>
              </w:rPr>
            </w:pPr>
            <w:r>
              <w:rPr>
                <w:rFonts w:ascii="Arial" w:cs="Arial" w:eastAsia="Arial" w:hAnsi="Arial"/>
                <w:sz w:val="14"/>
                <w:szCs w:val="14"/>
                <w:color w:val="auto"/>
                <w:w w:val="93"/>
              </w:rPr>
              <w:t>The following table summarizes the allocation of the fair values of the assets acquired as of the acquisition date for Vibativ:</w:t>
            </w:r>
          </w:p>
        </w:tc>
        <w:tc>
          <w:tcPr>
            <w:tcW w:w="15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27"/>
        </w:trPr>
        <w:tc>
          <w:tcPr>
            <w:tcW w:w="5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r>
      <w:tr>
        <w:trPr>
          <w:trHeight w:val="179"/>
        </w:trPr>
        <w:tc>
          <w:tcPr>
            <w:tcW w:w="58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 inventory</w:t>
            </w:r>
          </w:p>
        </w:tc>
        <w:tc>
          <w:tcPr>
            <w:tcW w:w="1520" w:type="dxa"/>
            <w:vAlign w:val="bottom"/>
            <w:shd w:val="clear" w:color="auto" w:fill="CCEEFF"/>
          </w:tcPr>
          <w:p>
            <w:pPr>
              <w:jc w:val="right"/>
              <w:ind w:right="135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6,624,000</w:t>
            </w:r>
          </w:p>
        </w:tc>
      </w:tr>
      <w:tr>
        <w:trPr>
          <w:trHeight w:val="179"/>
        </w:trPr>
        <w:tc>
          <w:tcPr>
            <w:tcW w:w="58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Arial" w:cs="Arial" w:eastAsia="Arial" w:hAnsi="Arial"/>
                <w:sz w:val="14"/>
                <w:szCs w:val="14"/>
                <w:color w:val="auto"/>
              </w:rPr>
              <w:t>Work in process - unlabeled vials</w:t>
            </w:r>
          </w:p>
        </w:tc>
        <w:tc>
          <w:tcPr>
            <w:tcW w:w="15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3,970,000</w:t>
            </w:r>
          </w:p>
        </w:tc>
      </w:tr>
      <w:tr>
        <w:trPr>
          <w:trHeight w:val="179"/>
        </w:trPr>
        <w:tc>
          <w:tcPr>
            <w:tcW w:w="58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 in process - validation vials</w:t>
            </w:r>
          </w:p>
        </w:tc>
        <w:tc>
          <w:tcPr>
            <w:tcW w:w="152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1,827,000</w:t>
            </w:r>
          </w:p>
        </w:tc>
      </w:tr>
      <w:tr>
        <w:trPr>
          <w:trHeight w:val="179"/>
        </w:trPr>
        <w:tc>
          <w:tcPr>
            <w:tcW w:w="580" w:type="dxa"/>
            <w:vAlign w:val="bottom"/>
          </w:tcPr>
          <w:p>
            <w:pPr>
              <w:spacing w:after="0"/>
              <w:rPr>
                <w:sz w:val="15"/>
                <w:szCs w:val="15"/>
                <w:color w:val="auto"/>
              </w:rPr>
            </w:pPr>
          </w:p>
        </w:tc>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Raw materials</w:t>
            </w:r>
          </w:p>
        </w:tc>
        <w:tc>
          <w:tcPr>
            <w:tcW w:w="15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9,129,000</w:t>
            </w:r>
          </w:p>
        </w:tc>
      </w:tr>
      <w:tr>
        <w:trPr>
          <w:trHeight w:val="195"/>
        </w:trPr>
        <w:tc>
          <w:tcPr>
            <w:tcW w:w="580" w:type="dxa"/>
            <w:vAlign w:val="bottom"/>
          </w:tcPr>
          <w:p>
            <w:pPr>
              <w:spacing w:after="0"/>
              <w:rPr>
                <w:sz w:val="16"/>
                <w:szCs w:val="16"/>
                <w:color w:val="auto"/>
              </w:rPr>
            </w:pPr>
          </w:p>
        </w:tc>
        <w:tc>
          <w:tcPr>
            <w:tcW w:w="6500" w:type="dxa"/>
            <w:vAlign w:val="bottom"/>
            <w:tcBorders>
              <w:bottom w:val="single" w:sz="8" w:color="CCEEFF"/>
            </w:tcBorders>
            <w:shd w:val="clear" w:color="auto" w:fill="CCEEFF"/>
          </w:tcPr>
          <w:p>
            <w:pPr>
              <w:ind w:left="180"/>
              <w:spacing w:after="0" w:line="159" w:lineRule="exact"/>
              <w:rPr>
                <w:sz w:val="20"/>
                <w:szCs w:val="20"/>
                <w:color w:val="auto"/>
              </w:rPr>
            </w:pPr>
            <w:r>
              <w:rPr>
                <w:rFonts w:ascii="Arial" w:cs="Arial" w:eastAsia="Arial" w:hAnsi="Arial"/>
                <w:sz w:val="14"/>
                <w:szCs w:val="14"/>
                <w:color w:val="auto"/>
              </w:rPr>
              <w:t>Total inventory</w:t>
            </w:r>
          </w:p>
        </w:tc>
        <w:tc>
          <w:tcPr>
            <w:tcW w:w="152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21,550,000</w:t>
            </w:r>
          </w:p>
        </w:tc>
      </w:tr>
      <w:tr>
        <w:trPr>
          <w:trHeight w:val="20"/>
        </w:trPr>
        <w:tc>
          <w:tcPr>
            <w:tcW w:w="58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8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79"/>
        </w:trPr>
        <w:tc>
          <w:tcPr>
            <w:tcW w:w="58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Intellectual property amortizable intangible assets</w:t>
            </w:r>
          </w:p>
        </w:tc>
        <w:tc>
          <w:tcPr>
            <w:tcW w:w="1520" w:type="dxa"/>
            <w:vAlign w:val="bottom"/>
            <w:shd w:val="clear" w:color="auto" w:fill="CCEEFF"/>
          </w:tcPr>
          <w:p>
            <w:pPr>
              <w:jc w:val="right"/>
              <w:ind w:right="135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11,750,000</w:t>
            </w:r>
          </w:p>
        </w:tc>
      </w:tr>
      <w:tr>
        <w:trPr>
          <w:trHeight w:val="179"/>
        </w:trPr>
        <w:tc>
          <w:tcPr>
            <w:tcW w:w="580" w:type="dxa"/>
            <w:vAlign w:val="bottom"/>
          </w:tcPr>
          <w:p>
            <w:pPr>
              <w:spacing w:after="0"/>
              <w:rPr>
                <w:sz w:val="15"/>
                <w:szCs w:val="15"/>
                <w:color w:val="auto"/>
              </w:rPr>
            </w:pPr>
          </w:p>
        </w:tc>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w:t>
            </w:r>
          </w:p>
        </w:tc>
        <w:tc>
          <w:tcPr>
            <w:tcW w:w="15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882,000</w:t>
            </w:r>
          </w:p>
        </w:tc>
      </w:tr>
      <w:tr>
        <w:trPr>
          <w:trHeight w:val="170"/>
        </w:trPr>
        <w:tc>
          <w:tcPr>
            <w:tcW w:w="580" w:type="dxa"/>
            <w:vAlign w:val="bottom"/>
          </w:tcPr>
          <w:p>
            <w:pPr>
              <w:spacing w:after="0"/>
              <w:rPr>
                <w:sz w:val="14"/>
                <w:szCs w:val="14"/>
                <w:color w:val="auto"/>
              </w:rPr>
            </w:pPr>
          </w:p>
        </w:tc>
        <w:tc>
          <w:tcPr>
            <w:tcW w:w="65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Total intangibles and goodwill</w:t>
            </w:r>
          </w:p>
        </w:tc>
        <w:tc>
          <w:tcPr>
            <w:tcW w:w="152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12,632,000</w:t>
            </w:r>
          </w:p>
        </w:tc>
      </w:tr>
      <w:tr>
        <w:trPr>
          <w:trHeight w:val="170"/>
        </w:trPr>
        <w:tc>
          <w:tcPr>
            <w:tcW w:w="580" w:type="dxa"/>
            <w:vAlign w:val="bottom"/>
          </w:tcPr>
          <w:p>
            <w:pPr>
              <w:spacing w:after="0"/>
              <w:rPr>
                <w:sz w:val="14"/>
                <w:szCs w:val="14"/>
                <w:color w:val="auto"/>
              </w:rPr>
            </w:pPr>
          </w:p>
        </w:tc>
        <w:tc>
          <w:tcPr>
            <w:tcW w:w="6500" w:type="dxa"/>
            <w:vAlign w:val="bottom"/>
          </w:tcPr>
          <w:p>
            <w:pPr>
              <w:ind w:left="360"/>
              <w:spacing w:after="0" w:line="159" w:lineRule="exact"/>
              <w:rPr>
                <w:sz w:val="20"/>
                <w:szCs w:val="20"/>
                <w:color w:val="auto"/>
              </w:rPr>
            </w:pPr>
            <w:r>
              <w:rPr>
                <w:rFonts w:ascii="Arial" w:cs="Arial" w:eastAsia="Arial" w:hAnsi="Arial"/>
                <w:sz w:val="14"/>
                <w:szCs w:val="14"/>
                <w:color w:val="auto"/>
              </w:rPr>
              <w:t>Total assets acquired</w:t>
            </w:r>
          </w:p>
        </w:tc>
        <w:tc>
          <w:tcPr>
            <w:tcW w:w="1520" w:type="dxa"/>
            <w:vAlign w:val="bottom"/>
            <w:tcBorders>
              <w:bottom w:val="single" w:sz="8" w:color="auto"/>
            </w:tcBorders>
          </w:tcPr>
          <w:p>
            <w:pPr>
              <w:jc w:val="right"/>
              <w:ind w:right="1350"/>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34,182,000</w:t>
            </w:r>
          </w:p>
        </w:tc>
      </w:tr>
      <w:tr>
        <w:trPr>
          <w:trHeight w:val="20"/>
        </w:trPr>
        <w:tc>
          <w:tcPr>
            <w:tcW w:w="5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260"/>
        <w:spacing w:after="0" w:line="265" w:lineRule="auto"/>
        <w:rPr>
          <w:sz w:val="20"/>
          <w:szCs w:val="20"/>
          <w:color w:val="auto"/>
        </w:rPr>
      </w:pPr>
      <w:r>
        <w:rPr>
          <w:rFonts w:ascii="Arial" w:cs="Arial" w:eastAsia="Arial" w:hAnsi="Arial"/>
          <w:sz w:val="14"/>
          <w:szCs w:val="14"/>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 The current portion of the contingent consideration liability is $2.7 million and the non-current portion is $3.8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Revenues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Product Revenues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Company’s net product revenues consisted of the following for the years ended December 31:</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2019</w:t>
            </w:r>
          </w:p>
        </w:tc>
      </w:tr>
      <w:tr>
        <w:trPr>
          <w:trHeight w:val="163"/>
        </w:trPr>
        <w:tc>
          <w:tcPr>
            <w:tcW w:w="4180" w:type="dxa"/>
            <w:vAlign w:val="bottom"/>
          </w:tcPr>
          <w:p>
            <w:pPr>
              <w:ind w:left="20"/>
              <w:spacing w:after="0"/>
              <w:rPr>
                <w:sz w:val="20"/>
                <w:szCs w:val="20"/>
                <w:color w:val="auto"/>
              </w:rPr>
            </w:pPr>
            <w:r>
              <w:rPr>
                <w:rFonts w:ascii="Arial" w:cs="Arial" w:eastAsia="Arial" w:hAnsi="Arial"/>
                <w:sz w:val="14"/>
                <w:szCs w:val="14"/>
                <w:color w:val="auto"/>
              </w:rPr>
              <w:t>Products:</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9"/>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Kristalose</w:t>
            </w:r>
          </w:p>
        </w:tc>
        <w:tc>
          <w:tcPr>
            <w:tcW w:w="1020" w:type="dxa"/>
            <w:vAlign w:val="bottom"/>
            <w:shd w:val="clear" w:color="auto" w:fill="CCEEFF"/>
          </w:tcPr>
          <w:p>
            <w:pPr>
              <w:jc w:val="right"/>
              <w:ind w:right="87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15,993,658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15,567,562</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12,895,120</w:t>
            </w:r>
          </w:p>
        </w:tc>
      </w:tr>
      <w:tr>
        <w:trPr>
          <w:trHeight w:val="179"/>
        </w:trPr>
        <w:tc>
          <w:tcPr>
            <w:tcW w:w="4180" w:type="dxa"/>
            <w:vAlign w:val="bottom"/>
          </w:tcPr>
          <w:p>
            <w:pPr>
              <w:ind w:left="180"/>
              <w:spacing w:after="0"/>
              <w:rPr>
                <w:sz w:val="20"/>
                <w:szCs w:val="20"/>
                <w:color w:val="auto"/>
              </w:rPr>
            </w:pPr>
            <w:r>
              <w:rPr>
                <w:rFonts w:ascii="Arial" w:cs="Arial" w:eastAsia="Arial" w:hAnsi="Arial"/>
                <w:sz w:val="14"/>
                <w:szCs w:val="14"/>
                <w:color w:val="auto"/>
              </w:rPr>
              <w:t>Vibativ</w:t>
            </w:r>
          </w:p>
        </w:tc>
        <w:tc>
          <w:tcPr>
            <w:tcW w:w="10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11,704,062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10,870,990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8,691,550</w:t>
            </w:r>
          </w:p>
        </w:tc>
      </w:tr>
      <w:tr>
        <w:trPr>
          <w:trHeight w:val="179"/>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Caldolor</w:t>
            </w: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4,970,301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5,336,943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5,222,282</w:t>
            </w:r>
          </w:p>
        </w:tc>
      </w:tr>
      <w:tr>
        <w:trPr>
          <w:trHeight w:val="179"/>
        </w:trPr>
        <w:tc>
          <w:tcPr>
            <w:tcW w:w="4180" w:type="dxa"/>
            <w:vAlign w:val="bottom"/>
          </w:tcPr>
          <w:p>
            <w:pPr>
              <w:ind w:left="180"/>
              <w:spacing w:after="0"/>
              <w:rPr>
                <w:sz w:val="20"/>
                <w:szCs w:val="20"/>
                <w:color w:val="auto"/>
              </w:rPr>
            </w:pPr>
            <w:r>
              <w:rPr>
                <w:rFonts w:ascii="Arial" w:cs="Arial" w:eastAsia="Arial" w:hAnsi="Arial"/>
                <w:sz w:val="14"/>
                <w:szCs w:val="14"/>
                <w:color w:val="auto"/>
              </w:rPr>
              <w:t>Acetadote</w:t>
            </w:r>
          </w:p>
        </w:tc>
        <w:tc>
          <w:tcPr>
            <w:tcW w:w="10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850,993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1,874,206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3,824,449</w:t>
            </w:r>
          </w:p>
        </w:tc>
      </w:tr>
      <w:tr>
        <w:trPr>
          <w:trHeight w:val="179"/>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Omeclamox-Pak</w:t>
            </w: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(388,657)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257,088</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837,829</w:t>
            </w:r>
          </w:p>
        </w:tc>
      </w:tr>
      <w:tr>
        <w:trPr>
          <w:trHeight w:val="179"/>
        </w:trPr>
        <w:tc>
          <w:tcPr>
            <w:tcW w:w="4180" w:type="dxa"/>
            <w:vAlign w:val="bottom"/>
          </w:tcPr>
          <w:p>
            <w:pPr>
              <w:ind w:left="180"/>
              <w:spacing w:after="0"/>
              <w:rPr>
                <w:sz w:val="20"/>
                <w:szCs w:val="20"/>
                <w:color w:val="auto"/>
              </w:rPr>
            </w:pPr>
            <w:r>
              <w:rPr>
                <w:rFonts w:ascii="Arial" w:cs="Arial" w:eastAsia="Arial" w:hAnsi="Arial"/>
                <w:sz w:val="14"/>
                <w:szCs w:val="14"/>
                <w:color w:val="auto"/>
              </w:rPr>
              <w:t>Vaprisol</w:t>
            </w:r>
          </w:p>
        </w:tc>
        <w:tc>
          <w:tcPr>
            <w:tcW w:w="10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1,859,581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1,077,227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936,615</w:t>
            </w:r>
          </w:p>
        </w:tc>
      </w:tr>
      <w:tr>
        <w:trPr>
          <w:trHeight w:val="179"/>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RediTrex</w:t>
            </w:r>
          </w:p>
        </w:tc>
        <w:tc>
          <w:tcPr>
            <w:tcW w:w="10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55,321</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856,657</w:t>
            </w: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4180" w:type="dxa"/>
            <w:vAlign w:val="bottom"/>
          </w:tcPr>
          <w:p>
            <w:pPr>
              <w:ind w:left="340"/>
              <w:spacing w:after="0" w:line="159" w:lineRule="exact"/>
              <w:rPr>
                <w:sz w:val="20"/>
                <w:szCs w:val="20"/>
                <w:color w:val="auto"/>
              </w:rPr>
            </w:pPr>
            <w:r>
              <w:rPr>
                <w:rFonts w:ascii="Arial" w:cs="Arial" w:eastAsia="Arial" w:hAnsi="Arial"/>
                <w:sz w:val="14"/>
                <w:szCs w:val="14"/>
                <w:color w:val="auto"/>
              </w:rPr>
              <w:t>Total net product revenues</w:t>
            </w:r>
          </w:p>
        </w:tc>
        <w:tc>
          <w:tcPr>
            <w:tcW w:w="102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35,045,259</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35,840,673</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32,407,845</w:t>
            </w:r>
          </w:p>
        </w:tc>
      </w:tr>
      <w:tr>
        <w:trPr>
          <w:trHeight w:val="20"/>
        </w:trPr>
        <w:tc>
          <w:tcPr>
            <w:tcW w:w="4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Revenues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2019, Cumberland executed a License and Distribution agreement with HongKong WinHealth Pharma Group Co. Limited (“WinHealth”) for our Caldolor and Acetadote brands in China and Hong Kong. In conjunction with these new arrangements, the Company terminated a previous License and Distribution agreement with Gloria Pharmaceuticals Co ("Gloria Pharmaceuticals") for the two brands. In addition, we also signed a new License and Distribution agreement with DB Pharm Korea Co., Ltd. (“DB Pharm”) for Vibativ in South Korea. As a result of these agreements, Cumberland recognized approximately $0.3 million of non-refundable up-front payments as other revenue in the consolidated statement of operations during 2019. There were no payments received in 2020 or 2021.</w:t>
      </w:r>
    </w:p>
    <w:p>
      <w:pPr>
        <w:spacing w:after="0" w:line="73"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international agreements provide for $1.0 million in non-refundable up-front payments, milestone payments of up to $2.2 million related to regulatory approvals and up to $4.8 million in payments related to product sales. From 2012 through December 31, 2021, the Company has recognized a cumulative $1.2 million in upfront payments as other revenue and has recognized $0.1 million in revenue related to the milestone payments associated with these international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Other revenues during 2021, 2020 and 2019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$0.4 million, $0.6 million, and $1.3 million for the years ending December 31, 2021, 2020 and 2019, respectively.</w:t>
      </w:r>
    </w:p>
    <w:p>
      <w:pPr>
        <w:spacing w:after="0" w:line="6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Inventories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The Company's net inventories consisted of the following as of December 31:</w:t>
      </w:r>
    </w:p>
    <w:p>
      <w:pPr>
        <w:spacing w:after="0" w:line="145" w:lineRule="exact"/>
        <w:rPr>
          <w:sz w:val="20"/>
          <w:szCs w:val="20"/>
          <w:color w:val="auto"/>
        </w:rPr>
      </w:pPr>
    </w:p>
    <w:tbl>
      <w:tblPr>
        <w:tblLayout w:type="fixed"/>
        <w:tblInd w:w="720" w:type="dxa"/>
        <w:tblCellMar>
          <w:top w:w="0" w:type="dxa"/>
          <w:left w:w="0" w:type="dxa"/>
          <w:bottom w:w="0" w:type="dxa"/>
          <w:right w:w="0" w:type="dxa"/>
        </w:tblCellMar>
      </w:tblPr>
      <w:tr>
        <w:trPr>
          <w:trHeight w:val="167"/>
        </w:trPr>
        <w:tc>
          <w:tcPr>
            <w:tcW w:w="61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2020</w:t>
            </w:r>
          </w:p>
        </w:tc>
      </w:tr>
      <w:tr>
        <w:trPr>
          <w:trHeight w:val="109"/>
        </w:trPr>
        <w:tc>
          <w:tcPr>
            <w:tcW w:w="6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7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 and work in process, net of reserve</w:t>
            </w:r>
          </w:p>
        </w:tc>
        <w:tc>
          <w:tcPr>
            <w:tcW w:w="1080" w:type="dxa"/>
            <w:vAlign w:val="bottom"/>
            <w:shd w:val="clear" w:color="auto" w:fill="CCEEFF"/>
          </w:tcPr>
          <w:p>
            <w:pPr>
              <w:jc w:val="right"/>
              <w:ind w:right="93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12,374,983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16,223,162</w:t>
            </w:r>
          </w:p>
        </w:tc>
      </w:tr>
      <w:tr>
        <w:trPr>
          <w:trHeight w:val="179"/>
        </w:trPr>
        <w:tc>
          <w:tcPr>
            <w:tcW w:w="6100" w:type="dxa"/>
            <w:vAlign w:val="bottom"/>
          </w:tcPr>
          <w:p>
            <w:pPr>
              <w:ind w:left="20"/>
              <w:spacing w:after="0"/>
              <w:rPr>
                <w:sz w:val="20"/>
                <w:szCs w:val="20"/>
                <w:color w:val="auto"/>
              </w:rPr>
            </w:pPr>
            <w:r>
              <w:rPr>
                <w:rFonts w:ascii="Arial" w:cs="Arial" w:eastAsia="Arial" w:hAnsi="Arial"/>
                <w:sz w:val="14"/>
                <w:szCs w:val="14"/>
                <w:color w:val="auto"/>
              </w:rPr>
              <w:t>Consigned inventory</w:t>
            </w: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164,378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128,005</w:t>
            </w:r>
          </w:p>
        </w:tc>
      </w:tr>
      <w:tr>
        <w:trPr>
          <w:trHeight w:val="17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 net of reserve</w:t>
            </w:r>
          </w:p>
        </w:tc>
        <w:tc>
          <w:tcPr>
            <w:tcW w:w="10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4,939,088</w:t>
            </w: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5,943,732</w:t>
            </w:r>
          </w:p>
        </w:tc>
      </w:tr>
      <w:tr>
        <w:trPr>
          <w:trHeight w:val="170"/>
        </w:trPr>
        <w:tc>
          <w:tcPr>
            <w:tcW w:w="6100" w:type="dxa"/>
            <w:vAlign w:val="bottom"/>
          </w:tcPr>
          <w:p>
            <w:pPr>
              <w:ind w:left="180"/>
              <w:spacing w:after="0" w:line="159" w:lineRule="exact"/>
              <w:rPr>
                <w:sz w:val="20"/>
                <w:szCs w:val="20"/>
                <w:color w:val="auto"/>
              </w:rPr>
            </w:pPr>
            <w:r>
              <w:rPr>
                <w:rFonts w:ascii="Arial" w:cs="Arial" w:eastAsia="Arial" w:hAnsi="Arial"/>
                <w:sz w:val="14"/>
                <w:szCs w:val="14"/>
                <w:color w:val="auto"/>
              </w:rPr>
              <w:t>Total inventories</w:t>
            </w:r>
          </w:p>
        </w:tc>
        <w:tc>
          <w:tcPr>
            <w:tcW w:w="10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17,478,449</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22,294,899</w:t>
            </w:r>
          </w:p>
        </w:tc>
      </w:tr>
      <w:tr>
        <w:trPr>
          <w:trHeight w:val="179"/>
        </w:trPr>
        <w:tc>
          <w:tcPr>
            <w:tcW w:w="6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non-current inventories</w:t>
            </w:r>
          </w:p>
        </w:tc>
        <w:tc>
          <w:tcPr>
            <w:tcW w:w="10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(9,048,567)</w:t>
            </w: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(11,656,742)</w:t>
            </w:r>
          </w:p>
        </w:tc>
      </w:tr>
      <w:tr>
        <w:trPr>
          <w:trHeight w:val="170"/>
        </w:trPr>
        <w:tc>
          <w:tcPr>
            <w:tcW w:w="6100" w:type="dxa"/>
            <w:vAlign w:val="bottom"/>
          </w:tcPr>
          <w:p>
            <w:pPr>
              <w:ind w:left="20"/>
              <w:spacing w:after="0" w:line="159" w:lineRule="exact"/>
              <w:rPr>
                <w:sz w:val="20"/>
                <w:szCs w:val="20"/>
                <w:color w:val="auto"/>
              </w:rPr>
            </w:pPr>
            <w:r>
              <w:rPr>
                <w:rFonts w:ascii="Arial" w:cs="Arial" w:eastAsia="Arial" w:hAnsi="Arial"/>
                <w:sz w:val="14"/>
                <w:szCs w:val="14"/>
                <w:color w:val="auto"/>
              </w:rPr>
              <w:t>Total inventories classified as current</w:t>
            </w:r>
          </w:p>
        </w:tc>
        <w:tc>
          <w:tcPr>
            <w:tcW w:w="108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8,429,882</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10,638,157</w:t>
            </w:r>
          </w:p>
        </w:tc>
      </w:tr>
      <w:tr>
        <w:trPr>
          <w:trHeight w:val="20"/>
        </w:trPr>
        <w:tc>
          <w:tcPr>
            <w:tcW w:w="6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5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December 31, 2021 and 2020 the Company had recognized and maintained cumulative net realizable value charges for potential obsolescence and discontinuance losses of approximately $1.4 million and $0.2 million, respectively.</w:t>
      </w:r>
    </w:p>
    <w:p>
      <w:pPr>
        <w:spacing w:after="0" w:line="62" w:lineRule="exact"/>
        <w:rPr>
          <w:sz w:val="20"/>
          <w:szCs w:val="20"/>
          <w:color w:val="auto"/>
        </w:rPr>
      </w:pPr>
    </w:p>
    <w:p>
      <w:pPr>
        <w:jc w:val="both"/>
        <w:spacing w:after="0" w:line="329" w:lineRule="auto"/>
        <w:rPr>
          <w:sz w:val="20"/>
          <w:szCs w:val="20"/>
          <w:color w:val="auto"/>
        </w:rPr>
      </w:pPr>
      <w:r>
        <w:rPr>
          <w:rFonts w:ascii="Arial" w:cs="Arial" w:eastAsia="Arial" w:hAnsi="Arial"/>
          <w:sz w:val="12"/>
          <w:szCs w:val="12"/>
          <w:color w:val="auto"/>
        </w:rPr>
        <w:t>In connection with the acquisition of certain product rights related to the Kristalose brand, the Company is responsible for the purchase of the active pharmaceutical ingredient ("API") for Kristalose and maintains the inventory at the third-party packagers. As the API is consumed in production, the value of the API is transferred from raw materials to finished goods. API for the Company's Vaprisol brand is also included in the raw materials inventory total at December 31, 2021 and 2020. Consigned inventory represents Authorized Generic inventory stored with Perrigo until shipment.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part of the Vibativ acquisition, Cumberland acquired API and work in process inventories of $15.6 million that were classified as non-current inventories. At December 31, 2021, the Vibativ non-current API inventory was $8.1 million and $11.2 million at December 31, 2020. The Company had Vibativ finished goods included in the non-current inventories at December 31, 2021 of $0.5 million and $2.1 million Vibativ finished goods included at December 31, 2020. At December 31, 2021 and December 31, 2020, Cumberland had $0.4 million in non-current inventory for API related to its ifetroban clinical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3"/>
          <w:szCs w:val="13"/>
          <w:b w:val="1"/>
          <w:bCs w:val="1"/>
          <w:color w:val="auto"/>
        </w:rPr>
        <w:t>Property and Equipment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Property and equipment consisted of the following at December 31:</w:t>
      </w:r>
    </w:p>
    <w:p>
      <w:pPr>
        <w:spacing w:after="0" w:line="132"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Range of</w:t>
            </w:r>
          </w:p>
        </w:tc>
        <w:tc>
          <w:tcPr>
            <w:tcW w:w="420" w:type="dxa"/>
            <w:vAlign w:val="bottom"/>
          </w:tcPr>
          <w:p>
            <w:pPr>
              <w:spacing w:after="0"/>
              <w:rPr>
                <w:sz w:val="13"/>
                <w:szCs w:val="13"/>
                <w:color w:val="auto"/>
              </w:rPr>
            </w:pPr>
          </w:p>
        </w:tc>
        <w:tc>
          <w:tcPr>
            <w:tcW w:w="1340" w:type="dxa"/>
            <w:vAlign w:val="bottom"/>
            <w:vMerge w:val="restart"/>
          </w:tcPr>
          <w:p>
            <w:pPr>
              <w:jc w:val="right"/>
              <w:ind w:right="671"/>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ind w:right="69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1"/>
              </w:rPr>
              <w:t>useful lives</w:t>
            </w:r>
          </w:p>
        </w:tc>
        <w:tc>
          <w:tcPr>
            <w:tcW w:w="4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580" w:type="dxa"/>
            <w:vAlign w:val="bottom"/>
          </w:tcPr>
          <w:p>
            <w:pPr>
              <w:spacing w:after="0"/>
              <w:rPr>
                <w:sz w:val="9"/>
                <w:szCs w:val="9"/>
                <w:color w:val="auto"/>
              </w:rPr>
            </w:pPr>
          </w:p>
        </w:tc>
        <w:tc>
          <w:tcPr>
            <w:tcW w:w="2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Computer equipment</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3 – 5 years</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1,352,734</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1,275,703</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20"/>
                <w:szCs w:val="20"/>
                <w:color w:val="auto"/>
              </w:rPr>
            </w:pPr>
            <w:r>
              <w:rPr>
                <w:rFonts w:ascii="Arial" w:cs="Arial" w:eastAsia="Arial" w:hAnsi="Arial"/>
                <w:sz w:val="14"/>
                <w:szCs w:val="14"/>
                <w:color w:val="auto"/>
              </w:rPr>
              <w:t>Office equipment</w:t>
            </w: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3 – 15 years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820,712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806,906</w:t>
            </w:r>
          </w:p>
        </w:tc>
        <w:tc>
          <w:tcPr>
            <w:tcW w:w="0" w:type="dxa"/>
            <w:vAlign w:val="bottom"/>
          </w:tcPr>
          <w:p>
            <w:pPr>
              <w:spacing w:after="0"/>
              <w:rPr>
                <w:sz w:val="1"/>
                <w:szCs w:val="1"/>
                <w:color w:val="auto"/>
              </w:rPr>
            </w:pPr>
          </w:p>
        </w:tc>
      </w:tr>
      <w:tr>
        <w:trPr>
          <w:trHeight w:val="179"/>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5 – 15 years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638,903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638,903</w:t>
            </w:r>
          </w:p>
        </w:tc>
        <w:tc>
          <w:tcPr>
            <w:tcW w:w="0" w:type="dxa"/>
            <w:vAlign w:val="bottom"/>
          </w:tcPr>
          <w:p>
            <w:pPr>
              <w:spacing w:after="0"/>
              <w:rPr>
                <w:sz w:val="1"/>
                <w:szCs w:val="1"/>
                <w:color w:val="auto"/>
              </w:rPr>
            </w:pPr>
          </w:p>
        </w:tc>
      </w:tr>
      <w:tr>
        <w:trPr>
          <w:trHeight w:val="179"/>
        </w:trPr>
        <w:tc>
          <w:tcPr>
            <w:tcW w:w="3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Leasehold improvements</w:t>
            </w:r>
          </w:p>
        </w:tc>
        <w:tc>
          <w:tcPr>
            <w:tcW w:w="2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0"/>
              </w:rPr>
              <w:t>3 – 15 years, or remaining lease term</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1,422,439</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1,409,744</w:t>
            </w:r>
          </w:p>
        </w:tc>
        <w:tc>
          <w:tcPr>
            <w:tcW w:w="0" w:type="dxa"/>
            <w:vAlign w:val="bottom"/>
          </w:tcPr>
          <w:p>
            <w:pPr>
              <w:spacing w:after="0"/>
              <w:rPr>
                <w:sz w:val="1"/>
                <w:szCs w:val="1"/>
                <w:color w:val="auto"/>
              </w:rPr>
            </w:pPr>
          </w:p>
        </w:tc>
      </w:tr>
      <w:tr>
        <w:trPr>
          <w:trHeight w:val="117"/>
        </w:trPr>
        <w:tc>
          <w:tcPr>
            <w:tcW w:w="3580" w:type="dxa"/>
            <w:vAlign w:val="bottom"/>
            <w:shd w:val="clear" w:color="auto" w:fill="CCEEFF"/>
          </w:tcPr>
          <w:p>
            <w:pPr>
              <w:ind w:left="180"/>
              <w:spacing w:after="0" w:line="117" w:lineRule="exact"/>
              <w:rPr>
                <w:sz w:val="20"/>
                <w:szCs w:val="20"/>
                <w:color w:val="auto"/>
              </w:rPr>
            </w:pPr>
            <w:r>
              <w:rPr>
                <w:rFonts w:ascii="Arial" w:cs="Arial" w:eastAsia="Arial" w:hAnsi="Arial"/>
                <w:sz w:val="13"/>
                <w:szCs w:val="13"/>
                <w:color w:val="auto"/>
              </w:rPr>
              <w:t>Total property and</w:t>
            </w:r>
          </w:p>
        </w:tc>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4,234,788</w:t>
            </w: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4,131,256</w:t>
            </w:r>
          </w:p>
        </w:tc>
        <w:tc>
          <w:tcPr>
            <w:tcW w:w="0" w:type="dxa"/>
            <w:vAlign w:val="bottom"/>
          </w:tcPr>
          <w:p>
            <w:pPr>
              <w:spacing w:after="0"/>
              <w:rPr>
                <w:sz w:val="1"/>
                <w:szCs w:val="1"/>
                <w:color w:val="auto"/>
              </w:rPr>
            </w:pPr>
          </w:p>
        </w:tc>
      </w:tr>
      <w:tr>
        <w:trPr>
          <w:trHeight w:val="179"/>
        </w:trPr>
        <w:tc>
          <w:tcPr>
            <w:tcW w:w="3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gross</w:t>
            </w:r>
          </w:p>
        </w:tc>
        <w:tc>
          <w:tcPr>
            <w:tcW w:w="2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Arial" w:cs="Arial" w:eastAsia="Arial" w:hAnsi="Arial"/>
                <w:sz w:val="14"/>
                <w:szCs w:val="14"/>
                <w:color w:val="auto"/>
              </w:rPr>
              <w:t>Less: accumulated depreciation</w:t>
            </w: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(3,792,153)</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(3,557,087)</w:t>
            </w:r>
          </w:p>
        </w:tc>
        <w:tc>
          <w:tcPr>
            <w:tcW w:w="0" w:type="dxa"/>
            <w:vAlign w:val="bottom"/>
          </w:tcPr>
          <w:p>
            <w:pPr>
              <w:spacing w:after="0"/>
              <w:rPr>
                <w:sz w:val="1"/>
                <w:szCs w:val="1"/>
                <w:color w:val="auto"/>
              </w:rPr>
            </w:pPr>
          </w:p>
        </w:tc>
      </w:tr>
      <w:tr>
        <w:trPr>
          <w:trHeight w:val="179"/>
        </w:trPr>
        <w:tc>
          <w:tcPr>
            <w:tcW w:w="3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and amortization</w:t>
            </w:r>
          </w:p>
        </w:tc>
        <w:tc>
          <w:tcPr>
            <w:tcW w:w="23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shd w:val="clear" w:color="auto" w:fill="CCEEFF"/>
          </w:tcPr>
          <w:p>
            <w:pPr>
              <w:ind w:left="180"/>
              <w:spacing w:after="0" w:line="117" w:lineRule="exact"/>
              <w:rPr>
                <w:sz w:val="20"/>
                <w:szCs w:val="20"/>
                <w:color w:val="auto"/>
              </w:rPr>
            </w:pPr>
            <w:r>
              <w:rPr>
                <w:rFonts w:ascii="Arial" w:cs="Arial" w:eastAsia="Arial" w:hAnsi="Arial"/>
                <w:sz w:val="13"/>
                <w:szCs w:val="13"/>
                <w:color w:val="auto"/>
              </w:rPr>
              <w:t>Total property and</w:t>
            </w:r>
          </w:p>
        </w:tc>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442,635</w:t>
            </w: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574,169</w:t>
            </w:r>
          </w:p>
        </w:tc>
        <w:tc>
          <w:tcPr>
            <w:tcW w:w="0" w:type="dxa"/>
            <w:vAlign w:val="bottom"/>
          </w:tcPr>
          <w:p>
            <w:pPr>
              <w:spacing w:after="0"/>
              <w:rPr>
                <w:sz w:val="1"/>
                <w:szCs w:val="1"/>
                <w:color w:val="auto"/>
              </w:rPr>
            </w:pPr>
          </w:p>
        </w:tc>
      </w:tr>
      <w:tr>
        <w:trPr>
          <w:trHeight w:val="178"/>
        </w:trPr>
        <w:tc>
          <w:tcPr>
            <w:tcW w:w="3580" w:type="dxa"/>
            <w:vAlign w:val="bottom"/>
            <w:tcBorders>
              <w:bottom w:val="single" w:sz="8" w:color="CCEEFF"/>
            </w:tcBorders>
            <w:shd w:val="clear" w:color="auto" w:fill="CCEEFF"/>
          </w:tcPr>
          <w:p>
            <w:pPr>
              <w:ind w:left="180"/>
              <w:spacing w:after="0" w:line="158" w:lineRule="exact"/>
              <w:rPr>
                <w:sz w:val="20"/>
                <w:szCs w:val="20"/>
                <w:color w:val="auto"/>
              </w:rPr>
            </w:pPr>
            <w:r>
              <w:rPr>
                <w:rFonts w:ascii="Arial" w:cs="Arial" w:eastAsia="Arial" w:hAnsi="Arial"/>
                <w:sz w:val="14"/>
                <w:szCs w:val="14"/>
                <w:color w:val="auto"/>
              </w:rPr>
              <w:t>equipment, net</w:t>
            </w:r>
          </w:p>
        </w:tc>
        <w:tc>
          <w:tcPr>
            <w:tcW w:w="2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Depreciation expense, including amortization expense related to leasehold improvements, is included in general and administrative expense in the consolidated statements of operations. Depreciation expense was as follows for the years ended December 31:</w:t>
      </w:r>
    </w:p>
    <w:p>
      <w:pPr>
        <w:spacing w:after="0" w:line="108" w:lineRule="exact"/>
        <w:rPr>
          <w:sz w:val="20"/>
          <w:szCs w:val="20"/>
          <w:color w:val="auto"/>
        </w:rPr>
      </w:pPr>
    </w:p>
    <w:tbl>
      <w:tblPr>
        <w:tblLayout w:type="fixed"/>
        <w:tblInd w:w="80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2019</w:t>
            </w:r>
          </w:p>
        </w:tc>
      </w:tr>
      <w:tr>
        <w:trPr>
          <w:trHeight w:val="107"/>
        </w:trPr>
        <w:tc>
          <w:tcPr>
            <w:tcW w:w="4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0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104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235,066</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314,444</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269,619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(7)  Intangible Assets and Goodwill</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74"/>
        </w:trPr>
        <w:tc>
          <w:tcPr>
            <w:tcW w:w="6760" w:type="dxa"/>
            <w:vAlign w:val="bottom"/>
            <w:gridSpan w:val="2"/>
          </w:tcPr>
          <w:p>
            <w:pPr>
              <w:spacing w:after="0"/>
              <w:rPr>
                <w:sz w:val="20"/>
                <w:szCs w:val="20"/>
                <w:color w:val="auto"/>
              </w:rPr>
            </w:pPr>
            <w:r>
              <w:rPr>
                <w:rFonts w:ascii="Arial" w:cs="Arial" w:eastAsia="Arial" w:hAnsi="Arial"/>
                <w:sz w:val="14"/>
                <w:szCs w:val="14"/>
                <w:color w:val="auto"/>
              </w:rPr>
              <w:t>Intangible assets and Goodwill consisted of the following at December 31, 2021 and 2020.</w:t>
            </w:r>
          </w:p>
        </w:tc>
        <w:tc>
          <w:tcPr>
            <w:tcW w:w="1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316"/>
        </w:trPr>
        <w:tc>
          <w:tcPr>
            <w:tcW w:w="7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2020</w:t>
            </w:r>
          </w:p>
        </w:tc>
      </w:tr>
      <w:tr>
        <w:trPr>
          <w:trHeight w:val="107"/>
        </w:trPr>
        <w:tc>
          <w:tcPr>
            <w:tcW w:w="78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79"/>
        </w:trPr>
        <w:tc>
          <w:tcPr>
            <w:tcW w:w="780" w:type="dxa"/>
            <w:vAlign w:val="bottom"/>
          </w:tcPr>
          <w:p>
            <w:pPr>
              <w:spacing w:after="0"/>
              <w:rPr>
                <w:sz w:val="15"/>
                <w:szCs w:val="15"/>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and license rights</w:t>
            </w: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38,543,542</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38,543,542</w:t>
            </w:r>
          </w:p>
        </w:tc>
      </w:tr>
      <w:tr>
        <w:trPr>
          <w:trHeight w:val="179"/>
        </w:trPr>
        <w:tc>
          <w:tcPr>
            <w:tcW w:w="780" w:type="dxa"/>
            <w:vAlign w:val="bottom"/>
          </w:tcPr>
          <w:p>
            <w:pPr>
              <w:spacing w:after="0"/>
              <w:rPr>
                <w:sz w:val="15"/>
                <w:szCs w:val="15"/>
                <w:color w:val="auto"/>
              </w:rPr>
            </w:pPr>
          </w:p>
        </w:tc>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(18,015,112)</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(14,709,824)</w:t>
            </w:r>
          </w:p>
        </w:tc>
      </w:tr>
      <w:tr>
        <w:trPr>
          <w:trHeight w:val="170"/>
        </w:trPr>
        <w:tc>
          <w:tcPr>
            <w:tcW w:w="780" w:type="dxa"/>
            <w:vAlign w:val="bottom"/>
          </w:tcPr>
          <w:p>
            <w:pPr>
              <w:spacing w:after="0"/>
              <w:rPr>
                <w:sz w:val="14"/>
                <w:szCs w:val="14"/>
                <w:color w:val="auto"/>
              </w:rPr>
            </w:pPr>
          </w:p>
        </w:tc>
        <w:tc>
          <w:tcPr>
            <w:tcW w:w="59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Total product and license rights</w:t>
            </w:r>
          </w:p>
        </w:tc>
        <w:tc>
          <w:tcPr>
            <w:tcW w:w="10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20,528,430</w:t>
            </w:r>
          </w:p>
        </w:tc>
        <w:tc>
          <w:tcPr>
            <w:tcW w:w="1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23,833,718</w:t>
            </w:r>
          </w:p>
        </w:tc>
      </w:tr>
      <w:tr>
        <w:trPr>
          <w:trHeight w:val="170"/>
        </w:trPr>
        <w:tc>
          <w:tcPr>
            <w:tcW w:w="780" w:type="dxa"/>
            <w:vAlign w:val="bottom"/>
          </w:tcPr>
          <w:p>
            <w:pPr>
              <w:spacing w:after="0"/>
              <w:rPr>
                <w:sz w:val="14"/>
                <w:szCs w:val="14"/>
                <w:color w:val="auto"/>
              </w:rPr>
            </w:pPr>
          </w:p>
        </w:tc>
        <w:tc>
          <w:tcPr>
            <w:tcW w:w="5980" w:type="dxa"/>
            <w:vAlign w:val="bottom"/>
          </w:tcPr>
          <w:p>
            <w:pPr>
              <w:ind w:left="20"/>
              <w:spacing w:after="0" w:line="159" w:lineRule="exact"/>
              <w:rPr>
                <w:sz w:val="20"/>
                <w:szCs w:val="20"/>
                <w:color w:val="auto"/>
              </w:rPr>
            </w:pPr>
            <w:r>
              <w:rPr>
                <w:rFonts w:ascii="Arial" w:cs="Arial" w:eastAsia="Arial" w:hAnsi="Arial"/>
                <w:sz w:val="14"/>
                <w:szCs w:val="14"/>
                <w:color w:val="auto"/>
              </w:rPr>
              <w:t>Patents</w:t>
            </w:r>
          </w:p>
        </w:tc>
        <w:tc>
          <w:tcPr>
            <w:tcW w:w="10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10,478,930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10,306,922</w:t>
            </w:r>
          </w:p>
        </w:tc>
      </w:tr>
      <w:tr>
        <w:trPr>
          <w:trHeight w:val="179"/>
        </w:trPr>
        <w:tc>
          <w:tcPr>
            <w:tcW w:w="780" w:type="dxa"/>
            <w:vAlign w:val="bottom"/>
          </w:tcPr>
          <w:p>
            <w:pPr>
              <w:spacing w:after="0"/>
              <w:rPr>
                <w:sz w:val="15"/>
                <w:szCs w:val="15"/>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(7,333,251)</w:t>
            </w: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(6,312,460)</w:t>
            </w:r>
          </w:p>
        </w:tc>
      </w:tr>
      <w:tr>
        <w:trPr>
          <w:trHeight w:val="170"/>
        </w:trPr>
        <w:tc>
          <w:tcPr>
            <w:tcW w:w="780" w:type="dxa"/>
            <w:vAlign w:val="bottom"/>
          </w:tcPr>
          <w:p>
            <w:pPr>
              <w:spacing w:after="0"/>
              <w:rPr>
                <w:sz w:val="14"/>
                <w:szCs w:val="14"/>
                <w:color w:val="auto"/>
              </w:rPr>
            </w:pPr>
          </w:p>
        </w:tc>
        <w:tc>
          <w:tcPr>
            <w:tcW w:w="5980" w:type="dxa"/>
            <w:vAlign w:val="bottom"/>
            <w:tcBorders>
              <w:bottom w:val="single" w:sz="8" w:color="CCEEFF"/>
            </w:tcBorders>
          </w:tcPr>
          <w:p>
            <w:pPr>
              <w:ind w:left="180"/>
              <w:spacing w:after="0" w:line="159" w:lineRule="exact"/>
              <w:rPr>
                <w:sz w:val="20"/>
                <w:szCs w:val="20"/>
                <w:color w:val="auto"/>
              </w:rPr>
            </w:pPr>
            <w:r>
              <w:rPr>
                <w:rFonts w:ascii="Arial" w:cs="Arial" w:eastAsia="Arial" w:hAnsi="Arial"/>
                <w:sz w:val="14"/>
                <w:szCs w:val="14"/>
                <w:color w:val="auto"/>
              </w:rPr>
              <w:t>Total patents</w:t>
            </w:r>
          </w:p>
        </w:tc>
        <w:tc>
          <w:tcPr>
            <w:tcW w:w="10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3,145,679</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3,994,462</w:t>
            </w:r>
          </w:p>
        </w:tc>
      </w:tr>
      <w:tr>
        <w:trPr>
          <w:trHeight w:val="170"/>
        </w:trPr>
        <w:tc>
          <w:tcPr>
            <w:tcW w:w="780" w:type="dxa"/>
            <w:vAlign w:val="bottom"/>
          </w:tcPr>
          <w:p>
            <w:pPr>
              <w:spacing w:after="0"/>
              <w:rPr>
                <w:sz w:val="14"/>
                <w:szCs w:val="14"/>
                <w:color w:val="auto"/>
              </w:rPr>
            </w:pPr>
          </w:p>
        </w:tc>
        <w:tc>
          <w:tcPr>
            <w:tcW w:w="59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Trademarks</w:t>
            </w:r>
          </w:p>
        </w:tc>
        <w:tc>
          <w:tcPr>
            <w:tcW w:w="10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373,462</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338,011</w:t>
            </w:r>
          </w:p>
        </w:tc>
      </w:tr>
      <w:tr>
        <w:trPr>
          <w:trHeight w:val="179"/>
        </w:trPr>
        <w:tc>
          <w:tcPr>
            <w:tcW w:w="780" w:type="dxa"/>
            <w:vAlign w:val="bottom"/>
          </w:tcPr>
          <w:p>
            <w:pPr>
              <w:spacing w:after="0"/>
              <w:rPr>
                <w:sz w:val="15"/>
                <w:szCs w:val="15"/>
                <w:color w:val="auto"/>
              </w:rPr>
            </w:pPr>
          </w:p>
        </w:tc>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(93,096)</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(47,875)</w:t>
            </w:r>
          </w:p>
        </w:tc>
      </w:tr>
      <w:tr>
        <w:trPr>
          <w:trHeight w:val="170"/>
        </w:trPr>
        <w:tc>
          <w:tcPr>
            <w:tcW w:w="780" w:type="dxa"/>
            <w:vAlign w:val="bottom"/>
          </w:tcPr>
          <w:p>
            <w:pPr>
              <w:spacing w:after="0"/>
              <w:rPr>
                <w:sz w:val="14"/>
                <w:szCs w:val="14"/>
                <w:color w:val="auto"/>
              </w:rPr>
            </w:pPr>
          </w:p>
        </w:tc>
        <w:tc>
          <w:tcPr>
            <w:tcW w:w="59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Total trademarks</w:t>
            </w:r>
          </w:p>
        </w:tc>
        <w:tc>
          <w:tcPr>
            <w:tcW w:w="10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280,366</w:t>
            </w:r>
          </w:p>
        </w:tc>
        <w:tc>
          <w:tcPr>
            <w:tcW w:w="1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290,136</w:t>
            </w:r>
          </w:p>
        </w:tc>
      </w:tr>
      <w:tr>
        <w:trPr>
          <w:trHeight w:val="170"/>
        </w:trPr>
        <w:tc>
          <w:tcPr>
            <w:tcW w:w="780" w:type="dxa"/>
            <w:vAlign w:val="bottom"/>
          </w:tcPr>
          <w:p>
            <w:pPr>
              <w:spacing w:after="0"/>
              <w:rPr>
                <w:sz w:val="14"/>
                <w:szCs w:val="14"/>
                <w:color w:val="auto"/>
              </w:rPr>
            </w:pPr>
          </w:p>
        </w:tc>
        <w:tc>
          <w:tcPr>
            <w:tcW w:w="5980" w:type="dxa"/>
            <w:vAlign w:val="bottom"/>
          </w:tcPr>
          <w:p>
            <w:pPr>
              <w:ind w:left="180"/>
              <w:spacing w:after="0" w:line="159" w:lineRule="exact"/>
              <w:rPr>
                <w:sz w:val="20"/>
                <w:szCs w:val="20"/>
                <w:color w:val="auto"/>
              </w:rPr>
            </w:pPr>
            <w:r>
              <w:rPr>
                <w:rFonts w:ascii="Arial" w:cs="Arial" w:eastAsia="Arial" w:hAnsi="Arial"/>
                <w:sz w:val="14"/>
                <w:szCs w:val="14"/>
                <w:color w:val="auto"/>
              </w:rPr>
              <w:t>Total intangible assets</w:t>
            </w:r>
          </w:p>
        </w:tc>
        <w:tc>
          <w:tcPr>
            <w:tcW w:w="106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23,954,475</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28,118,316</w:t>
            </w:r>
          </w:p>
        </w:tc>
      </w:tr>
      <w:tr>
        <w:trPr>
          <w:trHeight w:val="20"/>
        </w:trPr>
        <w:tc>
          <w:tcPr>
            <w:tcW w:w="78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2"/>
        </w:trPr>
        <w:tc>
          <w:tcPr>
            <w:tcW w:w="780" w:type="dxa"/>
            <w:vAlign w:val="bottom"/>
          </w:tcPr>
          <w:p>
            <w:pPr>
              <w:spacing w:after="0"/>
              <w:rPr>
                <w:sz w:val="14"/>
                <w:szCs w:val="14"/>
                <w:color w:val="auto"/>
              </w:rPr>
            </w:pPr>
          </w:p>
        </w:tc>
        <w:tc>
          <w:tcPr>
            <w:tcW w:w="59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79"/>
        </w:trPr>
        <w:tc>
          <w:tcPr>
            <w:tcW w:w="780" w:type="dxa"/>
            <w:vAlign w:val="bottom"/>
          </w:tcPr>
          <w:p>
            <w:pPr>
              <w:spacing w:after="0"/>
              <w:rPr>
                <w:sz w:val="15"/>
                <w:szCs w:val="15"/>
                <w:color w:val="auto"/>
              </w:rPr>
            </w:pPr>
          </w:p>
        </w:tc>
        <w:tc>
          <w:tcPr>
            <w:tcW w:w="59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6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882,000</w:t>
            </w:r>
          </w:p>
        </w:tc>
        <w:tc>
          <w:tcPr>
            <w:tcW w:w="140" w:type="dxa"/>
            <w:vAlign w:val="bottom"/>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882,000</w:t>
            </w:r>
          </w:p>
        </w:tc>
      </w:tr>
      <w:tr>
        <w:trPr>
          <w:trHeight w:val="20"/>
        </w:trPr>
        <w:tc>
          <w:tcPr>
            <w:tcW w:w="7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Product and license rights include assets associated with the Company's acquired products, including those discussed in Note 3, RediTrex and Vibativ. In November 2016, the Company acquired the U.S. rights to Nordic Group B.V.’s injectable methotrexate product line as an asset purchase. The agreement requires the Company to provide unvested restricted shares of Cumberland common stock and make a series of payments tied to the products’ FDA approval, launch and achievement of certain sales milestones. The payments are being treated as consideration for the assets acquired and are being capitalized and amortized over the expected useful life of the acquired asset. To date, the intangible assets related to the product include the $100,000 deposit paid at closing, the 180,000 restricted shares valued at $0.9 million that vested upon the November 2019 FDA approval, the additional $1.0 million paid to Nordic during 2020 based on the 2019 FDA approval and the $1.0 million owed to Nordic based on the 2020 product launch.</w:t>
      </w:r>
    </w:p>
    <w:p>
      <w:pPr>
        <w:spacing w:after="0" w:line="9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As discussed in Note 3, during November 2018, the Company acquired Vibativ from Theravance. This resulted in amortizable intangible assets related to the product rights of $11.8 million and goodwill of $0.9 million. The intangible assets are being amortized through November 2028, the expected useful life of the acquired asset.</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During 2021 and 2020, the Company recorded an additional $0.2 million and $0.5 million, respectively, in intangible assets for patents, trademarks and capitalized patent costs, including amounts incurred in the protection of the Company's intellectual property. These costs will be amortized over the remaining expected useful life of the associated patents.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related to product and license rights, trademarks and patents were as follows for the years ended December 31</w:t>
      </w:r>
    </w:p>
    <w:p>
      <w:pPr>
        <w:spacing w:after="0" w:line="151" w:lineRule="exact"/>
        <w:rPr>
          <w:sz w:val="20"/>
          <w:szCs w:val="20"/>
          <w:color w:val="auto"/>
        </w:rPr>
      </w:pPr>
    </w:p>
    <w:tbl>
      <w:tblPr>
        <w:tblLayout w:type="fixed"/>
        <w:tblInd w:w="1040" w:type="dxa"/>
        <w:tblCellMar>
          <w:top w:w="0" w:type="dxa"/>
          <w:left w:w="0" w:type="dxa"/>
          <w:bottom w:w="0" w:type="dxa"/>
          <w:right w:w="0" w:type="dxa"/>
        </w:tblCellMar>
      </w:tblPr>
      <w:tr>
        <w:trPr>
          <w:trHeight w:val="183"/>
        </w:trPr>
        <w:tc>
          <w:tcPr>
            <w:tcW w:w="3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2019</w:t>
            </w:r>
          </w:p>
        </w:tc>
      </w:tr>
      <w:tr>
        <w:trPr>
          <w:trHeight w:val="107"/>
        </w:trPr>
        <w:tc>
          <w:tcPr>
            <w:tcW w:w="3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0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expense</w:t>
            </w: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4,371,300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4,434,120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4,134,557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3" w:name="page114"/>
    <w:bookmarkEnd w:id="113"/>
    <w:p>
      <w:pPr>
        <w:jc w:val="center"/>
        <w:ind w:right="-7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40" w:type="dxa"/>
            <w:vAlign w:val="bottom"/>
            <w:gridSpan w:val="2"/>
          </w:tcPr>
          <w:p>
            <w:pPr>
              <w:spacing w:after="0"/>
              <w:rPr>
                <w:sz w:val="20"/>
                <w:szCs w:val="20"/>
                <w:color w:val="auto"/>
              </w:rPr>
            </w:pPr>
            <w:r>
              <w:rPr>
                <w:rFonts w:ascii="Arial" w:cs="Arial" w:eastAsia="Arial" w:hAnsi="Arial"/>
                <w:sz w:val="14"/>
                <w:szCs w:val="14"/>
                <w:color w:val="auto"/>
              </w:rPr>
              <w:t>The expected amortization expense for the Company's current balance of intangible assets are as follows:</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06"/>
        </w:trPr>
        <w:tc>
          <w:tcPr>
            <w:tcW w:w="110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4"/>
                <w:szCs w:val="14"/>
                <w:color w:val="auto"/>
              </w:rPr>
              <w:t>Year ending December 31:</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1100" w:type="dxa"/>
            <w:vAlign w:val="bottom"/>
          </w:tcPr>
          <w:p>
            <w:pPr>
              <w:spacing w:after="0"/>
              <w:rPr>
                <w:sz w:val="15"/>
                <w:szCs w:val="15"/>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CEEFF"/>
          </w:tcPr>
          <w:p>
            <w:pPr>
              <w:jc w:val="right"/>
              <w:ind w:right="67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3,736,647</w:t>
            </w:r>
          </w:p>
        </w:tc>
      </w:tr>
      <w:tr>
        <w:trPr>
          <w:trHeight w:val="179"/>
        </w:trPr>
        <w:tc>
          <w:tcPr>
            <w:tcW w:w="1100" w:type="dxa"/>
            <w:vAlign w:val="bottom"/>
          </w:tcPr>
          <w:p>
            <w:pPr>
              <w:spacing w:after="0"/>
              <w:rPr>
                <w:sz w:val="15"/>
                <w:szCs w:val="15"/>
                <w:color w:val="auto"/>
              </w:rPr>
            </w:pPr>
          </w:p>
        </w:tc>
        <w:tc>
          <w:tcPr>
            <w:tcW w:w="6840" w:type="dxa"/>
            <w:vAlign w:val="bottom"/>
          </w:tcPr>
          <w:p>
            <w:pPr>
              <w:ind w:left="260"/>
              <w:spacing w:after="0"/>
              <w:rPr>
                <w:sz w:val="20"/>
                <w:szCs w:val="20"/>
                <w:color w:val="auto"/>
              </w:rPr>
            </w:pPr>
            <w:r>
              <w:rPr>
                <w:rFonts w:ascii="Arial" w:cs="Arial" w:eastAsia="Arial" w:hAnsi="Arial"/>
                <w:sz w:val="14"/>
                <w:szCs w:val="14"/>
                <w:color w:val="auto"/>
              </w:rPr>
              <w:t>2023</w:t>
            </w:r>
          </w:p>
        </w:tc>
        <w:tc>
          <w:tcPr>
            <w:tcW w:w="8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3,674,355</w:t>
            </w:r>
          </w:p>
        </w:tc>
      </w:tr>
      <w:tr>
        <w:trPr>
          <w:trHeight w:val="179"/>
        </w:trPr>
        <w:tc>
          <w:tcPr>
            <w:tcW w:w="1100" w:type="dxa"/>
            <w:vAlign w:val="bottom"/>
          </w:tcPr>
          <w:p>
            <w:pPr>
              <w:spacing w:after="0"/>
              <w:rPr>
                <w:sz w:val="15"/>
                <w:szCs w:val="15"/>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3,652,566</w:t>
            </w:r>
          </w:p>
        </w:tc>
      </w:tr>
      <w:tr>
        <w:trPr>
          <w:trHeight w:val="179"/>
        </w:trPr>
        <w:tc>
          <w:tcPr>
            <w:tcW w:w="1100" w:type="dxa"/>
            <w:vAlign w:val="bottom"/>
          </w:tcPr>
          <w:p>
            <w:pPr>
              <w:spacing w:after="0"/>
              <w:rPr>
                <w:sz w:val="15"/>
                <w:szCs w:val="15"/>
                <w:color w:val="auto"/>
              </w:rPr>
            </w:pPr>
          </w:p>
        </w:tc>
        <w:tc>
          <w:tcPr>
            <w:tcW w:w="6840" w:type="dxa"/>
            <w:vAlign w:val="bottom"/>
          </w:tcPr>
          <w:p>
            <w:pPr>
              <w:ind w:left="260"/>
              <w:spacing w:after="0"/>
              <w:rPr>
                <w:sz w:val="20"/>
                <w:szCs w:val="20"/>
                <w:color w:val="auto"/>
              </w:rPr>
            </w:pPr>
            <w:r>
              <w:rPr>
                <w:rFonts w:ascii="Arial" w:cs="Arial" w:eastAsia="Arial" w:hAnsi="Arial"/>
                <w:sz w:val="14"/>
                <w:szCs w:val="14"/>
                <w:color w:val="auto"/>
              </w:rPr>
              <w:t>2025</w:t>
            </w:r>
          </w:p>
        </w:tc>
        <w:tc>
          <w:tcPr>
            <w:tcW w:w="8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3,637,002</w:t>
            </w:r>
          </w:p>
        </w:tc>
      </w:tr>
      <w:tr>
        <w:trPr>
          <w:trHeight w:val="179"/>
        </w:trPr>
        <w:tc>
          <w:tcPr>
            <w:tcW w:w="1100" w:type="dxa"/>
            <w:vAlign w:val="bottom"/>
          </w:tcPr>
          <w:p>
            <w:pPr>
              <w:spacing w:after="0"/>
              <w:rPr>
                <w:sz w:val="15"/>
                <w:szCs w:val="15"/>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2026 and thereafter</w:t>
            </w:r>
          </w:p>
        </w:tc>
        <w:tc>
          <w:tcPr>
            <w:tcW w:w="8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9,253,905</w:t>
            </w:r>
          </w:p>
        </w:tc>
      </w:tr>
      <w:tr>
        <w:trPr>
          <w:trHeight w:val="170"/>
        </w:trPr>
        <w:tc>
          <w:tcPr>
            <w:tcW w:w="11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23,954,475</w:t>
            </w:r>
          </w:p>
        </w:tc>
      </w:tr>
      <w:tr>
        <w:trPr>
          <w:trHeight w:val="20"/>
        </w:trPr>
        <w:tc>
          <w:tcPr>
            <w:tcW w:w="11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(8)  Other Current and Other Long-term Liabilities</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6760" w:type="dxa"/>
            <w:vAlign w:val="bottom"/>
            <w:gridSpan w:val="2"/>
          </w:tcPr>
          <w:p>
            <w:pPr>
              <w:spacing w:after="0"/>
              <w:rPr>
                <w:sz w:val="20"/>
                <w:szCs w:val="20"/>
                <w:color w:val="auto"/>
              </w:rPr>
            </w:pPr>
            <w:r>
              <w:rPr>
                <w:rFonts w:ascii="Arial" w:cs="Arial" w:eastAsia="Arial" w:hAnsi="Arial"/>
                <w:sz w:val="14"/>
                <w:szCs w:val="14"/>
                <w:color w:val="auto"/>
              </w:rPr>
              <w:t>Other current liabilities consisted of the following at December 31:</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5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780" w:type="dxa"/>
            <w:vAlign w:val="bottom"/>
          </w:tcPr>
          <w:p>
            <w:pPr>
              <w:spacing w:after="0"/>
              <w:rPr>
                <w:sz w:val="11"/>
                <w:szCs w:val="11"/>
                <w:color w:val="auto"/>
              </w:rPr>
            </w:pPr>
          </w:p>
        </w:tc>
        <w:tc>
          <w:tcPr>
            <w:tcW w:w="598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Rebates, product returns, administrative fees</w:t>
            </w:r>
          </w:p>
        </w:tc>
        <w:tc>
          <w:tcPr>
            <w:tcW w:w="42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3,680,677</w:t>
            </w: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4,072,151</w:t>
            </w: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and service fees</w:t>
            </w:r>
          </w:p>
        </w:tc>
        <w:tc>
          <w:tcPr>
            <w:tcW w:w="420" w:type="dxa"/>
            <w:vAlign w:val="bottom"/>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4"/>
                <w:szCs w:val="14"/>
                <w:color w:val="auto"/>
              </w:rPr>
              <w:t>Employee wages and benefits</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1,340,846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998,064</w:t>
            </w: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accrued contingent consideration</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2,685,531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2,787,741</w:t>
            </w: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4"/>
                <w:szCs w:val="14"/>
                <w:color w:val="auto"/>
              </w:rPr>
              <w:t>Accrued inventory purchases</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18,211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294,000</w:t>
            </w: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Paycheck Protection Program liability</w:t>
            </w:r>
          </w:p>
        </w:tc>
        <w:tc>
          <w:tcPr>
            <w:tcW w:w="4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2,187,140</w:t>
            </w: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943,038</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915,285</w:t>
            </w: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5980" w:type="dxa"/>
            <w:vAlign w:val="bottom"/>
            <w:tcBorders>
              <w:bottom w:val="single" w:sz="8" w:color="CCEEFF"/>
            </w:tcBorders>
            <w:shd w:val="clear" w:color="auto" w:fill="CCEEFF"/>
          </w:tcPr>
          <w:p>
            <w:pPr>
              <w:ind w:left="180"/>
              <w:spacing w:after="0" w:line="159" w:lineRule="exact"/>
              <w:rPr>
                <w:sz w:val="20"/>
                <w:szCs w:val="20"/>
                <w:color w:val="auto"/>
              </w:rPr>
            </w:pPr>
            <w:r>
              <w:rPr>
                <w:rFonts w:ascii="Arial" w:cs="Arial" w:eastAsia="Arial" w:hAnsi="Arial"/>
                <w:sz w:val="14"/>
                <w:szCs w:val="14"/>
                <w:color w:val="auto"/>
              </w:rPr>
              <w:t>Total other current liabilities</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8,668,303</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11,254,381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260" w:type="dxa"/>
        <w:tblCellMar>
          <w:top w:w="0" w:type="dxa"/>
          <w:left w:w="0" w:type="dxa"/>
          <w:bottom w:w="0" w:type="dxa"/>
          <w:right w:w="0" w:type="dxa"/>
        </w:tblCellMar>
      </w:tblPr>
      <w:tr>
        <w:trPr>
          <w:trHeight w:val="179"/>
        </w:trPr>
        <w:tc>
          <w:tcPr>
            <w:tcW w:w="586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2020</w:t>
            </w:r>
          </w:p>
        </w:tc>
      </w:tr>
      <w:tr>
        <w:trPr>
          <w:trHeight w:val="54"/>
        </w:trPr>
        <w:tc>
          <w:tcPr>
            <w:tcW w:w="5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179"/>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portion of accrued contingent consideration</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3,830,096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4,855,363</w:t>
            </w:r>
          </w:p>
        </w:tc>
      </w:tr>
      <w:tr>
        <w:trPr>
          <w:trHeight w:val="179"/>
        </w:trPr>
        <w:tc>
          <w:tcPr>
            <w:tcW w:w="586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3,433,962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2,702,772</w:t>
            </w:r>
          </w:p>
        </w:tc>
      </w:tr>
      <w:tr>
        <w:trPr>
          <w:trHeight w:val="179"/>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224,786</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304,637</w:t>
            </w:r>
          </w:p>
        </w:tc>
      </w:tr>
      <w:tr>
        <w:trPr>
          <w:trHeight w:val="170"/>
        </w:trPr>
        <w:tc>
          <w:tcPr>
            <w:tcW w:w="5860" w:type="dxa"/>
            <w:vAlign w:val="bottom"/>
          </w:tcPr>
          <w:p>
            <w:pPr>
              <w:ind w:left="180"/>
              <w:spacing w:after="0" w:line="159" w:lineRule="exact"/>
              <w:rPr>
                <w:sz w:val="20"/>
                <w:szCs w:val="20"/>
                <w:color w:val="auto"/>
              </w:rPr>
            </w:pPr>
            <w:r>
              <w:rPr>
                <w:rFonts w:ascii="Arial" w:cs="Arial" w:eastAsia="Arial" w:hAnsi="Arial"/>
                <w:sz w:val="14"/>
                <w:szCs w:val="14"/>
                <w:color w:val="auto"/>
              </w:rPr>
              <w:t>Total other long-term liabilities</w:t>
            </w: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7,488,844</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7,862,772</w:t>
            </w:r>
          </w:p>
        </w:tc>
      </w:tr>
      <w:tr>
        <w:trPr>
          <w:trHeight w:val="20"/>
        </w:trPr>
        <w:tc>
          <w:tcPr>
            <w:tcW w:w="5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520"/>
          </w:cols>
          <w:pgMar w:left="300" w:top="314" w:right="10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3"/>
          <w:szCs w:val="13"/>
          <w:b w:val="1"/>
          <w:bCs w:val="1"/>
          <w:color w:val="auto"/>
        </w:rPr>
        <w:t>Debt</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December 31, 2021, the Company entered into a Fifth Amendment to the Revolving Credit Note and Sixth Amendment (the "Sixth Amendment") to Revolving Credit Loan Agreement with Pinnacle Bank (the "Pinnacle Agreement"). The Sixth Amendment increased the principal amount by $5 million to $20 million. On October 28, 2021, the Company entered into a Fourth Amendment to the Revolving Credit Note and Fifth Amendment to Revolving Credit Loan Agreement with Pinnacle Bank. Among other terms, the Fourth Amendment extended the maturity date to October 1, 2024. The Pinnacle Agreement includes specific financial covenants including Debt Ratio and Tangible Capital Ratio.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$15 million in borrowings under the Pinnacle Agreement at December 31, 2021 and 2020.</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interest rate on the Pinnacle Agreement is based on LIBOR plus an interest rate spread. The pricing under the Fourth Amendment provides for an interest rate spread of 1.75% to 2.75% above LIBOR with a minimum LIBOR of 0.90% (representing an interest rate of 3.65% at December 31, 2021). In addition, a fee of 0.25% per year is charged on the unused line of credit. Interest and the unused line fee are payable quarterly. In 2022, the LIBOR benchmark rate is expected to be discontinued. When the LIBOR rate is no longer available, the Pinnacle Agreement calls for a new Benchmark rate to be used to determine the interest rate for the Agreement.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Borrowings under the line of credit are collateralized by substantially all of our assets.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Paycheck Protection Program Loan</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70" w:lineRule="exact"/>
        <w:rPr>
          <w:sz w:val="20"/>
          <w:szCs w:val="20"/>
          <w:color w:val="auto"/>
        </w:rPr>
      </w:pPr>
    </w:p>
    <w:p>
      <w:pPr>
        <w:jc w:val="both"/>
        <w:spacing w:after="0" w:line="365" w:lineRule="auto"/>
        <w:rPr>
          <w:sz w:val="20"/>
          <w:szCs w:val="20"/>
          <w:color w:val="auto"/>
        </w:rPr>
      </w:pPr>
      <w:r>
        <w:rPr>
          <w:rFonts w:ascii="Arial" w:cs="Arial" w:eastAsia="Arial" w:hAnsi="Arial"/>
          <w:sz w:val="12"/>
          <w:szCs w:val="12"/>
          <w:color w:val="auto"/>
        </w:rPr>
        <w:t>The PPP is administered by the U.S. Small Business Administration ("SBA"). The loan was scheduled to mature April 14, 2022, and bears interest at a rate of 1.0% per year, payable monthly. The loan could be prepaid at any time prior to maturity with no prepayment penalties. Funds from the loan are to be used to maintain payroll, continue group health care benefits and pay for rent and utilities.</w:t>
      </w:r>
    </w:p>
    <w:p>
      <w:pPr>
        <w:spacing w:after="0" w:line="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Under the terms of the PPP, certain amounts of the loan may be forgiven if they are used for qualifying expenses as described in the CARES Act, including qualifying payroll costs, covered rent payments, and covered utilities. From the date of funding the Company has used the loan amount for such qualifying expenses. Cumberland has elected to account for the proceeds of the loan as a government grant under </w:t>
      </w:r>
      <w:r>
        <w:rPr>
          <w:rFonts w:ascii="Arial" w:cs="Arial" w:eastAsia="Arial" w:hAnsi="Arial"/>
          <w:sz w:val="14"/>
          <w:szCs w:val="14"/>
          <w:i w:val="1"/>
          <w:iCs w:val="1"/>
          <w:color w:val="auto"/>
        </w:rPr>
        <w:t>International Accounting Standard 20 ("IAS 20"), Accounting for Government Grants and Disclosure of Government Assistance.</w:t>
      </w:r>
      <w:r>
        <w:rPr>
          <w:rFonts w:ascii="Arial" w:cs="Arial" w:eastAsia="Arial" w:hAnsi="Arial"/>
          <w:sz w:val="14"/>
          <w:szCs w:val="14"/>
          <w:color w:val="auto"/>
        </w:rPr>
        <w:t xml:space="preserve"> The permitted analogous use of IAS 20 outlines a model for the accounting for government assistance, including forgivable loans. As a result, the Company has recorded the $2,187,140 as a deferred income liability, which is included as a component of other current liabilities on the consolidated balance sheet as of December 31, 2020.</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Cumberland applied for this loan after carefully considering, with its bank, the eligibility criteria to participate in this program, and determining that Cumberland met these criteria. The Company evaluated and provided information on our payroll and other qualifying expenses to determine the amount of PPP funds to apply for.</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Cumberland has not laid off or furloughed any employees as a result of the COVID-19 pandemic and, based on assistance from the PPP loan, the Company currently does not foresee doing so. In October 2020, the Company submitted a request for forgiveness of the PPP loan. The request was approved by the lender, Pinnacle Bank, who then submitted it to SBA for the SBA's review and approval.</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June 11, 2021, the Company received a notice from the SBA that the full amount of the loan was forgiven. The Company accounted for the forgiveness of the loan under IAS 20 and recorded the $2,187,140 as other income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Shareholders’ Equity</w:t>
      </w:r>
    </w:p>
    <w:p>
      <w:pPr>
        <w:spacing w:after="0" w:line="107"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4"/>
          <w:szCs w:val="14"/>
          <w:b w:val="1"/>
          <w:bCs w:val="1"/>
          <w:i w:val="1"/>
          <w:iCs w:val="1"/>
          <w:color w:val="auto"/>
        </w:rPr>
        <w:t>(a)</w:t>
      </w:r>
      <w:r>
        <w:rPr>
          <w:sz w:val="20"/>
          <w:szCs w:val="20"/>
          <w:color w:val="auto"/>
        </w:rPr>
        <w:tab/>
      </w:r>
      <w:r>
        <w:rPr>
          <w:rFonts w:ascii="Arial" w:cs="Arial" w:eastAsia="Arial" w:hAnsi="Arial"/>
          <w:sz w:val="12"/>
          <w:szCs w:val="12"/>
          <w:b w:val="1"/>
          <w:bCs w:val="1"/>
          <w:i w:val="1"/>
          <w:iCs w:val="1"/>
          <w:color w:val="auto"/>
        </w:rPr>
        <w:t>Initial Public Offering</w:t>
      </w:r>
    </w:p>
    <w:p>
      <w:pPr>
        <w:spacing w:after="0" w:line="103" w:lineRule="exact"/>
        <w:rPr>
          <w:sz w:val="20"/>
          <w:szCs w:val="20"/>
          <w:color w:val="auto"/>
        </w:rPr>
      </w:pPr>
    </w:p>
    <w:p>
      <w:pPr>
        <w:ind w:left="60"/>
        <w:spacing w:after="0" w:line="318" w:lineRule="auto"/>
        <w:rPr>
          <w:sz w:val="20"/>
          <w:szCs w:val="20"/>
          <w:color w:val="auto"/>
        </w:rPr>
      </w:pPr>
      <w:r>
        <w:rPr>
          <w:rFonts w:ascii="Arial" w:cs="Arial" w:eastAsia="Arial" w:hAnsi="Arial"/>
          <w:sz w:val="13"/>
          <w:szCs w:val="13"/>
          <w:color w:val="auto"/>
        </w:rPr>
        <w:t>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w:t>
      </w:r>
    </w:p>
    <w:p>
      <w:pPr>
        <w:spacing w:after="0" w:line="47"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4"/>
          <w:szCs w:val="14"/>
          <w:b w:val="1"/>
          <w:bCs w:val="1"/>
          <w:i w:val="1"/>
          <w:iCs w:val="1"/>
          <w:color w:val="auto"/>
        </w:rPr>
        <w:t>(b)</w:t>
      </w:r>
      <w:r>
        <w:rPr>
          <w:sz w:val="20"/>
          <w:szCs w:val="20"/>
          <w:color w:val="auto"/>
        </w:rPr>
        <w:tab/>
      </w:r>
      <w:r>
        <w:rPr>
          <w:rFonts w:ascii="Arial" w:cs="Arial" w:eastAsia="Arial" w:hAnsi="Arial"/>
          <w:sz w:val="12"/>
          <w:szCs w:val="12"/>
          <w:b w:val="1"/>
          <w:bCs w:val="1"/>
          <w:i w:val="1"/>
          <w:iCs w:val="1"/>
          <w:color w:val="auto"/>
        </w:rPr>
        <w:t>Preferred Stock</w:t>
      </w:r>
    </w:p>
    <w:p>
      <w:pPr>
        <w:spacing w:after="0" w:line="103" w:lineRule="exact"/>
        <w:rPr>
          <w:sz w:val="20"/>
          <w:szCs w:val="20"/>
          <w:color w:val="auto"/>
        </w:rPr>
      </w:pPr>
    </w:p>
    <w:p>
      <w:pPr>
        <w:ind w:left="60"/>
        <w:spacing w:after="0" w:line="318" w:lineRule="auto"/>
        <w:rPr>
          <w:sz w:val="20"/>
          <w:szCs w:val="20"/>
          <w:color w:val="auto"/>
        </w:rPr>
      </w:pPr>
      <w:r>
        <w:rPr>
          <w:rFonts w:ascii="Arial" w:cs="Arial" w:eastAsia="Arial" w:hAnsi="Arial"/>
          <w:sz w:val="13"/>
          <w:szCs w:val="13"/>
          <w:color w:val="auto"/>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2021 and 2020, there was no preferred stock outstanding.</w:t>
      </w:r>
    </w:p>
    <w:p>
      <w:pPr>
        <w:spacing w:after="0" w:line="36" w:lineRule="exact"/>
        <w:rPr>
          <w:sz w:val="20"/>
          <w:szCs w:val="20"/>
          <w:color w:val="auto"/>
        </w:rPr>
      </w:pPr>
    </w:p>
    <w:p>
      <w:pPr>
        <w:ind w:left="620" w:hanging="303"/>
        <w:spacing w:after="0"/>
        <w:tabs>
          <w:tab w:leader="none" w:pos="620" w:val="left"/>
        </w:tabs>
        <w:numPr>
          <w:ilvl w:val="0"/>
          <w:numId w:val="4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Common Stock</w:t>
      </w:r>
    </w:p>
    <w:p>
      <w:pPr>
        <w:spacing w:after="0" w:line="113"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During 2021, 2020 and 2019, the Company issued 192,684 shares, 228,500 shares and 225,536 shares of common stock, respectively, as a result of restricted shares vesting as well as other common share issuances. There were no option exercise transactions during 2021, 2020 and 2019.</w:t>
      </w:r>
    </w:p>
    <w:p>
      <w:pPr>
        <w:spacing w:after="0" w:line="70" w:lineRule="exact"/>
        <w:rPr>
          <w:sz w:val="20"/>
          <w:szCs w:val="20"/>
          <w:color w:val="auto"/>
        </w:rPr>
      </w:pPr>
    </w:p>
    <w:p>
      <w:pPr>
        <w:jc w:val="both"/>
        <w:ind w:left="60"/>
        <w:spacing w:after="0" w:line="256" w:lineRule="auto"/>
        <w:rPr>
          <w:sz w:val="20"/>
          <w:szCs w:val="20"/>
          <w:color w:val="auto"/>
        </w:rPr>
      </w:pPr>
      <w:r>
        <w:rPr>
          <w:rFonts w:ascii="Arial" w:cs="Arial" w:eastAsia="Arial" w:hAnsi="Arial"/>
          <w:sz w:val="14"/>
          <w:szCs w:val="14"/>
          <w:color w:val="auto"/>
        </w:rPr>
        <w:t>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 On December 27, 2021, the Company filed a related prospectus supplement in connection with the sale and issuance of shares having an aggregate gross sales price of up to $19 million. The Company intends to continue an ATM feature through B. Riley FBR, Inc. that would allow the Company to issue shares of its common stock. The Company did not issue any shares under this ATM during the years ended December 31, 2021 or 2020.</w:t>
      </w:r>
    </w:p>
    <w:p>
      <w:pPr>
        <w:spacing w:after="0" w:line="87"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4"/>
          <w:szCs w:val="14"/>
          <w:b w:val="1"/>
          <w:bCs w:val="1"/>
          <w:i w:val="1"/>
          <w:iCs w:val="1"/>
          <w:color w:val="auto"/>
        </w:rPr>
        <w:t>(d)</w:t>
      </w:r>
      <w:r>
        <w:rPr>
          <w:sz w:val="20"/>
          <w:szCs w:val="20"/>
          <w:color w:val="auto"/>
        </w:rPr>
        <w:tab/>
      </w:r>
      <w:r>
        <w:rPr>
          <w:rFonts w:ascii="Arial" w:cs="Arial" w:eastAsia="Arial" w:hAnsi="Arial"/>
          <w:sz w:val="11"/>
          <w:szCs w:val="11"/>
          <w:b w:val="1"/>
          <w:bCs w:val="1"/>
          <w:i w:val="1"/>
          <w:iCs w:val="1"/>
          <w:color w:val="auto"/>
        </w:rPr>
        <w:t>Share Repurchases</w:t>
      </w:r>
    </w:p>
    <w:p>
      <w:pPr>
        <w:spacing w:after="0" w:line="197" w:lineRule="exact"/>
        <w:rPr>
          <w:sz w:val="20"/>
          <w:szCs w:val="20"/>
          <w:color w:val="auto"/>
        </w:rPr>
      </w:pPr>
    </w:p>
    <w:p>
      <w:pPr>
        <w:jc w:val="both"/>
        <w:ind w:left="60"/>
        <w:spacing w:after="0" w:line="244" w:lineRule="auto"/>
        <w:rPr>
          <w:sz w:val="20"/>
          <w:szCs w:val="20"/>
          <w:color w:val="auto"/>
        </w:rPr>
      </w:pPr>
      <w:r>
        <w:rPr>
          <w:rFonts w:ascii="Arial" w:cs="Arial" w:eastAsia="Arial" w:hAnsi="Arial"/>
          <w:sz w:val="14"/>
          <w:szCs w:val="14"/>
          <w:color w:val="auto"/>
        </w:rPr>
        <w:t>The Company currently has a share repurchase program to repurchase up to $10 million of its common stock pursuant to Rule 10b-18 of the Securities Exchange Act, as amended. In January 2019, the Company's Board of Directors established the current $10 million repurchase program to replace the prior authorizations. The Company repurchased 438,359 shares, 503,626 shares and 623,478 shares of common stock for approximately $1.4 million, $1.8 million, and $3.5 million during the years ended December 31, 2021, 2020 and 2019, respectively. There remains $4.8 million available under the current repurchase program available for share repurchases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0" w:hanging="303"/>
        <w:spacing w:after="0"/>
        <w:tabs>
          <w:tab w:leader="none" w:pos="560" w:val="left"/>
        </w:tabs>
        <w:numPr>
          <w:ilvl w:val="0"/>
          <w:numId w:val="4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Cumberland Emerging Technologies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April 2019, Cumberland Emerging Technologies ("CET"), our majority-owned subsidiary, entered into an agreement whereby Hongkong WinHealth Pharma Group Ltd. ("WinHealth") made a $1 million investment in CET through the purchase of shares of its common stock. As part of the agreement, WinHealth obtained the rights to name an individual for appointment to the CET Board of Directors as well as the first opportunity to license CET products for the Chinese market. In connection with WinHealth's investment in CET, during 2019, Cumberland also made an additional $1 million investment in CET. Cumberland purchased additional CET shares through contribution of $0.3 million in cash and a conversion of $0.7 million in intercompany loans payable. Upon completion of the additional investment by WinHealth and Cumberland, Gloria Pharmaceuticals returned its shares in CET in exchange for consideration of $0.8 million that was funded during 2020. After the additional investment, the Company’s ownership in CET is 85%. As CET is a consolidated subsidiary, the Company reports the operating results of CET and allocates the noncontrolling interests to the non-majority partners.</w:t>
      </w:r>
    </w:p>
    <w:p>
      <w:pPr>
        <w:spacing w:after="0" w:line="89" w:lineRule="exact"/>
        <w:rPr>
          <w:sz w:val="20"/>
          <w:szCs w:val="20"/>
          <w:color w:val="auto"/>
        </w:rPr>
      </w:pPr>
    </w:p>
    <w:p>
      <w:pPr>
        <w:ind w:left="580" w:hanging="323"/>
        <w:spacing w:after="0"/>
        <w:tabs>
          <w:tab w:leader="none" w:pos="580" w:val="left"/>
        </w:tabs>
        <w:numPr>
          <w:ilvl w:val="0"/>
          <w:numId w:val="4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Cumberland Foundation</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December 2017, the Company formed the Cumberland Pharma Foundation (the "Foundation") to serve as a vehicle to facilitate the ongoing philanthropic endeavors of Cumberland Pharmaceuticals Inc.</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Foundation was formed as a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2018, Cumberland provided a grant of 50,000 shares of the Company's common stock to the Foundation. The shares will address the ongoing financial needs of the Foundation. The organization also plans to hold a portion of the shares for long-term appreciation. The Foundation maintains separate financial statements and its ongoing operations will not impact the financial statements of Cumberland Pharmaceuticals. Initial annual grants by the Foundation have been and are expected to remain consistent with the historic level of contributions made by Cumberland Pharmaceuticals. During 2019, Cumberland Pharmaceuticals committed approximately $50,000 in cash contributions that were paid to the Foundation during 2020. Likewise, during 2020, the Company committed approximately $25,000 in cash contributions paid to the Foundation during 2021.</w:t>
      </w:r>
    </w:p>
    <w:p>
      <w:pPr>
        <w:spacing w:after="0" w:line="8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i w:val="1"/>
          <w:iCs w:val="1"/>
          <w:color w:val="auto"/>
        </w:rPr>
        <w:t>(g)</w:t>
      </w:r>
      <w:r>
        <w:rPr>
          <w:sz w:val="20"/>
          <w:szCs w:val="20"/>
          <w:color w:val="auto"/>
        </w:rPr>
        <w:tab/>
      </w:r>
      <w:r>
        <w:rPr>
          <w:rFonts w:ascii="Arial" w:cs="Arial" w:eastAsia="Arial" w:hAnsi="Arial"/>
          <w:sz w:val="12"/>
          <w:szCs w:val="12"/>
          <w:b w:val="1"/>
          <w:bCs w:val="1"/>
          <w:i w:val="1"/>
          <w:iCs w:val="1"/>
          <w:color w:val="auto"/>
        </w:rPr>
        <w:t>Nordic Group B.V.</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November 27, 2019, Cumberland received approval from the FDA for the pre-filled syringe of the Methotrexate product. With this approval, Nordic's 180,000 shares of Cumberland's common stock became vested. The value of these shares at the date of approval was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7" w:name="page118"/>
    <w:bookmarkEnd w:id="117"/>
    <w:p>
      <w:pPr>
        <w:jc w:val="center"/>
        <w:ind w:right="-97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2"/>
          <w:szCs w:val="12"/>
          <w:b w:val="1"/>
          <w:bCs w:val="1"/>
          <w:color w:val="auto"/>
        </w:rPr>
        <w:t>Earnings (Loss) Per Share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following table shows the computation of the numerator and the denominator used to calculate diluted earnings (loss) per share for the years ended December 31:</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2019</w:t>
            </w:r>
          </w:p>
        </w:tc>
      </w:tr>
      <w:tr>
        <w:trPr>
          <w:trHeight w:val="109"/>
        </w:trPr>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r>
      <w:tr>
        <w:trPr>
          <w:trHeight w:val="179"/>
        </w:trPr>
        <w:tc>
          <w:tcPr>
            <w:tcW w:w="680" w:type="dxa"/>
            <w:vAlign w:val="bottom"/>
          </w:tcPr>
          <w:p>
            <w:pPr>
              <w:spacing w:after="0"/>
              <w:rPr>
                <w:sz w:val="15"/>
                <w:szCs w:val="15"/>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9"/>
        </w:trPr>
        <w:tc>
          <w:tcPr>
            <w:tcW w:w="680" w:type="dxa"/>
            <w:vAlign w:val="bottom"/>
          </w:tcPr>
          <w:p>
            <w:pPr>
              <w:spacing w:after="0"/>
              <w:rPr>
                <w:sz w:val="15"/>
                <w:szCs w:val="15"/>
                <w:color w:val="auto"/>
              </w:rPr>
            </w:pPr>
          </w:p>
        </w:tc>
        <w:tc>
          <w:tcPr>
            <w:tcW w:w="3720" w:type="dxa"/>
            <w:vAlign w:val="bottom"/>
            <w:gridSpan w:val="2"/>
          </w:tcPr>
          <w:p>
            <w:pPr>
              <w:ind w:left="180"/>
              <w:spacing w:after="0"/>
              <w:rPr>
                <w:sz w:val="20"/>
                <w:szCs w:val="20"/>
                <w:color w:val="auto"/>
              </w:rPr>
            </w:pPr>
            <w:r>
              <w:rPr>
                <w:rFonts w:ascii="Arial" w:cs="Arial" w:eastAsia="Arial" w:hAnsi="Arial"/>
                <w:sz w:val="14"/>
                <w:szCs w:val="14"/>
                <w:color w:val="auto"/>
              </w:rPr>
              <w:t>Net income (loss) from continuing operations</w:t>
            </w:r>
          </w:p>
        </w:tc>
        <w:tc>
          <w:tcPr>
            <w:tcW w:w="1240" w:type="dxa"/>
            <w:vAlign w:val="bottom"/>
            <w:gridSpan w:val="2"/>
          </w:tcPr>
          <w:p>
            <w:pPr>
              <w:jc w:val="right"/>
              <w:ind w:right="6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89"/>
              </w:rPr>
              <w:t>(5,597,121)</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(6,625,779)</w:t>
            </w:r>
          </w:p>
        </w:tc>
        <w:tc>
          <w:tcPr>
            <w:tcW w:w="520" w:type="dxa"/>
            <w:vAlign w:val="bottom"/>
            <w:gridSpan w:val="2"/>
          </w:tcPr>
          <w:p>
            <w:pPr>
              <w:jc w:val="right"/>
              <w:ind w:right="25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(9,211,688)</w:t>
            </w:r>
          </w:p>
        </w:tc>
      </w:tr>
      <w:tr>
        <w:trPr>
          <w:trHeight w:val="179"/>
        </w:trPr>
        <w:tc>
          <w:tcPr>
            <w:tcW w:w="680" w:type="dxa"/>
            <w:vAlign w:val="bottom"/>
          </w:tcPr>
          <w:p>
            <w:pPr>
              <w:spacing w:after="0"/>
              <w:rPr>
                <w:sz w:val="15"/>
                <w:szCs w:val="15"/>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4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1,994,322</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3,206,875</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5,665,177</w:t>
            </w:r>
          </w:p>
        </w:tc>
      </w:tr>
      <w:tr>
        <w:trPr>
          <w:trHeight w:val="170"/>
        </w:trPr>
        <w:tc>
          <w:tcPr>
            <w:tcW w:w="680" w:type="dxa"/>
            <w:vAlign w:val="bottom"/>
          </w:tcPr>
          <w:p>
            <w:pPr>
              <w:spacing w:after="0"/>
              <w:rPr>
                <w:sz w:val="14"/>
                <w:szCs w:val="14"/>
                <w:color w:val="auto"/>
              </w:rPr>
            </w:pPr>
          </w:p>
        </w:tc>
        <w:tc>
          <w:tcPr>
            <w:tcW w:w="37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89"/>
              </w:rPr>
              <w:t>(3,602,799)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(3,418,904)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(3,546,511)</w:t>
            </w:r>
          </w:p>
        </w:tc>
      </w:tr>
      <w:tr>
        <w:trPr>
          <w:trHeight w:val="179"/>
        </w:trPr>
        <w:tc>
          <w:tcPr>
            <w:tcW w:w="680" w:type="dxa"/>
            <w:vAlign w:val="bottom"/>
          </w:tcPr>
          <w:p>
            <w:pPr>
              <w:spacing w:after="0"/>
              <w:rPr>
                <w:sz w:val="15"/>
                <w:szCs w:val="15"/>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9"/>
              </w:rPr>
              <w:t>Net loss at subsidiary attributable to noncontrolling interests</w:t>
            </w:r>
          </w:p>
        </w:tc>
        <w:tc>
          <w:tcPr>
            <w:tcW w:w="4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95,212</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79,496</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8,752</w:t>
            </w:r>
          </w:p>
        </w:tc>
      </w:tr>
      <w:tr>
        <w:trPr>
          <w:trHeight w:val="170"/>
        </w:trPr>
        <w:tc>
          <w:tcPr>
            <w:tcW w:w="68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Net income (loss) attributable to common shareholders</w:t>
            </w:r>
          </w:p>
        </w:tc>
        <w:tc>
          <w:tcPr>
            <w:tcW w:w="420" w:type="dxa"/>
            <w:vAlign w:val="bottom"/>
          </w:tcPr>
          <w:p>
            <w:pPr>
              <w:spacing w:after="0"/>
              <w:rPr>
                <w:sz w:val="14"/>
                <w:szCs w:val="14"/>
                <w:color w:val="auto"/>
              </w:rPr>
            </w:pPr>
          </w:p>
        </w:tc>
        <w:tc>
          <w:tcPr>
            <w:tcW w:w="8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(3,507,587)</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(3,339,408)</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(3,537,759)</w:t>
            </w:r>
          </w:p>
        </w:tc>
      </w:tr>
      <w:tr>
        <w:trPr>
          <w:trHeight w:val="20"/>
        </w:trPr>
        <w:tc>
          <w:tcPr>
            <w:tcW w:w="680" w:type="dxa"/>
            <w:vAlign w:val="bottom"/>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680" w:type="dxa"/>
            <w:vAlign w:val="bottom"/>
          </w:tcPr>
          <w:p>
            <w:pPr>
              <w:spacing w:after="0"/>
              <w:rPr>
                <w:sz w:val="12"/>
                <w:szCs w:val="12"/>
                <w:color w:val="auto"/>
              </w:rPr>
            </w:pPr>
          </w:p>
        </w:tc>
        <w:tc>
          <w:tcPr>
            <w:tcW w:w="372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Denominator:</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79"/>
        </w:trPr>
        <w:tc>
          <w:tcPr>
            <w:tcW w:w="680" w:type="dxa"/>
            <w:vAlign w:val="bottom"/>
          </w:tcPr>
          <w:p>
            <w:pPr>
              <w:spacing w:after="0"/>
              <w:rPr>
                <w:sz w:val="15"/>
                <w:szCs w:val="15"/>
                <w:color w:val="auto"/>
              </w:rPr>
            </w:pPr>
          </w:p>
        </w:tc>
        <w:tc>
          <w:tcPr>
            <w:tcW w:w="3720" w:type="dxa"/>
            <w:vAlign w:val="bottom"/>
            <w:gridSpan w:val="2"/>
          </w:tcPr>
          <w:p>
            <w:pPr>
              <w:ind w:left="180"/>
              <w:spacing w:after="0"/>
              <w:rPr>
                <w:sz w:val="20"/>
                <w:szCs w:val="20"/>
                <w:color w:val="auto"/>
              </w:rPr>
            </w:pPr>
            <w:r>
              <w:rPr>
                <w:rFonts w:ascii="Arial" w:cs="Arial" w:eastAsia="Arial" w:hAnsi="Arial"/>
                <w:sz w:val="14"/>
                <w:szCs w:val="14"/>
                <w:color w:val="auto"/>
              </w:rPr>
              <w:t>Weighted-average shares outstanding – basic</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85"/>
              </w:rPr>
              <w:t>14,904,834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15,162,184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15,396,098</w:t>
            </w:r>
          </w:p>
        </w:tc>
      </w:tr>
      <w:tr>
        <w:trPr>
          <w:trHeight w:val="179"/>
        </w:trPr>
        <w:tc>
          <w:tcPr>
            <w:tcW w:w="680" w:type="dxa"/>
            <w:vAlign w:val="bottom"/>
          </w:tcPr>
          <w:p>
            <w:pPr>
              <w:spacing w:after="0"/>
              <w:rPr>
                <w:sz w:val="15"/>
                <w:szCs w:val="15"/>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Dilutive effect of restricted stock and stock options</w:t>
            </w:r>
          </w:p>
        </w:tc>
        <w:tc>
          <w:tcPr>
            <w:tcW w:w="4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680" w:type="dxa"/>
            <w:vAlign w:val="bottom"/>
          </w:tcPr>
          <w:p>
            <w:pPr>
              <w:spacing w:after="0"/>
              <w:rPr>
                <w:sz w:val="14"/>
                <w:szCs w:val="14"/>
                <w:color w:val="auto"/>
              </w:rPr>
            </w:pPr>
          </w:p>
        </w:tc>
        <w:tc>
          <w:tcPr>
            <w:tcW w:w="37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Weighted-average shares outstanding – diluted</w:t>
            </w:r>
          </w:p>
        </w:tc>
        <w:tc>
          <w:tcPr>
            <w:tcW w:w="4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5"/>
              </w:rPr>
              <w:t>14,904,834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15,162,184</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15,396,098</w:t>
            </w:r>
          </w:p>
        </w:tc>
      </w:tr>
      <w:tr>
        <w:trPr>
          <w:trHeight w:val="20"/>
        </w:trPr>
        <w:tc>
          <w:tcPr>
            <w:tcW w:w="4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0"/>
        </w:trPr>
        <w:tc>
          <w:tcPr>
            <w:tcW w:w="8200" w:type="dxa"/>
            <w:vAlign w:val="bottom"/>
            <w:gridSpan w:val="13"/>
          </w:tcPr>
          <w:p>
            <w:pPr>
              <w:spacing w:after="0"/>
              <w:rPr>
                <w:sz w:val="20"/>
                <w:szCs w:val="20"/>
                <w:color w:val="auto"/>
              </w:rPr>
            </w:pPr>
            <w:r>
              <w:rPr>
                <w:rFonts w:ascii="Arial" w:cs="Arial" w:eastAsia="Arial" w:hAnsi="Arial"/>
                <w:sz w:val="14"/>
                <w:szCs w:val="14"/>
                <w:color w:val="auto"/>
              </w:rPr>
              <w:t>The Company's anti-dilutive restricted shares and stock options outstanding were as follows for the years ended December 31: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3"/>
                <w:szCs w:val="13"/>
                <w:b w:val="1"/>
                <w:bCs w:val="1"/>
                <w:color w:val="auto"/>
                <w:w w:val="89"/>
              </w:rPr>
              <w:t>2020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109"/>
        </w:trPr>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9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Anti-dilutive shares and options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183,300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197,610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820" w:type="dxa"/>
            <w:vAlign w:val="bottom"/>
          </w:tcPr>
          <w:p>
            <w:pPr>
              <w:spacing w:after="0"/>
              <w:rPr>
                <w:sz w:val="17"/>
                <w:szCs w:val="17"/>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420"/>
          </w:cols>
          <w:pgMar w:left="240" w:top="314" w:right="1239" w:bottom="1440" w:gutter="0" w:footer="0" w:header="0"/>
        </w:sectPr>
      </w:pPr>
    </w:p>
    <w:bookmarkStart w:id="118" w:name="page119"/>
    <w:bookmarkEnd w:id="118"/>
    <w:p>
      <w:pPr>
        <w:jc w:val="center"/>
        <w:ind w:right="-59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Income Taxes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components of the Company's net deferred tax assets at December 31 are as follows:</w:t>
      </w:r>
    </w:p>
    <w:p>
      <w:pPr>
        <w:spacing w:after="0" w:line="155" w:lineRule="exact"/>
        <w:rPr>
          <w:sz w:val="20"/>
          <w:szCs w:val="20"/>
          <w:color w:val="auto"/>
        </w:rPr>
      </w:pPr>
    </w:p>
    <w:tbl>
      <w:tblPr>
        <w:tblLayout w:type="fixed"/>
        <w:tblInd w:w="60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3"/>
                <w:szCs w:val="13"/>
                <w:b w:val="1"/>
                <w:bCs w:val="1"/>
                <w:color w:val="auto"/>
              </w:rPr>
              <w:t>2020</w:t>
            </w:r>
          </w:p>
        </w:tc>
      </w:tr>
      <w:tr>
        <w:trPr>
          <w:trHeight w:val="109"/>
        </w:trPr>
        <w:tc>
          <w:tcPr>
            <w:tcW w:w="6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79"/>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9"/>
        </w:trPr>
        <w:tc>
          <w:tcPr>
            <w:tcW w:w="6480" w:type="dxa"/>
            <w:vAlign w:val="bottom"/>
          </w:tcPr>
          <w:p>
            <w:pPr>
              <w:ind w:left="180"/>
              <w:spacing w:after="0"/>
              <w:rPr>
                <w:sz w:val="20"/>
                <w:szCs w:val="20"/>
                <w:color w:val="auto"/>
              </w:rPr>
            </w:pPr>
            <w:r>
              <w:rPr>
                <w:rFonts w:ascii="Arial" w:cs="Arial" w:eastAsia="Arial" w:hAnsi="Arial"/>
                <w:sz w:val="14"/>
                <w:szCs w:val="14"/>
                <w:color w:val="auto"/>
              </w:rPr>
              <w:t>Net operating loss and tax credits</w:t>
            </w:r>
          </w:p>
        </w:tc>
        <w:tc>
          <w:tcPr>
            <w:tcW w:w="1040" w:type="dxa"/>
            <w:vAlign w:val="bottom"/>
          </w:tcPr>
          <w:p>
            <w:pPr>
              <w:jc w:val="right"/>
              <w:ind w:right="89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6"/>
              </w:rPr>
              <w:t>16,817,070</w:t>
            </w:r>
          </w:p>
        </w:tc>
        <w:tc>
          <w:tcPr>
            <w:tcW w:w="120" w:type="dxa"/>
            <w:vAlign w:val="bottom"/>
          </w:tcPr>
          <w:p>
            <w:pPr>
              <w:spacing w:after="0"/>
              <w:rPr>
                <w:sz w:val="15"/>
                <w:szCs w:val="15"/>
                <w:color w:val="auto"/>
              </w:rPr>
            </w:pPr>
          </w:p>
        </w:tc>
        <w:tc>
          <w:tcPr>
            <w:tcW w:w="440" w:type="dxa"/>
            <w:vAlign w:val="bottom"/>
          </w:tcPr>
          <w:p>
            <w:pPr>
              <w:jc w:val="right"/>
              <w:ind w:right="29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16,961,650</w:t>
            </w:r>
          </w:p>
        </w:tc>
      </w:tr>
      <w:tr>
        <w:trPr>
          <w:trHeight w:val="179"/>
        </w:trPr>
        <w:tc>
          <w:tcPr>
            <w:tcW w:w="6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and intangibles</w:t>
            </w:r>
          </w:p>
        </w:tc>
        <w:tc>
          <w:tcPr>
            <w:tcW w:w="10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222,893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227,056</w:t>
            </w:r>
          </w:p>
        </w:tc>
      </w:tr>
      <w:tr>
        <w:trPr>
          <w:trHeight w:val="179"/>
        </w:trPr>
        <w:tc>
          <w:tcPr>
            <w:tcW w:w="6480" w:type="dxa"/>
            <w:vAlign w:val="bottom"/>
          </w:tcPr>
          <w:p>
            <w:pPr>
              <w:ind w:left="180"/>
              <w:spacing w:after="0"/>
              <w:rPr>
                <w:sz w:val="20"/>
                <w:szCs w:val="20"/>
                <w:color w:val="auto"/>
              </w:rPr>
            </w:pPr>
            <w:r>
              <w:rPr>
                <w:rFonts w:ascii="Arial" w:cs="Arial" w:eastAsia="Arial" w:hAnsi="Arial"/>
                <w:sz w:val="14"/>
                <w:szCs w:val="14"/>
                <w:color w:val="auto"/>
              </w:rPr>
              <w:t>Allowance for accounts receivable</w:t>
            </w:r>
          </w:p>
        </w:tc>
        <w:tc>
          <w:tcPr>
            <w:tcW w:w="1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83,931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249,483</w:t>
            </w:r>
          </w:p>
        </w:tc>
      </w:tr>
      <w:tr>
        <w:trPr>
          <w:trHeight w:val="179"/>
        </w:trPr>
        <w:tc>
          <w:tcPr>
            <w:tcW w:w="6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expired product</w:t>
            </w:r>
          </w:p>
        </w:tc>
        <w:tc>
          <w:tcPr>
            <w:tcW w:w="10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457,723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438,235</w:t>
            </w:r>
          </w:p>
        </w:tc>
      </w:tr>
      <w:tr>
        <w:trPr>
          <w:trHeight w:val="179"/>
        </w:trPr>
        <w:tc>
          <w:tcPr>
            <w:tcW w:w="648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1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104,824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100,362</w:t>
            </w:r>
          </w:p>
        </w:tc>
      </w:tr>
      <w:tr>
        <w:trPr>
          <w:trHeight w:val="179"/>
        </w:trPr>
        <w:tc>
          <w:tcPr>
            <w:tcW w:w="6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charges</w:t>
            </w:r>
          </w:p>
        </w:tc>
        <w:tc>
          <w:tcPr>
            <w:tcW w:w="10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1,303,664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952,711</w:t>
            </w:r>
          </w:p>
        </w:tc>
      </w:tr>
      <w:tr>
        <w:trPr>
          <w:trHeight w:val="179"/>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Cumulative compensation costs incurred on deductible equity awards</w:t>
            </w:r>
          </w:p>
        </w:tc>
        <w:tc>
          <w:tcPr>
            <w:tcW w:w="10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834,070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928,638</w:t>
            </w:r>
          </w:p>
        </w:tc>
      </w:tr>
      <w:tr>
        <w:trPr>
          <w:trHeight w:val="170"/>
        </w:trPr>
        <w:tc>
          <w:tcPr>
            <w:tcW w:w="64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Total deferred tax assets</w:t>
            </w: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19,824,175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19,858,135</w:t>
            </w:r>
          </w:p>
        </w:tc>
      </w:tr>
      <w:tr>
        <w:trPr>
          <w:trHeight w:val="126"/>
        </w:trPr>
        <w:tc>
          <w:tcPr>
            <w:tcW w:w="6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79"/>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9"/>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Intangible assets</w:t>
            </w:r>
          </w:p>
        </w:tc>
        <w:tc>
          <w:tcPr>
            <w:tcW w:w="10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(62,253)</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(662,014)</w:t>
            </w:r>
          </w:p>
        </w:tc>
      </w:tr>
      <w:tr>
        <w:trPr>
          <w:trHeight w:val="170"/>
        </w:trPr>
        <w:tc>
          <w:tcPr>
            <w:tcW w:w="64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Net deferred tax assets, before valuation allowance</w:t>
            </w: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19,761,922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19,196,121</w:t>
            </w:r>
          </w:p>
        </w:tc>
      </w:tr>
      <w:tr>
        <w:trPr>
          <w:trHeight w:val="17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deferred tax asset valuation allowance</w:t>
            </w:r>
          </w:p>
        </w:tc>
        <w:tc>
          <w:tcPr>
            <w:tcW w:w="10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(19,761,922)</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(19,196,121)</w:t>
            </w:r>
          </w:p>
        </w:tc>
      </w:tr>
      <w:tr>
        <w:trPr>
          <w:trHeight w:val="195"/>
        </w:trPr>
        <w:tc>
          <w:tcPr>
            <w:tcW w:w="6480" w:type="dxa"/>
            <w:vAlign w:val="bottom"/>
            <w:tcBorders>
              <w:bottom w:val="single" w:sz="8" w:color="CCEEFF"/>
            </w:tcBorders>
            <w:shd w:val="clear" w:color="auto" w:fill="CCEEFF"/>
          </w:tcPr>
          <w:p>
            <w:pPr>
              <w:ind w:left="360"/>
              <w:spacing w:after="0" w:line="159" w:lineRule="exact"/>
              <w:rPr>
                <w:sz w:val="20"/>
                <w:szCs w:val="20"/>
                <w:color w:val="auto"/>
              </w:rPr>
            </w:pPr>
            <w:r>
              <w:rPr>
                <w:rFonts w:ascii="Arial" w:cs="Arial" w:eastAsia="Arial" w:hAnsi="Arial"/>
                <w:sz w:val="14"/>
                <w:szCs w:val="14"/>
                <w:color w:val="auto"/>
              </w:rPr>
              <w:t>Net deferred tax assets</w:t>
            </w:r>
          </w:p>
        </w:tc>
        <w:tc>
          <w:tcPr>
            <w:tcW w:w="104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following table summarizes the amount and year of expiration of the Company's federal and state net operating loss carryforwards as of December 31, 2021:</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648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Years of expiration</w:t>
            </w:r>
          </w:p>
        </w:tc>
        <w:tc>
          <w:tcPr>
            <w:tcW w:w="380" w:type="dxa"/>
            <w:vAlign w:val="bottom"/>
          </w:tcPr>
          <w:p>
            <w:pPr>
              <w:spacing w:after="0"/>
              <w:rPr>
                <w:sz w:val="14"/>
                <w:szCs w:val="14"/>
                <w:color w:val="auto"/>
              </w:rPr>
            </w:pPr>
          </w:p>
        </w:tc>
        <w:tc>
          <w:tcPr>
            <w:tcW w:w="1540" w:type="dxa"/>
            <w:vAlign w:val="bottom"/>
            <w:gridSpan w:val="2"/>
          </w:tcPr>
          <w:p>
            <w:pPr>
              <w:ind w:left="320"/>
              <w:spacing w:after="0"/>
              <w:rPr>
                <w:sz w:val="20"/>
                <w:szCs w:val="20"/>
                <w:color w:val="auto"/>
              </w:rPr>
            </w:pPr>
            <w:r>
              <w:rPr>
                <w:rFonts w:ascii="Arial" w:cs="Arial" w:eastAsia="Arial" w:hAnsi="Arial"/>
                <w:sz w:val="13"/>
                <w:szCs w:val="13"/>
                <w:b w:val="1"/>
                <w:bCs w:val="1"/>
                <w:color w:val="auto"/>
              </w:rPr>
              <w:t>Federal</w:t>
            </w:r>
          </w:p>
        </w:tc>
        <w:tc>
          <w:tcPr>
            <w:tcW w:w="440" w:type="dxa"/>
            <w:vAlign w:val="bottom"/>
          </w:tcPr>
          <w:p>
            <w:pPr>
              <w:spacing w:after="0"/>
              <w:rPr>
                <w:sz w:val="14"/>
                <w:szCs w:val="14"/>
                <w:color w:val="auto"/>
              </w:rPr>
            </w:pPr>
          </w:p>
        </w:tc>
        <w:tc>
          <w:tcPr>
            <w:tcW w:w="1360" w:type="dxa"/>
            <w:vAlign w:val="bottom"/>
          </w:tcPr>
          <w:p>
            <w:pPr>
              <w:jc w:val="right"/>
              <w:ind w:right="691"/>
              <w:spacing w:after="0"/>
              <w:rPr>
                <w:sz w:val="20"/>
                <w:szCs w:val="20"/>
                <w:color w:val="auto"/>
              </w:rPr>
            </w:pPr>
            <w:r>
              <w:rPr>
                <w:rFonts w:ascii="Arial" w:cs="Arial" w:eastAsia="Arial" w:hAnsi="Arial"/>
                <w:sz w:val="13"/>
                <w:szCs w:val="13"/>
                <w:b w:val="1"/>
                <w:bCs w:val="1"/>
                <w:color w:val="auto"/>
              </w:rPr>
              <w:t>State</w:t>
            </w:r>
          </w:p>
        </w:tc>
        <w:tc>
          <w:tcPr>
            <w:tcW w:w="0" w:type="dxa"/>
            <w:vAlign w:val="bottom"/>
          </w:tcPr>
          <w:p>
            <w:pPr>
              <w:spacing w:after="0"/>
              <w:rPr>
                <w:sz w:val="1"/>
                <w:szCs w:val="1"/>
                <w:color w:val="auto"/>
              </w:rPr>
            </w:pPr>
          </w:p>
        </w:tc>
      </w:tr>
      <w:tr>
        <w:trPr>
          <w:trHeight w:val="109"/>
        </w:trPr>
        <w:tc>
          <w:tcPr>
            <w:tcW w:w="6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360" w:type="dxa"/>
            <w:vAlign w:val="bottom"/>
          </w:tcPr>
          <w:p>
            <w:pPr>
              <w:ind w:left="180"/>
              <w:spacing w:after="0"/>
              <w:rPr>
                <w:sz w:val="20"/>
                <w:szCs w:val="20"/>
                <w:color w:val="auto"/>
              </w:rPr>
            </w:pPr>
            <w:r>
              <w:rPr>
                <w:rFonts w:ascii="Arial" w:cs="Arial" w:eastAsia="Arial" w:hAnsi="Arial"/>
                <w:sz w:val="14"/>
                <w:szCs w:val="14"/>
                <w:color w:val="auto"/>
              </w:rPr>
              <w:t>2023 - 2029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49,253,796</w:t>
            </w:r>
          </w:p>
        </w:tc>
        <w:tc>
          <w:tcPr>
            <w:tcW w:w="0" w:type="dxa"/>
            <w:vAlign w:val="bottom"/>
          </w:tcPr>
          <w:p>
            <w:pPr>
              <w:spacing w:after="0"/>
              <w:rPr>
                <w:sz w:val="1"/>
                <w:szCs w:val="1"/>
                <w:color w:val="auto"/>
              </w:rPr>
            </w:pPr>
          </w:p>
        </w:tc>
      </w:tr>
      <w:tr>
        <w:trPr>
          <w:trHeight w:val="179"/>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2030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44,153,819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355,874</w:t>
            </w:r>
          </w:p>
        </w:tc>
        <w:tc>
          <w:tcPr>
            <w:tcW w:w="0" w:type="dxa"/>
            <w:vAlign w:val="bottom"/>
          </w:tcPr>
          <w:p>
            <w:pPr>
              <w:spacing w:after="0"/>
              <w:rPr>
                <w:sz w:val="1"/>
                <w:szCs w:val="1"/>
                <w:color w:val="auto"/>
              </w:rPr>
            </w:pPr>
          </w:p>
        </w:tc>
      </w:tr>
      <w:tr>
        <w:trPr>
          <w:trHeight w:val="179"/>
        </w:trPr>
        <w:tc>
          <w:tcPr>
            <w:tcW w:w="6360" w:type="dxa"/>
            <w:vAlign w:val="bottom"/>
          </w:tcPr>
          <w:p>
            <w:pPr>
              <w:ind w:left="180"/>
              <w:spacing w:after="0"/>
              <w:rPr>
                <w:sz w:val="20"/>
                <w:szCs w:val="20"/>
                <w:color w:val="auto"/>
              </w:rPr>
            </w:pPr>
            <w:r>
              <w:rPr>
                <w:rFonts w:ascii="Arial" w:cs="Arial" w:eastAsia="Arial" w:hAnsi="Arial"/>
                <w:sz w:val="14"/>
                <w:szCs w:val="14"/>
                <w:color w:val="auto"/>
              </w:rPr>
              <w:t>2031 - 2039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7,534,351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9,822,440</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Indefinite Period</w:t>
            </w:r>
          </w:p>
        </w:tc>
        <w:tc>
          <w:tcPr>
            <w:tcW w:w="3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4,345,272</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279,025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4"/>
                <w:szCs w:val="14"/>
                <w:color w:val="auto"/>
              </w:rPr>
              <w:t>Total federal and state net operating loss carryforwards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48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jc w:val="right"/>
              <w:ind w:right="230"/>
              <w:spacing w:after="0" w:line="141"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56,033,442</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ind w:right="270"/>
              <w:spacing w:after="0" w:line="141"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59,711,135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800"/>
          </w:cols>
          <w:pgMar w:left="240" w:top="314" w:right="8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 includes the following components for the years 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r>
      <w:tr>
        <w:trPr>
          <w:trHeight w:val="248"/>
        </w:trPr>
        <w:tc>
          <w:tcPr>
            <w:tcW w:w="76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Current:</w:t>
            </w: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9"/>
        </w:trPr>
        <w:tc>
          <w:tcPr>
            <w:tcW w:w="7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Federal</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65,408</w:t>
            </w:r>
          </w:p>
        </w:tc>
        <w:tc>
          <w:tcPr>
            <w:tcW w:w="2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4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State and other</w:t>
            </w: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34,891</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(55,902)</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79,316</w:t>
            </w:r>
          </w:p>
        </w:tc>
        <w:tc>
          <w:tcPr>
            <w:tcW w:w="20" w:type="dxa"/>
            <w:vAlign w:val="bottom"/>
          </w:tcPr>
          <w:p>
            <w:pPr>
              <w:spacing w:after="0"/>
              <w:rPr>
                <w:sz w:val="15"/>
                <w:szCs w:val="15"/>
                <w:color w:val="auto"/>
              </w:rPr>
            </w:pPr>
          </w:p>
        </w:tc>
      </w:tr>
      <w:tr>
        <w:trPr>
          <w:trHeight w:val="170"/>
        </w:trPr>
        <w:tc>
          <w:tcPr>
            <w:tcW w:w="760" w:type="dxa"/>
            <w:vAlign w:val="bottom"/>
            <w:tcBorders>
              <w:right w:val="single" w:sz="8" w:color="CCEEFF"/>
            </w:tcBorders>
          </w:tcPr>
          <w:p>
            <w:pPr>
              <w:spacing w:after="0"/>
              <w:rPr>
                <w:sz w:val="14"/>
                <w:szCs w:val="14"/>
                <w:color w:val="auto"/>
              </w:rPr>
            </w:pPr>
          </w:p>
        </w:tc>
        <w:tc>
          <w:tcPr>
            <w:tcW w:w="41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Total current income tax (expense) benefit</w:t>
            </w:r>
          </w:p>
        </w:tc>
        <w:tc>
          <w:tcPr>
            <w:tcW w:w="3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34,891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(34,100)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144,724</w:t>
            </w:r>
          </w:p>
        </w:tc>
        <w:tc>
          <w:tcPr>
            <w:tcW w:w="20" w:type="dxa"/>
            <w:vAlign w:val="bottom"/>
          </w:tcPr>
          <w:p>
            <w:pPr>
              <w:spacing w:after="0"/>
              <w:rPr>
                <w:sz w:val="14"/>
                <w:szCs w:val="14"/>
                <w:color w:val="auto"/>
              </w:rPr>
            </w:pPr>
          </w:p>
        </w:tc>
      </w:tr>
      <w:tr>
        <w:trPr>
          <w:trHeight w:val="191"/>
        </w:trPr>
        <w:tc>
          <w:tcPr>
            <w:tcW w:w="7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7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4140" w:type="dxa"/>
            <w:vAlign w:val="bottom"/>
            <w:gridSpan w:val="2"/>
          </w:tcPr>
          <w:p>
            <w:pPr>
              <w:ind w:left="160"/>
              <w:spacing w:after="0"/>
              <w:rPr>
                <w:sz w:val="20"/>
                <w:szCs w:val="20"/>
                <w:color w:val="auto"/>
              </w:rPr>
            </w:pPr>
            <w:r>
              <w:rPr>
                <w:rFonts w:ascii="Arial" w:cs="Arial" w:eastAsia="Arial" w:hAnsi="Arial"/>
                <w:sz w:val="14"/>
                <w:szCs w:val="14"/>
                <w:color w:val="auto"/>
              </w:rPr>
              <w:t>Federal</w:t>
            </w:r>
          </w:p>
        </w:tc>
        <w:tc>
          <w:tcPr>
            <w:tcW w:w="36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61,678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(21,802)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(65,408)</w:t>
            </w:r>
          </w:p>
        </w:tc>
        <w:tc>
          <w:tcPr>
            <w:tcW w:w="20" w:type="dxa"/>
            <w:vAlign w:val="bottom"/>
          </w:tcPr>
          <w:p>
            <w:pPr>
              <w:spacing w:after="0"/>
              <w:rPr>
                <w:sz w:val="15"/>
                <w:szCs w:val="15"/>
                <w:color w:val="auto"/>
              </w:rPr>
            </w:pPr>
          </w:p>
        </w:tc>
      </w:tr>
      <w:tr>
        <w:trPr>
          <w:trHeight w:val="179"/>
        </w:trPr>
        <w:tc>
          <w:tcPr>
            <w:tcW w:w="760" w:type="dxa"/>
            <w:vAlign w:val="bottom"/>
            <w:tcBorders>
              <w:right w:val="single" w:sz="8" w:color="CCEEFF"/>
            </w:tcBorders>
          </w:tcPr>
          <w:p>
            <w:pPr>
              <w:spacing w:after="0"/>
              <w:rPr>
                <w:sz w:val="15"/>
                <w:szCs w:val="15"/>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State</w:t>
            </w: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(61,678)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0"/>
        </w:trPr>
        <w:tc>
          <w:tcPr>
            <w:tcW w:w="760" w:type="dxa"/>
            <w:vAlign w:val="bottom"/>
          </w:tcPr>
          <w:p>
            <w:pPr>
              <w:spacing w:after="0"/>
              <w:rPr>
                <w:sz w:val="14"/>
                <w:szCs w:val="14"/>
                <w:color w:val="auto"/>
              </w:rPr>
            </w:pPr>
          </w:p>
        </w:tc>
        <w:tc>
          <w:tcPr>
            <w:tcW w:w="4140" w:type="dxa"/>
            <w:vAlign w:val="bottom"/>
            <w:tcBorders>
              <w:bottom w:val="single" w:sz="8" w:color="CCEEFF"/>
            </w:tcBorders>
            <w:gridSpan w:val="2"/>
          </w:tcPr>
          <w:p>
            <w:pPr>
              <w:ind w:left="320"/>
              <w:spacing w:after="0" w:line="159" w:lineRule="exact"/>
              <w:rPr>
                <w:sz w:val="20"/>
                <w:szCs w:val="20"/>
                <w:color w:val="auto"/>
              </w:rPr>
            </w:pPr>
            <w:r>
              <w:rPr>
                <w:rFonts w:ascii="Arial" w:cs="Arial" w:eastAsia="Arial" w:hAnsi="Arial"/>
                <w:sz w:val="14"/>
                <w:szCs w:val="14"/>
                <w:color w:val="auto"/>
              </w:rPr>
              <w:t>Total deferred income tax (expense) benefit</w:t>
            </w:r>
          </w:p>
        </w:tc>
        <w:tc>
          <w:tcPr>
            <w:tcW w:w="3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(21,802)</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(65,408)</w:t>
            </w:r>
          </w:p>
        </w:tc>
        <w:tc>
          <w:tcPr>
            <w:tcW w:w="20" w:type="dxa"/>
            <w:vAlign w:val="bottom"/>
          </w:tcPr>
          <w:p>
            <w:pPr>
              <w:spacing w:after="0"/>
              <w:rPr>
                <w:sz w:val="14"/>
                <w:szCs w:val="14"/>
                <w:color w:val="auto"/>
              </w:rPr>
            </w:pPr>
          </w:p>
        </w:tc>
      </w:tr>
      <w:tr>
        <w:trPr>
          <w:trHeight w:val="195"/>
        </w:trPr>
        <w:tc>
          <w:tcPr>
            <w:tcW w:w="760" w:type="dxa"/>
            <w:vAlign w:val="bottom"/>
            <w:tcBorders>
              <w:right w:val="single" w:sz="8" w:color="CCEEFF"/>
            </w:tcBorders>
          </w:tcPr>
          <w:p>
            <w:pPr>
              <w:spacing w:after="0"/>
              <w:rPr>
                <w:sz w:val="16"/>
                <w:szCs w:val="16"/>
                <w:color w:val="auto"/>
              </w:rPr>
            </w:pPr>
          </w:p>
        </w:tc>
        <w:tc>
          <w:tcPr>
            <w:tcW w:w="4140" w:type="dxa"/>
            <w:vAlign w:val="bottom"/>
            <w:tcBorders>
              <w:bottom w:val="single" w:sz="8" w:color="CCEEFF"/>
            </w:tcBorders>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Total income tax (expense) benefit</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34,891</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(55,902)</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79,316</w:t>
            </w:r>
          </w:p>
        </w:tc>
        <w:tc>
          <w:tcPr>
            <w:tcW w:w="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7220" w:type="dxa"/>
            <w:vAlign w:val="bottom"/>
            <w:gridSpan w:val="9"/>
          </w:tcPr>
          <w:p>
            <w:pPr>
              <w:jc w:val="right"/>
              <w:ind w:right="250"/>
              <w:spacing w:after="0"/>
              <w:rPr>
                <w:sz w:val="20"/>
                <w:szCs w:val="20"/>
                <w:color w:val="auto"/>
              </w:rPr>
            </w:pPr>
            <w:r>
              <w:rPr>
                <w:rFonts w:ascii="Arial" w:cs="Arial" w:eastAsia="Arial" w:hAnsi="Arial"/>
                <w:sz w:val="14"/>
                <w:szCs w:val="14"/>
                <w:color w:val="auto"/>
                <w:w w:val="91"/>
              </w:rPr>
              <w:t>The Company’s effective income tax rate for 2021, 2020 and 2019 reconciles with the federal statutory tax rate as follows: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7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51"/>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31"/>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24"/>
                <w:szCs w:val="24"/>
                <w:color w:val="auto"/>
              </w:rPr>
            </w:pPr>
          </w:p>
        </w:tc>
      </w:tr>
      <w:tr>
        <w:trPr>
          <w:trHeight w:val="109"/>
        </w:trPr>
        <w:tc>
          <w:tcPr>
            <w:tcW w:w="7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9"/>
        </w:trPr>
        <w:tc>
          <w:tcPr>
            <w:tcW w:w="76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tax expense at statutory rate</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21 %</w:t>
            </w:r>
          </w:p>
        </w:tc>
      </w:tr>
      <w:tr>
        <w:trPr>
          <w:trHeight w:val="179"/>
        </w:trPr>
        <w:tc>
          <w:tcPr>
            <w:tcW w:w="76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State income tax expense (net of federal income tax benefit)</w:t>
            </w: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4 %</w:t>
            </w:r>
          </w:p>
        </w:tc>
      </w:tr>
      <w:tr>
        <w:trPr>
          <w:trHeight w:val="179"/>
        </w:trPr>
        <w:tc>
          <w:tcPr>
            <w:tcW w:w="76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Permanent differences associated with general business credits</w:t>
            </w:r>
          </w:p>
        </w:tc>
        <w:tc>
          <w:tcPr>
            <w:tcW w:w="360" w:type="dxa"/>
            <w:vAlign w:val="bottom"/>
            <w:shd w:val="clear" w:color="auto" w:fill="CCEEFF"/>
          </w:tcPr>
          <w:p>
            <w:pPr>
              <w:spacing w:after="0"/>
              <w:rPr>
                <w:sz w:val="15"/>
                <w:szCs w:val="15"/>
                <w:color w:val="auto"/>
              </w:rPr>
            </w:pPr>
          </w:p>
        </w:tc>
        <w:tc>
          <w:tcPr>
            <w:tcW w:w="15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 %</w:t>
            </w: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7 %</w:t>
            </w:r>
          </w:p>
        </w:tc>
      </w:tr>
      <w:tr>
        <w:trPr>
          <w:trHeight w:val="179"/>
        </w:trPr>
        <w:tc>
          <w:tcPr>
            <w:tcW w:w="76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Change in valuation allowance</w:t>
            </w:r>
          </w:p>
        </w:tc>
        <w:tc>
          <w:tcPr>
            <w:tcW w:w="3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r>
      <w:tr>
        <w:trPr>
          <w:trHeight w:val="179"/>
        </w:trPr>
        <w:tc>
          <w:tcPr>
            <w:tcW w:w="76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permanent differences</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1 %</w:t>
            </w:r>
          </w:p>
        </w:tc>
      </w:tr>
      <w:tr>
        <w:trPr>
          <w:trHeight w:val="179"/>
        </w:trPr>
        <w:tc>
          <w:tcPr>
            <w:tcW w:w="76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5"/>
                <w:szCs w:val="15"/>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4"/>
                <w:szCs w:val="14"/>
                <w:color w:val="auto"/>
              </w:rPr>
              <w:t>— %</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 %</w:t>
            </w:r>
          </w:p>
        </w:tc>
      </w:tr>
      <w:tr>
        <w:trPr>
          <w:trHeight w:val="195"/>
        </w:trPr>
        <w:tc>
          <w:tcPr>
            <w:tcW w:w="760" w:type="dxa"/>
            <w:vAlign w:val="bottom"/>
          </w:tcPr>
          <w:p>
            <w:pPr>
              <w:spacing w:after="0"/>
              <w:rPr>
                <w:sz w:val="16"/>
                <w:szCs w:val="16"/>
                <w:color w:val="auto"/>
              </w:rPr>
            </w:pPr>
          </w:p>
        </w:tc>
        <w:tc>
          <w:tcPr>
            <w:tcW w:w="4000" w:type="dxa"/>
            <w:vAlign w:val="bottom"/>
            <w:tcBorders>
              <w:top w:val="single" w:sz="8" w:color="CCEEFF"/>
              <w:bottom w:val="single" w:sz="8" w:color="CCEEFF"/>
            </w:tcBorders>
            <w:shd w:val="clear" w:color="auto" w:fill="CCEEFF"/>
          </w:tcPr>
          <w:p>
            <w:pPr>
              <w:ind w:left="180"/>
              <w:spacing w:after="0" w:line="159" w:lineRule="exact"/>
              <w:rPr>
                <w:sz w:val="20"/>
                <w:szCs w:val="20"/>
                <w:color w:val="auto"/>
              </w:rPr>
            </w:pPr>
            <w:r>
              <w:rPr>
                <w:rFonts w:ascii="Arial" w:cs="Arial" w:eastAsia="Arial" w:hAnsi="Arial"/>
                <w:sz w:val="14"/>
                <w:szCs w:val="14"/>
                <w:color w:val="auto"/>
              </w:rPr>
              <w:t>Net income tax expense</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2 %</w:t>
            </w:r>
          </w:p>
        </w:tc>
      </w:tr>
      <w:tr>
        <w:trPr>
          <w:trHeight w:val="20"/>
        </w:trPr>
        <w:tc>
          <w:tcPr>
            <w:tcW w:w="76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The Company believes that it is not more likely than not that its net deferred tax assets will be realized. As such, the net deferred tax assets are fully offset with a valuation allowance as of the periods ended December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As of December 31, 2021, the Company has general business credit carryforwards of $1.7 million. These credit carryforwards will expire in years 2022 through 2041.</w:t>
      </w:r>
    </w:p>
    <w:p>
      <w:pPr>
        <w:spacing w:after="0" w:line="141" w:lineRule="exact"/>
        <w:rPr>
          <w:sz w:val="20"/>
          <w:szCs w:val="20"/>
          <w:color w:val="auto"/>
        </w:rPr>
      </w:pPr>
    </w:p>
    <w:tbl>
      <w:tblPr>
        <w:tblLayout w:type="fixed"/>
        <w:tblInd w:w="1500" w:type="dxa"/>
        <w:tblCellMar>
          <w:top w:w="0" w:type="dxa"/>
          <w:left w:w="0" w:type="dxa"/>
          <w:bottom w:w="0" w:type="dxa"/>
          <w:right w:w="0" w:type="dxa"/>
        </w:tblCellMar>
      </w:tblPr>
      <w:tr>
        <w:trPr>
          <w:trHeight w:val="183"/>
        </w:trPr>
        <w:tc>
          <w:tcPr>
            <w:tcW w:w="6320" w:type="dxa"/>
            <w:vAlign w:val="bottom"/>
            <w:gridSpan w:val="2"/>
          </w:tcPr>
          <w:p>
            <w:pPr>
              <w:ind w:left="580"/>
              <w:spacing w:after="0"/>
              <w:rPr>
                <w:sz w:val="20"/>
                <w:szCs w:val="20"/>
                <w:color w:val="auto"/>
              </w:rPr>
            </w:pPr>
            <w:r>
              <w:rPr>
                <w:rFonts w:ascii="Arial" w:cs="Arial" w:eastAsia="Arial" w:hAnsi="Arial"/>
                <w:sz w:val="14"/>
                <w:szCs w:val="14"/>
                <w:b w:val="1"/>
                <w:bCs w:val="1"/>
                <w:color w:val="auto"/>
              </w:rPr>
              <w:t>Years of expiration</w:t>
            </w:r>
          </w:p>
        </w:tc>
        <w:tc>
          <w:tcPr>
            <w:tcW w:w="1020" w:type="dxa"/>
            <w:vAlign w:val="bottom"/>
          </w:tcPr>
          <w:p>
            <w:pPr>
              <w:spacing w:after="0"/>
              <w:rPr>
                <w:sz w:val="15"/>
                <w:szCs w:val="15"/>
                <w:color w:val="auto"/>
              </w:rPr>
            </w:pPr>
          </w:p>
        </w:tc>
        <w:tc>
          <w:tcPr>
            <w:tcW w:w="1640" w:type="dxa"/>
            <w:vAlign w:val="bottom"/>
          </w:tcPr>
          <w:p>
            <w:pPr>
              <w:jc w:val="right"/>
              <w:ind w:right="750"/>
              <w:spacing w:after="0"/>
              <w:rPr>
                <w:sz w:val="20"/>
                <w:szCs w:val="20"/>
                <w:color w:val="auto"/>
              </w:rPr>
            </w:pPr>
            <w:r>
              <w:rPr>
                <w:rFonts w:ascii="Arial" w:cs="Arial" w:eastAsia="Arial" w:hAnsi="Arial"/>
                <w:sz w:val="14"/>
                <w:szCs w:val="14"/>
                <w:b w:val="1"/>
                <w:bCs w:val="1"/>
                <w:color w:val="auto"/>
              </w:rPr>
              <w:t>Federal</w:t>
            </w:r>
          </w:p>
        </w:tc>
      </w:tr>
      <w:tr>
        <w:trPr>
          <w:trHeight w:val="170"/>
        </w:trPr>
        <w:tc>
          <w:tcPr>
            <w:tcW w:w="61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2022</w:t>
            </w:r>
          </w:p>
        </w:tc>
        <w:tc>
          <w:tcPr>
            <w:tcW w:w="1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161,119</w:t>
            </w:r>
          </w:p>
        </w:tc>
      </w:tr>
      <w:tr>
        <w:trPr>
          <w:trHeight w:val="179"/>
        </w:trPr>
        <w:tc>
          <w:tcPr>
            <w:tcW w:w="6180" w:type="dxa"/>
            <w:vAlign w:val="bottom"/>
          </w:tcPr>
          <w:p>
            <w:pPr>
              <w:ind w:left="580"/>
              <w:spacing w:after="0"/>
              <w:rPr>
                <w:sz w:val="20"/>
                <w:szCs w:val="20"/>
                <w:color w:val="auto"/>
              </w:rPr>
            </w:pPr>
            <w:r>
              <w:rPr>
                <w:rFonts w:ascii="Arial" w:cs="Arial" w:eastAsia="Arial" w:hAnsi="Arial"/>
                <w:sz w:val="14"/>
                <w:szCs w:val="14"/>
                <w:color w:val="auto"/>
              </w:rPr>
              <w:t>2023-2029</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461,157</w:t>
            </w:r>
          </w:p>
        </w:tc>
      </w:tr>
      <w:tr>
        <w:trPr>
          <w:trHeight w:val="179"/>
        </w:trPr>
        <w:tc>
          <w:tcPr>
            <w:tcW w:w="6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2030-2039</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648,120</w:t>
            </w:r>
          </w:p>
        </w:tc>
      </w:tr>
      <w:tr>
        <w:trPr>
          <w:trHeight w:val="179"/>
        </w:trPr>
        <w:tc>
          <w:tcPr>
            <w:tcW w:w="61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2040-2041</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410,709</w:t>
            </w:r>
          </w:p>
        </w:tc>
      </w:tr>
      <w:tr>
        <w:trPr>
          <w:trHeight w:val="195"/>
        </w:trPr>
        <w:tc>
          <w:tcPr>
            <w:tcW w:w="63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Total federal and state credit carryforwards</w:t>
            </w:r>
          </w:p>
        </w:tc>
        <w:tc>
          <w:tcPr>
            <w:tcW w:w="10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1,681,105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60" w:right="240"/>
        <w:spacing w:after="0" w:line="278" w:lineRule="auto"/>
        <w:rPr>
          <w:sz w:val="20"/>
          <w:szCs w:val="20"/>
          <w:color w:val="auto"/>
        </w:rPr>
      </w:pPr>
      <w:r>
        <w:rPr>
          <w:rFonts w:ascii="Arial" w:cs="Arial" w:eastAsia="Arial" w:hAnsi="Arial"/>
          <w:sz w:val="14"/>
          <w:szCs w:val="14"/>
          <w:color w:val="auto"/>
        </w:rPr>
        <w:t>The Company expects it will continue to pay minimal taxes in future periods through the continued utilization of net operating loss carryforwards, as it is able to achieve taxable income through its operations.</w:t>
      </w:r>
    </w:p>
    <w:p>
      <w:pPr>
        <w:spacing w:after="0" w:line="70" w:lineRule="exact"/>
        <w:rPr>
          <w:sz w:val="20"/>
          <w:szCs w:val="20"/>
          <w:color w:val="auto"/>
        </w:rPr>
      </w:pPr>
    </w:p>
    <w:p>
      <w:pPr>
        <w:jc w:val="both"/>
        <w:ind w:left="60"/>
        <w:spacing w:after="0" w:line="294" w:lineRule="auto"/>
        <w:rPr>
          <w:sz w:val="20"/>
          <w:szCs w:val="20"/>
          <w:color w:val="auto"/>
        </w:rPr>
      </w:pPr>
      <w:r>
        <w:rPr>
          <w:rFonts w:ascii="Arial" w:cs="Arial" w:eastAsia="Arial" w:hAnsi="Arial"/>
          <w:sz w:val="13"/>
          <w:szCs w:val="13"/>
          <w:color w:val="auto"/>
        </w:rPr>
        <w:t>The Company is no longer subject to U.S. federal tax examinations for tax years before 2018, and with few exceptions, the Company is not subject to examination by state tax authorities for tax years which ended before 2018. Loss carryforwards and credit carryforwards generated or utilized in years earlier than 2018 remain subject to examination and adjustment. During 2012, the 2009 federal tax return was examined by the Internal Revenue Service with no significant findings or adjustments. The Company has no unrecognized tax benefits at December 31, 2021 and 2020.</w:t>
      </w:r>
    </w:p>
    <w:p>
      <w:pPr>
        <w:spacing w:after="0" w:line="69"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2"/>
          <w:szCs w:val="12"/>
          <w:b w:val="1"/>
          <w:bCs w:val="1"/>
          <w:color w:val="auto"/>
        </w:rPr>
        <w:t>Stock-Based Compensation Plans</w:t>
      </w:r>
    </w:p>
    <w:p>
      <w:pPr>
        <w:spacing w:after="0" w:line="128" w:lineRule="exact"/>
        <w:rPr>
          <w:sz w:val="20"/>
          <w:szCs w:val="20"/>
          <w:color w:val="auto"/>
        </w:rPr>
      </w:pPr>
    </w:p>
    <w:p>
      <w:pPr>
        <w:jc w:val="both"/>
        <w:ind w:left="60"/>
        <w:spacing w:after="0" w:line="258" w:lineRule="auto"/>
        <w:rPr>
          <w:sz w:val="20"/>
          <w:szCs w:val="20"/>
          <w:color w:val="auto"/>
        </w:rPr>
      </w:pPr>
      <w:r>
        <w:rPr>
          <w:rFonts w:ascii="Arial" w:cs="Arial" w:eastAsia="Arial" w:hAnsi="Arial"/>
          <w:sz w:val="14"/>
          <w:szCs w:val="14"/>
          <w:color w:val="auto"/>
        </w:rPr>
        <w:t>The Company has grants outstanding under three equity compensation plans, with two of the plans available for future grants of equity compensation awards to employees, consultants and directors. All of the equity plans were approved by shareholders. The 2007 Long-Term Incentive Compensation Plan (the "2007 Plan") and the 2007 Directors’ Incentive Plan (the "Directors’ Plan") superseded the 1999 Stock Option Plan. The 2007 Plan and the Directors’ Plan provide for the issuance of stock options, stock appreciation rights and restricted stock. Vesting is determined on a grant-by-grant basis in accordance with the terms of the plans and the related grant agreements. The Company has reserved 2.4 million shares of common stock for issuance under the 2007 Plan and 250,000 shares for issuance under the Directors’ Plan.</w:t>
      </w:r>
    </w:p>
    <w:p>
      <w:pPr>
        <w:spacing w:after="0" w:line="83"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The exercise price of stock options is generally 100% of the fair market value of the underlying common stock on the grant date. The maximum contractual term of stock options is ten years from the date of grant, except for incentive stock options granted to 10% shareholders, which is five years.</w:t>
      </w:r>
    </w:p>
    <w:p>
      <w:pPr>
        <w:spacing w:after="0" w:line="80"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During 2011, the Company began issuing shares of restricted stock with no exercise price to employees and directors. Restricted stock issued to employees generally cliff-vests on the fourth anniversary of the date of grant. Restricted stock issued to directors vests on the one year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Stock compensation expense is presented as a component of general and administrative expense in the consolidated statements of operations. Stock compensation expense consisted of the following for the years ended December 31:</w:t>
      </w:r>
    </w:p>
    <w:p>
      <w:pPr>
        <w:spacing w:after="0" w:line="101" w:lineRule="exact"/>
        <w:rPr>
          <w:sz w:val="20"/>
          <w:szCs w:val="20"/>
          <w:color w:val="auto"/>
        </w:rPr>
      </w:pPr>
    </w:p>
    <w:tbl>
      <w:tblPr>
        <w:tblLayout w:type="fixed"/>
        <w:tblInd w:w="740" w:type="dxa"/>
        <w:tblCellMar>
          <w:top w:w="0" w:type="dxa"/>
          <w:left w:w="0" w:type="dxa"/>
          <w:bottom w:w="0" w:type="dxa"/>
          <w:right w:w="0" w:type="dxa"/>
        </w:tblCellMar>
      </w:tblPr>
      <w:tr>
        <w:trPr>
          <w:trHeight w:val="167"/>
        </w:trPr>
        <w:tc>
          <w:tcPr>
            <w:tcW w:w="4160" w:type="dxa"/>
            <w:vAlign w:val="bottom"/>
          </w:tcPr>
          <w:p>
            <w:pPr>
              <w:spacing w:after="0"/>
              <w:rPr>
                <w:sz w:val="14"/>
                <w:szCs w:val="1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2019</w:t>
            </w:r>
          </w:p>
        </w:tc>
      </w:tr>
      <w:tr>
        <w:trPr>
          <w:trHeight w:val="109"/>
        </w:trPr>
        <w:tc>
          <w:tcPr>
            <w:tcW w:w="4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79"/>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 employees</w:t>
            </w:r>
          </w:p>
        </w:tc>
        <w:tc>
          <w:tcPr>
            <w:tcW w:w="1160" w:type="dxa"/>
            <w:vAlign w:val="bottom"/>
            <w:shd w:val="clear" w:color="auto" w:fill="CCEEFF"/>
          </w:tcPr>
          <w:p>
            <w:pPr>
              <w:jc w:val="right"/>
              <w:ind w:right="101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730,412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1,050,179</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1,481,016</w:t>
            </w:r>
          </w:p>
        </w:tc>
      </w:tr>
      <w:tr>
        <w:trPr>
          <w:trHeight w:val="179"/>
        </w:trPr>
        <w:tc>
          <w:tcPr>
            <w:tcW w:w="4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Share-based compensation - nonemployees</w:t>
            </w: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11,455</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w:t>
            </w:r>
          </w:p>
        </w:tc>
      </w:tr>
      <w:tr>
        <w:trPr>
          <w:trHeight w:val="195"/>
        </w:trPr>
        <w:tc>
          <w:tcPr>
            <w:tcW w:w="4160" w:type="dxa"/>
            <w:vAlign w:val="bottom"/>
            <w:tcBorders>
              <w:bottom w:val="single" w:sz="8" w:color="CCEEFF"/>
            </w:tcBorders>
            <w:shd w:val="clear" w:color="auto" w:fill="CCEEFF"/>
          </w:tcPr>
          <w:p>
            <w:pPr>
              <w:ind w:left="180"/>
              <w:spacing w:after="0" w:line="159" w:lineRule="exact"/>
              <w:rPr>
                <w:sz w:val="20"/>
                <w:szCs w:val="20"/>
                <w:color w:val="auto"/>
              </w:rPr>
            </w:pPr>
            <w:r>
              <w:rPr>
                <w:rFonts w:ascii="Arial" w:cs="Arial" w:eastAsia="Arial" w:hAnsi="Arial"/>
                <w:sz w:val="14"/>
                <w:szCs w:val="14"/>
                <w:color w:val="auto"/>
              </w:rPr>
              <w:t>Total share-based compensation</w:t>
            </w:r>
          </w:p>
        </w:tc>
        <w:tc>
          <w:tcPr>
            <w:tcW w:w="116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741,867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1,046,516</w:t>
            </w: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1,485,898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At December 31, 2021, there was approximately $1.1 million of unrecognized compensation cost related to share-based payments, which is expected to be recognized over a weighted-average period of 2.05 years. This amount relates primarily to unrecognized compensation cost for employee restricted stock and stock options awards.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Options</w:t>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Company granted 186,900 incentive stock options during 2021, which vest in four years. There were no options exercised during 2021, 2020 and 2019. As such, there was no intrinsic value of options or weighted-average fair value of options exercised for the periods.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For the incentive stock options issued to date, the weighted average grant price was $3.17, and the weighted average fair value of these stock option grants was $1.52.</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fair value of stock options is calculated using the Black-Scholes (“Black-Scholes-Merton”, or “BSM”) option-pricing model on the date of grant. Since 2012, the Company had been issuing RSA’s (Restricted Share Awards) where the grant date Fair Value (“FV”) equaled the closing share price. The ISO’s required a BSM valuation to approximate FV. The following inputs were used in the creation of the valuation.</w:t>
      </w:r>
    </w:p>
    <w:p>
      <w:pPr>
        <w:spacing w:after="0" w:line="85" w:lineRule="exact"/>
        <w:rPr>
          <w:sz w:val="20"/>
          <w:szCs w:val="20"/>
          <w:color w:val="auto"/>
        </w:rPr>
      </w:pPr>
    </w:p>
    <w:p>
      <w:pPr>
        <w:jc w:val="both"/>
        <w:ind w:left="520" w:hanging="263"/>
        <w:spacing w:after="0" w:line="284" w:lineRule="auto"/>
        <w:tabs>
          <w:tab w:leader="none" w:pos="516" w:val="left"/>
        </w:tabs>
        <w:numPr>
          <w:ilvl w:val="0"/>
          <w:numId w:val="48"/>
        </w:numPr>
        <w:rPr>
          <w:rFonts w:ascii="Arial" w:cs="Arial" w:eastAsia="Arial" w:hAnsi="Arial"/>
          <w:sz w:val="13"/>
          <w:szCs w:val="13"/>
          <w:color w:val="auto"/>
        </w:rPr>
      </w:pPr>
      <w:r>
        <w:rPr>
          <w:rFonts w:ascii="Arial" w:cs="Arial" w:eastAsia="Arial" w:hAnsi="Arial"/>
          <w:sz w:val="13"/>
          <w:szCs w:val="13"/>
          <w:b w:val="1"/>
          <w:bCs w:val="1"/>
          <w:color w:val="auto"/>
        </w:rPr>
        <w:t xml:space="preserve">Volatility </w:t>
      </w:r>
      <w:r>
        <w:rPr>
          <w:rFonts w:ascii="Arial" w:cs="Arial" w:eastAsia="Arial" w:hAnsi="Arial"/>
          <w:sz w:val="13"/>
          <w:szCs w:val="13"/>
          <w:color w:val="auto"/>
        </w:rPr>
        <w:t>- We estimate volatility in accordance with SAB No. 107, as amended by SAB No. 110. We have been publicly traded since August 2009, so we have sufficient years of trading</w:t>
      </w:r>
      <w:r>
        <w:rPr>
          <w:rFonts w:ascii="Arial" w:cs="Arial" w:eastAsia="Arial" w:hAnsi="Arial"/>
          <w:sz w:val="13"/>
          <w:szCs w:val="13"/>
          <w:b w:val="1"/>
          <w:bCs w:val="1"/>
          <w:color w:val="auto"/>
        </w:rPr>
        <w:t xml:space="preserve"> </w:t>
      </w:r>
      <w:r>
        <w:rPr>
          <w:rFonts w:ascii="Arial" w:cs="Arial" w:eastAsia="Arial" w:hAnsi="Arial"/>
          <w:sz w:val="13"/>
          <w:szCs w:val="13"/>
          <w:color w:val="auto"/>
        </w:rPr>
        <w:t>history and volatility to appropriately evaluate this component of the BSM model. As such, we are using our own historical volatility to value stock options. We have noted no conditions that would indicate the historical volatility would not be an indicator of future volatility, as such we are using historical volatility over the same period as the expected term of the awards (7 years) back to 2017 and believe it to be sufficient. Calculated volatility for the grants issued in 2021 ranges from 31% to 43%. Our average volatility over the life of stock being public is 36% and 38% over the last 6 months. Based on the similar amounts, we believe our volatility estimate for the ISO’s are appropriate.</w:t>
      </w:r>
    </w:p>
    <w:p>
      <w:pPr>
        <w:spacing w:after="0" w:line="74" w:lineRule="exact"/>
        <w:rPr>
          <w:rFonts w:ascii="Arial" w:cs="Arial" w:eastAsia="Arial" w:hAnsi="Arial"/>
          <w:sz w:val="13"/>
          <w:szCs w:val="13"/>
          <w:color w:val="auto"/>
        </w:rPr>
      </w:pPr>
    </w:p>
    <w:p>
      <w:pPr>
        <w:jc w:val="both"/>
        <w:ind w:left="520" w:hanging="263"/>
        <w:spacing w:after="0" w:line="267" w:lineRule="auto"/>
        <w:tabs>
          <w:tab w:leader="none" w:pos="516" w:val="left"/>
        </w:tabs>
        <w:numPr>
          <w:ilvl w:val="0"/>
          <w:numId w:val="48"/>
        </w:numPr>
        <w:rPr>
          <w:rFonts w:ascii="Arial" w:cs="Arial" w:eastAsia="Arial" w:hAnsi="Arial"/>
          <w:sz w:val="14"/>
          <w:szCs w:val="14"/>
          <w:color w:val="auto"/>
        </w:rPr>
      </w:pPr>
      <w:r>
        <w:rPr>
          <w:rFonts w:ascii="Arial" w:cs="Arial" w:eastAsia="Arial" w:hAnsi="Arial"/>
          <w:sz w:val="14"/>
          <w:szCs w:val="14"/>
          <w:b w:val="1"/>
          <w:bCs w:val="1"/>
          <w:color w:val="auto"/>
        </w:rPr>
        <w:t xml:space="preserve">Expected Term </w:t>
      </w:r>
      <w:r>
        <w:rPr>
          <w:rFonts w:ascii="Arial" w:cs="Arial" w:eastAsia="Arial" w:hAnsi="Arial"/>
          <w:sz w:val="14"/>
          <w:szCs w:val="14"/>
          <w:color w:val="auto"/>
        </w:rPr>
        <w:t>- We estimate the expected life of employee share options based on the simplified method allowed by SAB No. 107, as amended by SAB No. 110. Under this approach, the</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term is presumed to be the average between the weighted-average vesting period and the contractual term. The ISO’s have a 10-year contractual term and the vesting period is 4 years. This results in a calculated expected term of 7 years.</w:t>
      </w:r>
    </w:p>
    <w:p>
      <w:pPr>
        <w:spacing w:after="0" w:line="74" w:lineRule="exact"/>
        <w:rPr>
          <w:rFonts w:ascii="Arial" w:cs="Arial" w:eastAsia="Arial" w:hAnsi="Arial"/>
          <w:sz w:val="14"/>
          <w:szCs w:val="14"/>
          <w:color w:val="auto"/>
        </w:rPr>
      </w:pPr>
    </w:p>
    <w:p>
      <w:pPr>
        <w:ind w:left="520" w:hanging="263"/>
        <w:spacing w:after="0" w:line="284" w:lineRule="auto"/>
        <w:tabs>
          <w:tab w:leader="none" w:pos="516" w:val="left"/>
        </w:tabs>
        <w:numPr>
          <w:ilvl w:val="0"/>
          <w:numId w:val="48"/>
        </w:numPr>
        <w:rPr>
          <w:rFonts w:ascii="Arial" w:cs="Arial" w:eastAsia="Arial" w:hAnsi="Arial"/>
          <w:sz w:val="14"/>
          <w:szCs w:val="14"/>
          <w:color w:val="auto"/>
        </w:rPr>
      </w:pPr>
      <w:r>
        <w:rPr>
          <w:rFonts w:ascii="Arial" w:cs="Arial" w:eastAsia="Arial" w:hAnsi="Arial"/>
          <w:sz w:val="14"/>
          <w:szCs w:val="14"/>
          <w:b w:val="1"/>
          <w:bCs w:val="1"/>
          <w:color w:val="auto"/>
        </w:rPr>
        <w:t xml:space="preserve">Risk Free rate </w:t>
      </w:r>
      <w:r>
        <w:rPr>
          <w:rFonts w:ascii="Arial" w:cs="Arial" w:eastAsia="Arial" w:hAnsi="Arial"/>
          <w:sz w:val="14"/>
          <w:szCs w:val="14"/>
          <w:color w:val="auto"/>
        </w:rPr>
        <w:t>- The risk-free interest rate is based on the U.S. Treasury Note, on the date of grant with a term equal to the corresponding option’s expected term. So, in this case, we are using</w:t>
      </w:r>
      <w:r>
        <w:rPr>
          <w:rFonts w:ascii="Arial" w:cs="Arial" w:eastAsia="Arial" w:hAnsi="Arial"/>
          <w:sz w:val="14"/>
          <w:szCs w:val="14"/>
          <w:b w:val="1"/>
          <w:bCs w:val="1"/>
          <w:color w:val="auto"/>
        </w:rPr>
        <w:t xml:space="preserve"> </w:t>
      </w:r>
      <w:r>
        <w:rPr>
          <w:rFonts w:ascii="Arial" w:cs="Arial" w:eastAsia="Arial" w:hAnsi="Arial"/>
          <w:sz w:val="14"/>
          <w:szCs w:val="14"/>
          <w:color w:val="auto"/>
        </w:rPr>
        <w:t>the 7 year treasury note as of the date of grant, which ranges from 1.27% and 1.44% at the date of the grants.</w:t>
      </w:r>
    </w:p>
    <w:p>
      <w:pPr>
        <w:spacing w:after="0" w:line="72"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2"/>
          <w:szCs w:val="12"/>
          <w:color w:val="auto"/>
        </w:rPr>
      </w:pPr>
      <w:r>
        <w:rPr>
          <w:rFonts w:ascii="Arial" w:cs="Arial" w:eastAsia="Arial" w:hAnsi="Arial"/>
          <w:sz w:val="12"/>
          <w:szCs w:val="12"/>
          <w:b w:val="1"/>
          <w:bCs w:val="1"/>
          <w:color w:val="auto"/>
        </w:rPr>
        <w:t xml:space="preserve">Dividend yield </w:t>
      </w:r>
      <w:r>
        <w:rPr>
          <w:rFonts w:ascii="Arial" w:cs="Arial" w:eastAsia="Arial" w:hAnsi="Arial"/>
          <w:sz w:val="12"/>
          <w:szCs w:val="12"/>
          <w:color w:val="auto"/>
        </w:rPr>
        <w:t>- We have never declared or paid any cash dividends and there is currently no expected cash dividend payments as of the date of this grant. As such, dividend yield is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Restricted Stock Awards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Restricted stock activity was as follows:</w:t>
      </w:r>
    </w:p>
    <w:p>
      <w:pPr>
        <w:spacing w:after="0" w:line="132" w:lineRule="exact"/>
        <w:rPr>
          <w:sz w:val="20"/>
          <w:szCs w:val="20"/>
          <w:color w:val="auto"/>
        </w:rPr>
      </w:pPr>
    </w:p>
    <w:tbl>
      <w:tblPr>
        <w:tblLayout w:type="fixed"/>
        <w:tblInd w:w="176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center"/>
              <w:ind w:right="272"/>
              <w:spacing w:after="0"/>
              <w:rPr>
                <w:sz w:val="20"/>
                <w:szCs w:val="20"/>
                <w:color w:val="auto"/>
              </w:rPr>
            </w:pPr>
            <w:r>
              <w:rPr>
                <w:rFonts w:ascii="Arial" w:cs="Arial" w:eastAsia="Arial" w:hAnsi="Arial"/>
                <w:sz w:val="13"/>
                <w:szCs w:val="13"/>
                <w:b w:val="1"/>
                <w:bCs w:val="1"/>
                <w:color w:val="auto"/>
                <w:w w:val="89"/>
              </w:rPr>
              <w:t>Weighted-</w:t>
            </w:r>
          </w:p>
        </w:tc>
        <w:tc>
          <w:tcPr>
            <w:tcW w:w="0" w:type="dxa"/>
            <w:vAlign w:val="bottom"/>
          </w:tcPr>
          <w:p>
            <w:pPr>
              <w:spacing w:after="0"/>
              <w:rPr>
                <w:sz w:val="1"/>
                <w:szCs w:val="1"/>
                <w:color w:val="auto"/>
              </w:rPr>
            </w:pPr>
          </w:p>
        </w:tc>
      </w:tr>
      <w:tr>
        <w:trPr>
          <w:trHeight w:val="126"/>
        </w:trPr>
        <w:tc>
          <w:tcPr>
            <w:tcW w:w="4160" w:type="dxa"/>
            <w:vAlign w:val="bottom"/>
          </w:tcPr>
          <w:p>
            <w:pPr>
              <w:spacing w:after="0"/>
              <w:rPr>
                <w:sz w:val="11"/>
                <w:szCs w:val="11"/>
                <w:color w:val="auto"/>
              </w:rPr>
            </w:pPr>
          </w:p>
        </w:tc>
        <w:tc>
          <w:tcPr>
            <w:tcW w:w="1180" w:type="dxa"/>
            <w:vAlign w:val="bottom"/>
            <w:vMerge w:val="restart"/>
          </w:tcPr>
          <w:p>
            <w:pPr>
              <w:ind w:left="680"/>
              <w:spacing w:after="0"/>
              <w:rPr>
                <w:sz w:val="20"/>
                <w:szCs w:val="20"/>
                <w:color w:val="auto"/>
              </w:rPr>
            </w:pPr>
            <w:r>
              <w:rPr>
                <w:rFonts w:ascii="Arial" w:cs="Arial" w:eastAsia="Arial" w:hAnsi="Arial"/>
                <w:sz w:val="13"/>
                <w:szCs w:val="13"/>
                <w:b w:val="1"/>
                <w:bCs w:val="1"/>
                <w:color w:val="auto"/>
                <w:w w:val="97"/>
              </w:rPr>
              <w:t>Number</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center"/>
              <w:ind w:right="292"/>
              <w:spacing w:after="0" w:line="127"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26"/>
        </w:trPr>
        <w:tc>
          <w:tcPr>
            <w:tcW w:w="4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center"/>
              <w:ind w:right="272"/>
              <w:spacing w:after="0" w:line="127" w:lineRule="exact"/>
              <w:rPr>
                <w:sz w:val="20"/>
                <w:szCs w:val="20"/>
                <w:color w:val="auto"/>
              </w:rPr>
            </w:pPr>
            <w:r>
              <w:rPr>
                <w:rFonts w:ascii="Arial" w:cs="Arial" w:eastAsia="Arial" w:hAnsi="Arial"/>
                <w:sz w:val="13"/>
                <w:szCs w:val="13"/>
                <w:b w:val="1"/>
                <w:bCs w:val="1"/>
                <w:color w:val="auto"/>
                <w:w w:val="88"/>
              </w:rPr>
              <w:t>grant-date</w:t>
            </w: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w w:val="86"/>
              </w:rPr>
              <w:t>of shares</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1"/>
              </w:rPr>
              <w:t>fair value</w:t>
            </w:r>
          </w:p>
        </w:tc>
        <w:tc>
          <w:tcPr>
            <w:tcW w:w="0" w:type="dxa"/>
            <w:vAlign w:val="bottom"/>
          </w:tcPr>
          <w:p>
            <w:pPr>
              <w:spacing w:after="0"/>
              <w:rPr>
                <w:sz w:val="1"/>
                <w:szCs w:val="1"/>
                <w:color w:val="auto"/>
              </w:rPr>
            </w:pPr>
          </w:p>
        </w:tc>
      </w:tr>
      <w:tr>
        <w:trPr>
          <w:trHeight w:val="108"/>
        </w:trPr>
        <w:tc>
          <w:tcPr>
            <w:tcW w:w="4160" w:type="dxa"/>
            <w:vAlign w:val="bottom"/>
            <w:tcBorders>
              <w:bottom w:val="single" w:sz="8" w:color="CCEEFF"/>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Nonvested, December 31, 2019</w:t>
            </w:r>
          </w:p>
        </w:tc>
        <w:tc>
          <w:tcPr>
            <w:tcW w:w="1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814,949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79"/>
        </w:trPr>
        <w:tc>
          <w:tcPr>
            <w:tcW w:w="5340" w:type="dxa"/>
            <w:vAlign w:val="bottom"/>
            <w:gridSpan w:val="2"/>
          </w:tcPr>
          <w:p>
            <w:pPr>
              <w:ind w:left="160"/>
              <w:spacing w:after="0"/>
              <w:rPr>
                <w:sz w:val="20"/>
                <w:szCs w:val="20"/>
                <w:color w:val="auto"/>
              </w:rPr>
            </w:pPr>
            <w:r>
              <w:rPr>
                <w:rFonts w:ascii="Arial" w:cs="Arial" w:eastAsia="Arial" w:hAnsi="Arial"/>
                <w:sz w:val="14"/>
                <w:szCs w:val="14"/>
                <w:color w:val="auto"/>
              </w:rPr>
              <w:t>Shares granted</w:t>
            </w:r>
          </w:p>
        </w:tc>
        <w:tc>
          <w:tcPr>
            <w:tcW w:w="620" w:type="dxa"/>
            <w:vAlign w:val="bottom"/>
          </w:tcPr>
          <w:p>
            <w:pPr>
              <w:jc w:val="right"/>
              <w:spacing w:after="0"/>
              <w:rPr>
                <w:sz w:val="20"/>
                <w:szCs w:val="20"/>
                <w:color w:val="auto"/>
              </w:rPr>
            </w:pPr>
            <w:r>
              <w:rPr>
                <w:rFonts w:ascii="Arial" w:cs="Arial" w:eastAsia="Arial" w:hAnsi="Arial"/>
                <w:sz w:val="14"/>
                <w:szCs w:val="14"/>
                <w:color w:val="auto"/>
              </w:rPr>
              <w:t>231,091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79"/>
        </w:trPr>
        <w:tc>
          <w:tcPr>
            <w:tcW w:w="5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Shares vested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(228,500)</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9"/>
        </w:trPr>
        <w:tc>
          <w:tcPr>
            <w:tcW w:w="5340" w:type="dxa"/>
            <w:vAlign w:val="bottom"/>
            <w:gridSpan w:val="2"/>
          </w:tcPr>
          <w:p>
            <w:pPr>
              <w:ind w:left="160"/>
              <w:spacing w:after="0"/>
              <w:rPr>
                <w:sz w:val="20"/>
                <w:szCs w:val="20"/>
                <w:color w:val="auto"/>
              </w:rPr>
            </w:pPr>
            <w:r>
              <w:rPr>
                <w:rFonts w:ascii="Arial" w:cs="Arial" w:eastAsia="Arial" w:hAnsi="Arial"/>
                <w:sz w:val="14"/>
                <w:szCs w:val="14"/>
                <w:color w:val="auto"/>
              </w:rPr>
              <w:t>Shares forfeited</w:t>
            </w:r>
          </w:p>
        </w:tc>
        <w:tc>
          <w:tcPr>
            <w:tcW w:w="620" w:type="dxa"/>
            <w:vAlign w:val="bottom"/>
          </w:tcPr>
          <w:p>
            <w:pPr>
              <w:jc w:val="right"/>
              <w:spacing w:after="0"/>
              <w:rPr>
                <w:sz w:val="20"/>
                <w:szCs w:val="20"/>
                <w:color w:val="auto"/>
              </w:rPr>
            </w:pPr>
            <w:r>
              <w:rPr>
                <w:rFonts w:ascii="Arial" w:cs="Arial" w:eastAsia="Arial" w:hAnsi="Arial"/>
                <w:sz w:val="14"/>
                <w:szCs w:val="14"/>
                <w:color w:val="auto"/>
              </w:rPr>
              <w:t>(38,125)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70"/>
        </w:trPr>
        <w:tc>
          <w:tcPr>
            <w:tcW w:w="41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Nonvested, December 31, 2020</w:t>
            </w:r>
          </w:p>
        </w:tc>
        <w:tc>
          <w:tcPr>
            <w:tcW w:w="1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779,415</w:t>
            </w: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79"/>
        </w:trPr>
        <w:tc>
          <w:tcPr>
            <w:tcW w:w="5340" w:type="dxa"/>
            <w:vAlign w:val="bottom"/>
            <w:gridSpan w:val="2"/>
          </w:tcPr>
          <w:p>
            <w:pPr>
              <w:ind w:left="160"/>
              <w:spacing w:after="0"/>
              <w:rPr>
                <w:sz w:val="20"/>
                <w:szCs w:val="20"/>
                <w:color w:val="auto"/>
              </w:rPr>
            </w:pPr>
            <w:r>
              <w:rPr>
                <w:rFonts w:ascii="Arial" w:cs="Arial" w:eastAsia="Arial" w:hAnsi="Arial"/>
                <w:sz w:val="14"/>
                <w:szCs w:val="14"/>
                <w:color w:val="auto"/>
              </w:rPr>
              <w:t>Shares granted</w:t>
            </w:r>
          </w:p>
        </w:tc>
        <w:tc>
          <w:tcPr>
            <w:tcW w:w="620" w:type="dxa"/>
            <w:vAlign w:val="bottom"/>
          </w:tcPr>
          <w:p>
            <w:pPr>
              <w:jc w:val="right"/>
              <w:spacing w:after="0"/>
              <w:rPr>
                <w:sz w:val="20"/>
                <w:szCs w:val="20"/>
                <w:color w:val="auto"/>
              </w:rPr>
            </w:pPr>
            <w:r>
              <w:rPr>
                <w:rFonts w:ascii="Arial" w:cs="Arial" w:eastAsia="Arial" w:hAnsi="Arial"/>
                <w:sz w:val="14"/>
                <w:szCs w:val="14"/>
                <w:color w:val="auto"/>
              </w:rPr>
              <w:t>223,750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79"/>
        </w:trPr>
        <w:tc>
          <w:tcPr>
            <w:tcW w:w="5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Shares vested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(192,684)</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79"/>
        </w:trPr>
        <w:tc>
          <w:tcPr>
            <w:tcW w:w="5340" w:type="dxa"/>
            <w:vAlign w:val="bottom"/>
            <w:gridSpan w:val="2"/>
          </w:tcPr>
          <w:p>
            <w:pPr>
              <w:ind w:left="160"/>
              <w:spacing w:after="0"/>
              <w:rPr>
                <w:sz w:val="20"/>
                <w:szCs w:val="20"/>
                <w:color w:val="auto"/>
              </w:rPr>
            </w:pPr>
            <w:r>
              <w:rPr>
                <w:rFonts w:ascii="Arial" w:cs="Arial" w:eastAsia="Arial" w:hAnsi="Arial"/>
                <w:sz w:val="14"/>
                <w:szCs w:val="14"/>
                <w:color w:val="auto"/>
              </w:rPr>
              <w:t>Shares forfeited</w:t>
            </w:r>
          </w:p>
        </w:tc>
        <w:tc>
          <w:tcPr>
            <w:tcW w:w="620" w:type="dxa"/>
            <w:vAlign w:val="bottom"/>
          </w:tcPr>
          <w:p>
            <w:pPr>
              <w:jc w:val="right"/>
              <w:spacing w:after="0"/>
              <w:rPr>
                <w:sz w:val="20"/>
                <w:szCs w:val="20"/>
                <w:color w:val="auto"/>
              </w:rPr>
            </w:pPr>
            <w:r>
              <w:rPr>
                <w:rFonts w:ascii="Arial" w:cs="Arial" w:eastAsia="Arial" w:hAnsi="Arial"/>
                <w:sz w:val="14"/>
                <w:szCs w:val="14"/>
                <w:color w:val="auto"/>
              </w:rPr>
              <w:t>(70,750)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70"/>
        </w:trPr>
        <w:tc>
          <w:tcPr>
            <w:tcW w:w="41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Nonvested, December 31, 2021</w:t>
            </w:r>
          </w:p>
        </w:tc>
        <w:tc>
          <w:tcPr>
            <w:tcW w:w="11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739,731</w:t>
            </w: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The fair value of restricted stock granted was based on the closing market price of the Company’s common stock on the date of grant. The restricted stock grants are included in the diluted weighted shares outstanding computation until they cliff-vest. Once vested they are included in the basic weighted shares outstanding computation.</w:t>
      </w:r>
    </w:p>
    <w:p>
      <w:pPr>
        <w:spacing w:after="0" w:line="266"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2"/>
          <w:szCs w:val="12"/>
          <w:b w:val="1"/>
          <w:bCs w:val="1"/>
          <w:color w:val="auto"/>
        </w:rPr>
        <w:t>Employee Benefit Plans</w:t>
      </w:r>
    </w:p>
    <w:p>
      <w:pPr>
        <w:spacing w:after="0" w:line="128" w:lineRule="exact"/>
        <w:rPr>
          <w:sz w:val="20"/>
          <w:szCs w:val="20"/>
          <w:color w:val="auto"/>
        </w:rPr>
      </w:pPr>
    </w:p>
    <w:p>
      <w:pPr>
        <w:jc w:val="both"/>
        <w:ind w:left="60"/>
        <w:spacing w:after="0" w:line="286" w:lineRule="auto"/>
        <w:rPr>
          <w:sz w:val="20"/>
          <w:szCs w:val="20"/>
          <w:color w:val="auto"/>
        </w:rPr>
      </w:pPr>
      <w:r>
        <w:rPr>
          <w:rFonts w:ascii="Arial" w:cs="Arial" w:eastAsia="Arial" w:hAnsi="Arial"/>
          <w:sz w:val="13"/>
          <w:szCs w:val="13"/>
          <w:color w:val="auto"/>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2021, 2020 and 2019, the Company contributed approximately $50,000 in each year to the Plan as an employer match of participant contributions.</w:t>
      </w:r>
    </w:p>
    <w:p>
      <w:pPr>
        <w:spacing w:after="0" w:line="67" w:lineRule="exact"/>
        <w:rPr>
          <w:sz w:val="20"/>
          <w:szCs w:val="20"/>
          <w:color w:val="auto"/>
        </w:rPr>
      </w:pPr>
    </w:p>
    <w:p>
      <w:pPr>
        <w:jc w:val="both"/>
        <w:ind w:left="60"/>
        <w:spacing w:after="0" w:line="260" w:lineRule="auto"/>
        <w:rPr>
          <w:sz w:val="20"/>
          <w:szCs w:val="20"/>
          <w:color w:val="auto"/>
        </w:rPr>
      </w:pPr>
      <w:r>
        <w:rPr>
          <w:rFonts w:ascii="Arial" w:cs="Arial" w:eastAsia="Arial" w:hAnsi="Arial"/>
          <w:sz w:val="14"/>
          <w:szCs w:val="14"/>
          <w:color w:val="auto"/>
        </w:rPr>
        <w:t>In 2012 and 2013, the Company established non-qualified unfunded deferred compensation plans that allow participants to defer receipt of a portion of their compensation. The liability under the plans, reflected in other long term liabilities in the consolidated balance sheet, was $3.4 million and $2.7 million as of December 31, 2021 and 2020, respectively. The Company had assets consisting of company-owned life insurance contracts generally designated to pay benefits of the deferred compensation plans reflected in other assets in the consolidated balance sheet of $3.2 million and $2.9 million as of December 31, 2021 and 2020, respectively.</w:t>
      </w:r>
    </w:p>
    <w:p>
      <w:pPr>
        <w:spacing w:after="0" w:line="89"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1"/>
          <w:szCs w:val="11"/>
          <w:b w:val="1"/>
          <w:bCs w:val="1"/>
          <w:color w:val="auto"/>
        </w:rPr>
        <w:t>Leases</w:t>
      </w:r>
    </w:p>
    <w:p>
      <w:pPr>
        <w:spacing w:after="0" w:line="128"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The Company is obligated under long-term real estate leases for corporate office space that was extended during the third quarter of 2015. Prior to this extension, the lease would have expired in October 2016, the lease is now set to expire in October 2022.</w:t>
      </w:r>
    </w:p>
    <w:p>
      <w:pPr>
        <w:spacing w:after="0" w:line="70" w:lineRule="exact"/>
        <w:rPr>
          <w:sz w:val="20"/>
          <w:szCs w:val="20"/>
          <w:color w:val="auto"/>
        </w:rPr>
      </w:pPr>
    </w:p>
    <w:p>
      <w:pPr>
        <w:jc w:val="both"/>
        <w:ind w:left="60"/>
        <w:spacing w:after="0" w:line="302" w:lineRule="auto"/>
        <w:rPr>
          <w:sz w:val="20"/>
          <w:szCs w:val="20"/>
          <w:color w:val="auto"/>
        </w:rPr>
      </w:pPr>
      <w:r>
        <w:rPr>
          <w:rFonts w:ascii="Arial" w:cs="Arial" w:eastAsia="Arial" w:hAnsi="Arial"/>
          <w:sz w:val="12"/>
          <w:szCs w:val="12"/>
          <w:color w:val="auto"/>
        </w:rPr>
        <w:t>On November 15, 2021, Cumberland entered into a lease, pursuant to which the Company will lease approximately 16,631 rentable square feet of space at the new development Broadwest located in Nashville, Tennessee with 1600 West End Avenue Partners, LLC. The Leased Premise will serve as the Company's new corporate headquarters. The initial term of the Lease is one hundred fifty-seven</w:t>
      </w:r>
    </w:p>
    <w:p>
      <w:pPr>
        <w:spacing w:after="0" w:line="1" w:lineRule="exact"/>
        <w:rPr>
          <w:sz w:val="20"/>
          <w:szCs w:val="20"/>
          <w:color w:val="auto"/>
        </w:rPr>
      </w:pPr>
    </w:p>
    <w:p>
      <w:pPr>
        <w:ind w:left="400" w:hanging="336"/>
        <w:spacing w:after="0"/>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months, with two consecutive options to renew for a period of five years each, and will commence on the earlier of November 1, 2022, the date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0"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which Tenant takes occupancy of the Leased Premise, or the date which Tenant receives a temporary or permanent certificate of occupancy for the Leased Premise.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will be responsible for paying rent to the Landlord under the Lease beginning three months after the Commencement Date. The Company will pay a base rent of $33.06 per square foot of rentable space with a gradual rental rate increase of 2.5% for each year period thereafter of the prior year's base rental. In addition to the monthly base rent, the Company is responsible for its percentage share of the operating expenses of the Building. The Lease also provides for a tenant improvement allowance for the space.</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the research lab space at CET, under an agreement amended in July 2012, is leased through April 2023, with an option to extend the lease through April 2028. The Company also subleases a portion of the space under these leases.</w:t>
      </w:r>
    </w:p>
    <w:p>
      <w:pPr>
        <w:spacing w:after="0" w:line="8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Rent expense is recognized over the expected term of the lease, including renewal option periods, if applicable, on a straight-line basis as a component of general and administrative expense. Rent expense and sublease income as follows for the years ended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2019</w:t>
            </w:r>
          </w:p>
        </w:tc>
      </w:tr>
      <w:tr>
        <w:trPr>
          <w:trHeight w:val="107"/>
        </w:trPr>
        <w:tc>
          <w:tcPr>
            <w:tcW w:w="4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0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Rent expense</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1,209,102</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1,166,411</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1,246,143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4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699,889</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680,627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688,020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*Minor amounts due in 2022.</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currently classified as operating leases.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remaining lease term is 1 years and the weighted-average incremental borrowing rate used to discount the present value of the remaining lease payments is 7.42%.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00" w:type="dxa"/>
            <w:vAlign w:val="bottom"/>
            <w:gridSpan w:val="2"/>
          </w:tcPr>
          <w:p>
            <w:pPr>
              <w:ind w:left="140"/>
              <w:spacing w:after="0"/>
              <w:rPr>
                <w:sz w:val="20"/>
                <w:szCs w:val="20"/>
                <w:color w:val="auto"/>
              </w:rPr>
            </w:pPr>
            <w:r>
              <w:rPr>
                <w:rFonts w:ascii="Arial" w:cs="Arial" w:eastAsia="Arial" w:hAnsi="Arial"/>
                <w:sz w:val="14"/>
                <w:szCs w:val="14"/>
                <w:i w:val="1"/>
                <w:iCs w:val="1"/>
                <w:color w:val="auto"/>
              </w:rPr>
              <w:t>Lease Position</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74"/>
        </w:trPr>
        <w:tc>
          <w:tcPr>
            <w:tcW w:w="6700" w:type="dxa"/>
            <w:vAlign w:val="bottom"/>
            <w:gridSpan w:val="2"/>
          </w:tcPr>
          <w:p>
            <w:pPr>
              <w:spacing w:after="0"/>
              <w:rPr>
                <w:sz w:val="20"/>
                <w:szCs w:val="20"/>
                <w:color w:val="auto"/>
              </w:rPr>
            </w:pPr>
            <w:r>
              <w:rPr>
                <w:rFonts w:ascii="Arial" w:cs="Arial" w:eastAsia="Arial" w:hAnsi="Arial"/>
                <w:sz w:val="14"/>
                <w:szCs w:val="14"/>
                <w:color w:val="auto"/>
              </w:rPr>
              <w:t>At December 31, 2021 and 2020, the Company recorded the following on the Consolidated Balance Sheet:</w:t>
            </w:r>
          </w:p>
        </w:tc>
        <w:tc>
          <w:tcPr>
            <w:tcW w:w="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316"/>
        </w:trPr>
        <w:tc>
          <w:tcPr>
            <w:tcW w:w="6700" w:type="dxa"/>
            <w:vAlign w:val="bottom"/>
            <w:gridSpan w:val="2"/>
          </w:tcPr>
          <w:p>
            <w:pPr>
              <w:ind w:left="2640"/>
              <w:spacing w:after="0"/>
              <w:rPr>
                <w:sz w:val="20"/>
                <w:szCs w:val="20"/>
                <w:color w:val="auto"/>
              </w:rPr>
            </w:pPr>
            <w:r>
              <w:rPr>
                <w:rFonts w:ascii="Arial" w:cs="Arial" w:eastAsia="Arial" w:hAnsi="Arial"/>
                <w:sz w:val="14"/>
                <w:szCs w:val="14"/>
                <w:b w:val="1"/>
                <w:bCs w:val="1"/>
                <w:color w:val="auto"/>
              </w:rPr>
              <w:t>Right-of-Use Assets</w:t>
            </w:r>
          </w:p>
        </w:tc>
        <w:tc>
          <w:tcPr>
            <w:tcW w:w="300" w:type="dxa"/>
            <w:vAlign w:val="bottom"/>
          </w:tcPr>
          <w:p>
            <w:pPr>
              <w:spacing w:after="0"/>
              <w:rPr>
                <w:sz w:val="24"/>
                <w:szCs w:val="24"/>
                <w:color w:val="auto"/>
              </w:rPr>
            </w:pPr>
          </w:p>
        </w:tc>
        <w:tc>
          <w:tcPr>
            <w:tcW w:w="21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24"/>
                <w:szCs w:val="24"/>
                <w:color w:val="auto"/>
              </w:rPr>
            </w:pPr>
          </w:p>
        </w:tc>
        <w:tc>
          <w:tcPr>
            <w:tcW w:w="1860" w:type="dxa"/>
            <w:vAlign w:val="bottom"/>
          </w:tcPr>
          <w:p>
            <w:pPr>
              <w:jc w:val="right"/>
              <w:ind w:right="450"/>
              <w:spacing w:after="0"/>
              <w:rPr>
                <w:sz w:val="20"/>
                <w:szCs w:val="20"/>
                <w:color w:val="auto"/>
              </w:rPr>
            </w:pPr>
            <w:r>
              <w:rPr>
                <w:rFonts w:ascii="Arial" w:cs="Arial" w:eastAsia="Arial" w:hAnsi="Arial"/>
                <w:sz w:val="14"/>
                <w:szCs w:val="14"/>
                <w:b w:val="1"/>
                <w:bCs w:val="1"/>
                <w:color w:val="auto"/>
              </w:rPr>
              <w:t>December 31, 2020</w:t>
            </w:r>
          </w:p>
        </w:tc>
      </w:tr>
      <w:tr>
        <w:trPr>
          <w:trHeight w:val="170"/>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1,024,200</w:t>
            </w: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6700" w:type="dxa"/>
            <w:vAlign w:val="bottom"/>
            <w:gridSpan w:val="2"/>
          </w:tcPr>
          <w:p>
            <w:pPr>
              <w:ind w:left="2740"/>
              <w:spacing w:after="0"/>
              <w:rPr>
                <w:sz w:val="20"/>
                <w:szCs w:val="20"/>
                <w:color w:val="auto"/>
              </w:rPr>
            </w:pPr>
            <w:r>
              <w:rPr>
                <w:rFonts w:ascii="Arial" w:cs="Arial" w:eastAsia="Arial" w:hAnsi="Arial"/>
                <w:sz w:val="14"/>
                <w:szCs w:val="14"/>
                <w:b w:val="1"/>
                <w:bCs w:val="1"/>
                <w:color w:val="auto"/>
              </w:rPr>
              <w:t>Lease Liabilities</w:t>
            </w:r>
          </w:p>
        </w:tc>
        <w:tc>
          <w:tcPr>
            <w:tcW w:w="300" w:type="dxa"/>
            <w:vAlign w:val="bottom"/>
          </w:tcPr>
          <w:p>
            <w:pPr>
              <w:spacing w:after="0"/>
              <w:rPr>
                <w:sz w:val="15"/>
                <w:szCs w:val="15"/>
                <w:color w:val="auto"/>
              </w:rPr>
            </w:pPr>
          </w:p>
        </w:tc>
        <w:tc>
          <w:tcPr>
            <w:tcW w:w="21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5"/>
                <w:szCs w:val="15"/>
                <w:color w:val="auto"/>
              </w:rPr>
            </w:pPr>
          </w:p>
        </w:tc>
        <w:tc>
          <w:tcPr>
            <w:tcW w:w="1860" w:type="dxa"/>
            <w:vAlign w:val="bottom"/>
          </w:tcPr>
          <w:p>
            <w:pPr>
              <w:jc w:val="right"/>
              <w:ind w:right="450"/>
              <w:spacing w:after="0"/>
              <w:rPr>
                <w:sz w:val="20"/>
                <w:szCs w:val="20"/>
                <w:color w:val="auto"/>
              </w:rPr>
            </w:pPr>
            <w:r>
              <w:rPr>
                <w:rFonts w:ascii="Arial" w:cs="Arial" w:eastAsia="Arial" w:hAnsi="Arial"/>
                <w:sz w:val="14"/>
                <w:szCs w:val="14"/>
                <w:b w:val="1"/>
                <w:bCs w:val="1"/>
                <w:color w:val="auto"/>
              </w:rPr>
              <w:t>December 31, 2020</w:t>
            </w:r>
          </w:p>
        </w:tc>
      </w:tr>
      <w:tr>
        <w:trPr>
          <w:trHeight w:val="170"/>
        </w:trPr>
        <w:tc>
          <w:tcPr>
            <w:tcW w:w="6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Operating lease current liabilities</w:t>
            </w: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969,677</w:t>
            </w: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1,016,779</w:t>
            </w:r>
          </w:p>
        </w:tc>
      </w:tr>
      <w:tr>
        <w:trPr>
          <w:trHeight w:val="179"/>
        </w:trPr>
        <w:tc>
          <w:tcPr>
            <w:tcW w:w="6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Operating lease non-current liabilities</w:t>
            </w: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90,016</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1,059,693</w:t>
            </w:r>
          </w:p>
        </w:tc>
      </w:tr>
      <w:tr>
        <w:trPr>
          <w:trHeight w:val="195"/>
        </w:trPr>
        <w:tc>
          <w:tcPr>
            <w:tcW w:w="670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1,059,693</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2,076,472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60"/>
        <w:spacing w:after="0"/>
        <w:rPr>
          <w:sz w:val="20"/>
          <w:szCs w:val="20"/>
          <w:color w:val="auto"/>
        </w:rPr>
      </w:pPr>
      <w:r>
        <w:rPr>
          <w:rFonts w:ascii="Arial" w:cs="Arial" w:eastAsia="Arial" w:hAnsi="Arial"/>
          <w:sz w:val="12"/>
          <w:szCs w:val="12"/>
          <w:color w:val="auto"/>
        </w:rPr>
        <w:t>Excluding the Broadwest lease, cumulative future minimum sublease income under non-cancelable operating subleases totals approximately $0.1 million and will be paid through the leases ending in</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October 2022 and April 2023. Future minimum lease payments under non-cancelable operating leases (with initial or remaining lease terms in excess of one year) are as follows: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9120" w:type="dxa"/>
            <w:vAlign w:val="bottom"/>
            <w:gridSpan w:val="2"/>
          </w:tcPr>
          <w:p>
            <w:pPr>
              <w:ind w:left="2880"/>
              <w:spacing w:after="0"/>
              <w:rPr>
                <w:sz w:val="20"/>
                <w:szCs w:val="20"/>
                <w:color w:val="auto"/>
              </w:rPr>
            </w:pPr>
            <w:r>
              <w:rPr>
                <w:rFonts w:ascii="Arial" w:cs="Arial" w:eastAsia="Arial" w:hAnsi="Arial"/>
                <w:sz w:val="14"/>
                <w:szCs w:val="14"/>
                <w:b w:val="1"/>
                <w:bCs w:val="1"/>
                <w:color w:val="auto"/>
              </w:rPr>
              <w:t>Maturity of Leases Liabilities at December 31, 2021</w:t>
            </w:r>
          </w:p>
        </w:tc>
        <w:tc>
          <w:tcPr>
            <w:tcW w:w="320" w:type="dxa"/>
            <w:vAlign w:val="bottom"/>
          </w:tcPr>
          <w:p>
            <w:pPr>
              <w:spacing w:after="0"/>
              <w:rPr>
                <w:sz w:val="15"/>
                <w:szCs w:val="15"/>
                <w:color w:val="auto"/>
              </w:rPr>
            </w:pPr>
          </w:p>
        </w:tc>
        <w:tc>
          <w:tcPr>
            <w:tcW w:w="1840" w:type="dxa"/>
            <w:vAlign w:val="bottom"/>
          </w:tcPr>
          <w:p>
            <w:pPr>
              <w:jc w:val="right"/>
              <w:ind w:right="490"/>
              <w:spacing w:after="0"/>
              <w:rPr>
                <w:sz w:val="20"/>
                <w:szCs w:val="20"/>
                <w:color w:val="auto"/>
              </w:rPr>
            </w:pPr>
            <w:r>
              <w:rPr>
                <w:rFonts w:ascii="Arial" w:cs="Arial" w:eastAsia="Arial" w:hAnsi="Arial"/>
                <w:sz w:val="14"/>
                <w:szCs w:val="14"/>
                <w:b w:val="1"/>
                <w:bCs w:val="1"/>
                <w:color w:val="auto"/>
              </w:rPr>
              <w:t>Operating Leases</w:t>
            </w:r>
          </w:p>
        </w:tc>
      </w:tr>
      <w:tr>
        <w:trPr>
          <w:trHeight w:val="170"/>
        </w:trPr>
        <w:tc>
          <w:tcPr>
            <w:tcW w:w="88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2022</w:t>
            </w:r>
          </w:p>
        </w:tc>
        <w:tc>
          <w:tcPr>
            <w:tcW w:w="2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1,019,313</w:t>
            </w:r>
          </w:p>
        </w:tc>
      </w:tr>
      <w:tr>
        <w:trPr>
          <w:trHeight w:val="179"/>
        </w:trPr>
        <w:tc>
          <w:tcPr>
            <w:tcW w:w="88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92,478</w:t>
            </w:r>
          </w:p>
        </w:tc>
      </w:tr>
      <w:tr>
        <w:trPr>
          <w:trHeight w:val="170"/>
        </w:trPr>
        <w:tc>
          <w:tcPr>
            <w:tcW w:w="91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Total lease payments</w:t>
            </w:r>
          </w:p>
        </w:tc>
        <w:tc>
          <w:tcPr>
            <w:tcW w:w="3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1,111,791</w:t>
            </w:r>
          </w:p>
        </w:tc>
      </w:tr>
      <w:tr>
        <w:trPr>
          <w:trHeight w:val="179"/>
        </w:trPr>
        <w:tc>
          <w:tcPr>
            <w:tcW w:w="9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Less: Interest</w:t>
            </w: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(52,098)</w:t>
            </w:r>
          </w:p>
        </w:tc>
      </w:tr>
      <w:tr>
        <w:trPr>
          <w:trHeight w:val="195"/>
        </w:trPr>
        <w:tc>
          <w:tcPr>
            <w:tcW w:w="9120" w:type="dxa"/>
            <w:vAlign w:val="bottom"/>
            <w:tcBorders>
              <w:bottom w:val="single" w:sz="8" w:color="CCEEFF"/>
            </w:tcBorders>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Present value of lease liabilities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1,059,693</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hanging="376"/>
        <w:spacing w:after="0"/>
        <w:tabs>
          <w:tab w:leader="none" w:pos="44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Market Concentrations</w:t>
      </w:r>
    </w:p>
    <w:p>
      <w:pPr>
        <w:spacing w:after="0" w:line="128" w:lineRule="exact"/>
        <w:rPr>
          <w:sz w:val="20"/>
          <w:szCs w:val="20"/>
          <w:color w:val="auto"/>
        </w:rPr>
      </w:pPr>
    </w:p>
    <w:p>
      <w:pPr>
        <w:jc w:val="both"/>
        <w:ind w:left="60"/>
        <w:spacing w:after="0" w:line="265" w:lineRule="auto"/>
        <w:rPr>
          <w:sz w:val="20"/>
          <w:szCs w:val="20"/>
          <w:color w:val="auto"/>
        </w:rPr>
      </w:pPr>
      <w:r>
        <w:rPr>
          <w:rFonts w:ascii="Arial" w:cs="Arial" w:eastAsia="Arial" w:hAnsi="Arial"/>
          <w:sz w:val="14"/>
          <w:szCs w:val="14"/>
          <w:color w:val="auto"/>
        </w:rPr>
        <w:t>The Company is focused on the acquisition, development and commercialization of branded prescription products. 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spacing w:after="0" w:line="89"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The Company’s primary customers are wholesale pharmaceutical distributors in the U.S. Total revenues by customer for each customer representing 10% or more of consolidated revenues are summarized below for the years ended December 31:</w:t>
      </w:r>
    </w:p>
    <w:p>
      <w:pPr>
        <w:spacing w:after="0" w:line="101" w:lineRule="exact"/>
        <w:rPr>
          <w:sz w:val="20"/>
          <w:szCs w:val="20"/>
          <w:color w:val="auto"/>
        </w:rPr>
      </w:pPr>
    </w:p>
    <w:tbl>
      <w:tblPr>
        <w:tblLayout w:type="fixed"/>
        <w:tblInd w:w="140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1720" w:type="dxa"/>
            <w:vAlign w:val="bottom"/>
            <w:tcBorders>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rPr>
              <w:t>2019</w:t>
            </w:r>
          </w:p>
        </w:tc>
      </w:tr>
      <w:tr>
        <w:trPr>
          <w:trHeight w:val="109"/>
        </w:trPr>
        <w:tc>
          <w:tcPr>
            <w:tcW w:w="3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79"/>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Customer 1</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91"/>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31%</w:t>
            </w:r>
          </w:p>
        </w:tc>
      </w:tr>
      <w:tr>
        <w:trPr>
          <w:trHeight w:val="179"/>
        </w:trPr>
        <w:tc>
          <w:tcPr>
            <w:tcW w:w="3500" w:type="dxa"/>
            <w:vAlign w:val="bottom"/>
          </w:tcPr>
          <w:p>
            <w:pPr>
              <w:spacing w:after="0"/>
              <w:rPr>
                <w:sz w:val="20"/>
                <w:szCs w:val="20"/>
                <w:color w:val="auto"/>
              </w:rPr>
            </w:pPr>
            <w:r>
              <w:rPr>
                <w:rFonts w:ascii="Arial" w:cs="Arial" w:eastAsia="Arial" w:hAnsi="Arial"/>
                <w:sz w:val="14"/>
                <w:szCs w:val="14"/>
                <w:color w:val="auto"/>
              </w:rPr>
              <w:t>Customer 2</w:t>
            </w:r>
          </w:p>
        </w:tc>
        <w:tc>
          <w:tcPr>
            <w:tcW w:w="1720" w:type="dxa"/>
            <w:vAlign w:val="bottom"/>
          </w:tcPr>
          <w:p>
            <w:pPr>
              <w:jc w:val="right"/>
              <w:ind w:right="61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580" w:type="dxa"/>
            <w:vAlign w:val="bottom"/>
          </w:tcPr>
          <w:p>
            <w:pPr>
              <w:jc w:val="right"/>
              <w:ind w:right="591"/>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600" w:type="dxa"/>
            <w:vAlign w:val="bottom"/>
          </w:tcPr>
          <w:p>
            <w:pPr>
              <w:jc w:val="right"/>
              <w:ind w:right="611"/>
              <w:spacing w:after="0"/>
              <w:rPr>
                <w:sz w:val="20"/>
                <w:szCs w:val="20"/>
                <w:color w:val="auto"/>
              </w:rPr>
            </w:pPr>
            <w:r>
              <w:rPr>
                <w:rFonts w:ascii="Arial" w:cs="Arial" w:eastAsia="Arial" w:hAnsi="Arial"/>
                <w:sz w:val="14"/>
                <w:szCs w:val="14"/>
                <w:color w:val="auto"/>
              </w:rPr>
              <w:t>28%</w:t>
            </w:r>
          </w:p>
        </w:tc>
      </w:tr>
      <w:tr>
        <w:trPr>
          <w:trHeight w:val="179"/>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Customer 3</w:t>
            </w:r>
          </w:p>
        </w:tc>
        <w:tc>
          <w:tcPr>
            <w:tcW w:w="172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91"/>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17%</w:t>
            </w: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2"/>
          <w:szCs w:val="12"/>
          <w:color w:val="auto"/>
        </w:rPr>
        <w:t>The Company’s accounts receivable, net of allowances, due from the customers representing 10% or more of consolidated revenue was 51% and 60% at December 31, 2021 and 2020, respectively.</w:t>
      </w:r>
    </w:p>
    <w:p>
      <w:pPr>
        <w:spacing w:after="0" w:line="132"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2"/>
          <w:szCs w:val="12"/>
          <w:b w:val="1"/>
          <w:bCs w:val="1"/>
          <w:color w:val="auto"/>
        </w:rPr>
        <w:t>Manufacturing and Supply Agreements</w:t>
      </w:r>
    </w:p>
    <w:p>
      <w:pPr>
        <w:spacing w:after="0" w:line="128" w:lineRule="exact"/>
        <w:rPr>
          <w:sz w:val="20"/>
          <w:szCs w:val="20"/>
          <w:color w:val="auto"/>
        </w:rPr>
      </w:pPr>
    </w:p>
    <w:p>
      <w:pPr>
        <w:jc w:val="both"/>
        <w:ind w:left="60"/>
        <w:spacing w:after="0" w:line="265" w:lineRule="auto"/>
        <w:rPr>
          <w:sz w:val="20"/>
          <w:szCs w:val="20"/>
          <w:color w:val="auto"/>
        </w:rPr>
      </w:pPr>
      <w:r>
        <w:rPr>
          <w:rFonts w:ascii="Arial" w:cs="Arial" w:eastAsia="Arial" w:hAnsi="Arial"/>
          <w:sz w:val="14"/>
          <w:szCs w:val="14"/>
          <w:color w:val="auto"/>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315" w:right="319"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suppliers could cause a delay in manufacturing or shipment of finished goods and possible loss of sales, which could adversely affect operating results.</w:t>
      </w:r>
    </w:p>
    <w:p>
      <w:pPr>
        <w:spacing w:after="0" w:line="109"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2"/>
          <w:szCs w:val="12"/>
          <w:b w:val="1"/>
          <w:bCs w:val="1"/>
          <w:color w:val="auto"/>
        </w:rPr>
        <w:t>Employment Agreements</w:t>
      </w:r>
    </w:p>
    <w:p>
      <w:pPr>
        <w:spacing w:after="0" w:line="128" w:lineRule="exact"/>
        <w:rPr>
          <w:sz w:val="20"/>
          <w:szCs w:val="20"/>
          <w:color w:val="auto"/>
        </w:rPr>
      </w:pPr>
    </w:p>
    <w:p>
      <w:pPr>
        <w:ind w:left="60"/>
        <w:spacing w:after="0" w:line="278" w:lineRule="auto"/>
        <w:rPr>
          <w:sz w:val="20"/>
          <w:szCs w:val="20"/>
          <w:color w:val="auto"/>
        </w:rPr>
      </w:pPr>
      <w:r>
        <w:rPr>
          <w:rFonts w:ascii="Arial" w:cs="Arial" w:eastAsia="Arial" w:hAnsi="Arial"/>
          <w:sz w:val="14"/>
          <w:szCs w:val="14"/>
          <w:color w:val="auto"/>
        </w:rPr>
        <w:t>The Company has entered into employment agreements with all its full-time employees. Each employment agreement provides for a salary for services performed, a potential annual bonus and, if applicable, a grant of restricted common shares pursuant to a restricted stock and incentive stock option agreement.</w:t>
      </w:r>
    </w:p>
    <w:p>
      <w:pPr>
        <w:spacing w:after="0" w:line="150" w:lineRule="exact"/>
        <w:rPr>
          <w:sz w:val="20"/>
          <w:szCs w:val="20"/>
          <w:color w:val="auto"/>
        </w:rPr>
      </w:pPr>
    </w:p>
    <w:p>
      <w:pPr>
        <w:ind w:left="440" w:hanging="376"/>
        <w:spacing w:after="0"/>
        <w:tabs>
          <w:tab w:leader="none" w:pos="44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Discontinued Operations</w:t>
      </w:r>
    </w:p>
    <w:p>
      <w:pPr>
        <w:spacing w:after="0" w:line="128" w:lineRule="exact"/>
        <w:rPr>
          <w:sz w:val="20"/>
          <w:szCs w:val="20"/>
          <w:color w:val="auto"/>
        </w:rPr>
      </w:pPr>
    </w:p>
    <w:p>
      <w:pPr>
        <w:jc w:val="both"/>
        <w:ind w:left="60"/>
        <w:spacing w:after="0" w:line="265" w:lineRule="auto"/>
        <w:rPr>
          <w:sz w:val="20"/>
          <w:szCs w:val="20"/>
          <w:color w:val="auto"/>
        </w:rPr>
      </w:pPr>
      <w:r>
        <w:rPr>
          <w:rFonts w:ascii="Arial" w:cs="Arial" w:eastAsia="Arial" w:hAnsi="Arial"/>
          <w:sz w:val="14"/>
          <w:szCs w:val="14"/>
          <w:color w:val="auto"/>
        </w:rPr>
        <w:t>In 2016, Cumberland entered into an agreement with Clinigen Group Plc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 Ethyol and Totect are collectively referred to herein as the "Products."</w:t>
      </w:r>
    </w:p>
    <w:p>
      <w:pPr>
        <w:spacing w:after="0" w:line="78" w:lineRule="exact"/>
        <w:rPr>
          <w:sz w:val="20"/>
          <w:szCs w:val="20"/>
          <w:color w:val="auto"/>
        </w:rPr>
      </w:pPr>
    </w:p>
    <w:p>
      <w:pPr>
        <w:jc w:val="both"/>
        <w:ind w:left="60"/>
        <w:spacing w:after="0" w:line="277" w:lineRule="auto"/>
        <w:rPr>
          <w:sz w:val="20"/>
          <w:szCs w:val="20"/>
          <w:color w:val="auto"/>
        </w:rPr>
      </w:pPr>
      <w:r>
        <w:rPr>
          <w:rFonts w:ascii="Arial" w:cs="Arial" w:eastAsia="Arial" w:hAnsi="Arial"/>
          <w:sz w:val="13"/>
          <w:szCs w:val="13"/>
          <w:color w:val="auto"/>
        </w:rPr>
        <w:t>Early in 2019, Cumberland announced a strategic review of the Company's brands, capabilities, and international partners. This review followed an accelerated business development initiative, which resulted in a series of transactions. Because of that progress, Cumberland felt that it was prudent to take a fresh look at our product portfolio, partners, and organization to ensure proper focus and capabilities. During May 2019, Cumberland entered into the Dissolution Agreement with Clinigen in which the Company returned the exclusive rights to commercialize Ethyol and Totect (“the Products”) in the United States to Clinigen. This Dissolution Agreement originally targeted a transition from the Company's arrangements with Clinigen effective September 30, 2019, but was then amended to change the transition date to December 31, 2019. Under the terms of the Dissolution Agreement, Cumberland was no longer responsible for the distribution, marketing and promotion of either the Products or any competing products after December 31, 2019. In exchange for the return of these product license rights and the non-compete provisions of the Dissolution Agreement, Cumberland received $5 million in financial consideration paid in quarterly installments over the two-years following the transition date. Cumberland recorded the last four quarterly installments totaling $2.0 million during the year ended December 31, 2021 and the first four quarterly installments totaling $3.0 million during the year ended December 31, 2020.</w:t>
      </w:r>
    </w:p>
    <w:p>
      <w:pPr>
        <w:spacing w:after="0" w:line="85" w:lineRule="exact"/>
        <w:rPr>
          <w:sz w:val="20"/>
          <w:szCs w:val="20"/>
          <w:color w:val="auto"/>
        </w:rPr>
      </w:pPr>
    </w:p>
    <w:p>
      <w:pPr>
        <w:jc w:val="both"/>
        <w:ind w:left="60"/>
        <w:spacing w:after="0" w:line="265" w:lineRule="auto"/>
        <w:rPr>
          <w:sz w:val="20"/>
          <w:szCs w:val="20"/>
          <w:color w:val="auto"/>
        </w:rPr>
      </w:pPr>
      <w:r>
        <w:rPr>
          <w:rFonts w:ascii="Arial" w:cs="Arial" w:eastAsia="Arial" w:hAnsi="Arial"/>
          <w:sz w:val="14"/>
          <w:szCs w:val="14"/>
          <w:color w:val="auto"/>
        </w:rPr>
        <w:t>The exit from the Ethyol and Totect Products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89" w:lineRule="exact"/>
        <w:rPr>
          <w:sz w:val="20"/>
          <w:szCs w:val="20"/>
          <w:color w:val="auto"/>
        </w:rPr>
      </w:pPr>
    </w:p>
    <w:p>
      <w:pPr>
        <w:jc w:val="both"/>
        <w:ind w:left="60"/>
        <w:spacing w:after="0" w:line="260" w:lineRule="auto"/>
        <w:rPr>
          <w:sz w:val="20"/>
          <w:szCs w:val="20"/>
          <w:color w:val="auto"/>
        </w:rPr>
      </w:pPr>
      <w:r>
        <w:rPr>
          <w:rFonts w:ascii="Arial" w:cs="Arial" w:eastAsia="Arial" w:hAnsi="Arial"/>
          <w:sz w:val="14"/>
          <w:szCs w:val="14"/>
          <w:color w:val="auto"/>
        </w:rPr>
        <w:t>The Products provided revenue, incurred direct expenses and resulted in discontinued operations income during the periods presented. The following amounts have been separated from continuing operations, as discontinued operations, for all periods presented. The direct expenses separated for discontinued operations do not reflect the direct selling and marketing costs attributable to the individuals at Cumberland responsible for promotion of the Products. Subsequent to the transaction date, those sales and marketing individuals who supported the Products shifted their efforts from the Products and continue to support other Cumberland brands.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2019</w:t>
            </w:r>
          </w:p>
        </w:tc>
      </w:tr>
      <w:tr>
        <w:trPr>
          <w:trHeight w:val="109"/>
        </w:trPr>
        <w:tc>
          <w:tcPr>
            <w:tcW w:w="5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79"/>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96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1,994,322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3,206,875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13,145,344</w:t>
            </w:r>
          </w:p>
        </w:tc>
      </w:tr>
      <w:tr>
        <w:trPr>
          <w:trHeight w:val="179"/>
        </w:trPr>
        <w:tc>
          <w:tcPr>
            <w:tcW w:w="5760" w:type="dxa"/>
            <w:vAlign w:val="bottom"/>
          </w:tcPr>
          <w:p>
            <w:pPr>
              <w:spacing w:after="0"/>
              <w:rPr>
                <w:sz w:val="20"/>
                <w:szCs w:val="20"/>
                <w:color w:val="auto"/>
              </w:rPr>
            </w:pPr>
            <w:r>
              <w:rPr>
                <w:rFonts w:ascii="Arial" w:cs="Arial" w:eastAsia="Arial" w:hAnsi="Arial"/>
                <w:sz w:val="14"/>
                <w:szCs w:val="14"/>
                <w:color w:val="auto"/>
              </w:rPr>
              <w:t>Costs of products sold</w:t>
            </w:r>
          </w:p>
        </w:tc>
        <w:tc>
          <w:tcPr>
            <w:tcW w:w="96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1,330,704</w:t>
            </w:r>
          </w:p>
        </w:tc>
      </w:tr>
      <w:tr>
        <w:trPr>
          <w:trHeight w:val="179"/>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Selling, Marketing and other</w:t>
            </w:r>
          </w:p>
        </w:tc>
        <w:tc>
          <w:tcPr>
            <w:tcW w:w="9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6,149,463</w:t>
            </w:r>
          </w:p>
        </w:tc>
      </w:tr>
      <w:tr>
        <w:trPr>
          <w:trHeight w:val="170"/>
        </w:trPr>
        <w:tc>
          <w:tcPr>
            <w:tcW w:w="5760" w:type="dxa"/>
            <w:vAlign w:val="bottom"/>
          </w:tcPr>
          <w:p>
            <w:pPr>
              <w:spacing w:after="0" w:line="159" w:lineRule="exact"/>
              <w:rPr>
                <w:sz w:val="20"/>
                <w:szCs w:val="20"/>
                <w:color w:val="auto"/>
              </w:rPr>
            </w:pPr>
            <w:r>
              <w:rPr>
                <w:rFonts w:ascii="Arial" w:cs="Arial" w:eastAsia="Arial" w:hAnsi="Arial"/>
                <w:sz w:val="14"/>
                <w:szCs w:val="14"/>
                <w:color w:val="auto"/>
              </w:rPr>
              <w:t>Income from discontinued operations</w:t>
            </w: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1,994,322</w:t>
            </w:r>
          </w:p>
        </w:tc>
        <w:tc>
          <w:tcPr>
            <w:tcW w:w="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3,206,875</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5,665,177</w:t>
            </w:r>
          </w:p>
        </w:tc>
      </w:tr>
      <w:tr>
        <w:trPr>
          <w:trHeight w:val="20"/>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(20)</w:t>
      </w:r>
      <w:r>
        <w:rPr>
          <w:sz w:val="20"/>
          <w:szCs w:val="20"/>
          <w:color w:val="auto"/>
        </w:rPr>
        <w:tab/>
      </w:r>
      <w:r>
        <w:rPr>
          <w:rFonts w:ascii="Arial" w:cs="Arial" w:eastAsia="Arial" w:hAnsi="Arial"/>
          <w:sz w:val="12"/>
          <w:szCs w:val="12"/>
          <w:b w:val="1"/>
          <w:bCs w:val="1"/>
          <w:color w:val="auto"/>
        </w:rPr>
        <w:t>Commitments and Contingencies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Commitments</w:t>
      </w:r>
    </w:p>
    <w:p>
      <w:pPr>
        <w:spacing w:after="0" w:line="124"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In connection with its licensing agreements for Caldolor, the Company is required to pay royalties based on net sales over the life of the product. Royalty expense is recognized as a component of selling and marketing expense in the period that revenue is recognized.</w:t>
      </w:r>
    </w:p>
    <w:p>
      <w:pPr>
        <w:spacing w:after="0" w:line="80"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In connection with its licensing agreements for Ethyol and Totect, the Company was required to pay royalties based on net sales. The royalty expense was recognized as a component of selling and marketing expense in the period the associated revenue was recognized through the end of the licensing period, December 31, 2019.</w:t>
      </w:r>
    </w:p>
    <w:p>
      <w:pPr>
        <w:spacing w:after="0" w:line="70" w:lineRule="exact"/>
        <w:rPr>
          <w:sz w:val="20"/>
          <w:szCs w:val="20"/>
          <w:color w:val="auto"/>
        </w:rPr>
      </w:pPr>
    </w:p>
    <w:p>
      <w:pPr>
        <w:jc w:val="both"/>
        <w:ind w:left="60"/>
        <w:spacing w:after="0" w:line="318" w:lineRule="auto"/>
        <w:rPr>
          <w:sz w:val="20"/>
          <w:szCs w:val="20"/>
          <w:color w:val="auto"/>
        </w:rPr>
      </w:pPr>
      <w:r>
        <w:rPr>
          <w:rFonts w:ascii="Arial" w:cs="Arial" w:eastAsia="Arial" w:hAnsi="Arial"/>
          <w:sz w:val="13"/>
          <w:szCs w:val="13"/>
          <w:color w:val="auto"/>
        </w:rPr>
        <w:t>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w:t>
      </w:r>
    </w:p>
    <w:p>
      <w:pPr>
        <w:spacing w:after="0" w:line="57" w:lineRule="exact"/>
        <w:rPr>
          <w:sz w:val="20"/>
          <w:szCs w:val="20"/>
          <w:color w:val="auto"/>
        </w:rPr>
      </w:pPr>
    </w:p>
    <w:p>
      <w:pPr>
        <w:jc w:val="both"/>
        <w:ind w:left="60"/>
        <w:spacing w:after="0" w:line="286" w:lineRule="auto"/>
        <w:rPr>
          <w:sz w:val="20"/>
          <w:szCs w:val="20"/>
          <w:color w:val="auto"/>
        </w:rPr>
      </w:pPr>
      <w:r>
        <w:rPr>
          <w:rFonts w:ascii="Arial" w:cs="Arial" w:eastAsia="Arial" w:hAnsi="Arial"/>
          <w:sz w:val="13"/>
          <w:szCs w:val="13"/>
          <w:color w:val="auto"/>
        </w:rPr>
        <w:t>In connection with the acquisition of Sancuso, the Company is required to pay an upfront payment of $13.5 million to Kyowa Kirin upon closing, up to $3.5 million in milestones and tiered royalties ranging from 10% to 5% on U.S. net product sales for ten years. The Company has reviewed the relevant guidance and sought appropriate feedback from outside accounting and legal experts regarding the application of ASC 805. Based on this review, the Company has concluded the Sancuso acquisition should be accounted for as a Business Combination. The Company has hired an outside expert to prepare the valuation of the assets and liabilities acquired for Sancuso. We expect to receive the valuation sometime in the second quarter of 2022.</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Legal Matters</w:t>
      </w:r>
    </w:p>
    <w:p>
      <w:pPr>
        <w:spacing w:after="0" w:line="113" w:lineRule="exact"/>
        <w:rPr>
          <w:sz w:val="20"/>
          <w:szCs w:val="20"/>
          <w:color w:val="auto"/>
        </w:rPr>
      </w:pPr>
    </w:p>
    <w:p>
      <w:pPr>
        <w:jc w:val="both"/>
        <w:ind w:left="60"/>
        <w:spacing w:after="0" w:line="294" w:lineRule="auto"/>
        <w:rPr>
          <w:sz w:val="20"/>
          <w:szCs w:val="20"/>
          <w:color w:val="auto"/>
        </w:rPr>
      </w:pPr>
      <w:r>
        <w:rPr>
          <w:rFonts w:ascii="Arial" w:cs="Arial" w:eastAsia="Arial" w:hAnsi="Arial"/>
          <w:sz w:val="13"/>
          <w:szCs w:val="13"/>
          <w:color w:val="auto"/>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73" w:lineRule="exact"/>
        <w:rPr>
          <w:sz w:val="20"/>
          <w:szCs w:val="20"/>
          <w:color w:val="auto"/>
        </w:rPr>
      </w:pPr>
    </w:p>
    <w:p>
      <w:pPr>
        <w:ind w:left="60" w:right="1500"/>
        <w:spacing w:after="0" w:line="416" w:lineRule="auto"/>
        <w:rPr>
          <w:sz w:val="20"/>
          <w:szCs w:val="20"/>
          <w:color w:val="auto"/>
        </w:rPr>
      </w:pPr>
      <w:r>
        <w:rPr>
          <w:rFonts w:ascii="Arial" w:cs="Arial" w:eastAsia="Arial" w:hAnsi="Arial"/>
          <w:sz w:val="14"/>
          <w:szCs w:val="14"/>
          <w:color w:val="auto"/>
        </w:rPr>
        <w:t xml:space="preserve">Since 2012, Cumberland has continued to vigorously defend and protect its Acetadote product and related intellectual property rights including the use of all its legal options. </w:t>
      </w:r>
      <w:r>
        <w:rPr>
          <w:rFonts w:ascii="Arial" w:cs="Arial" w:eastAsia="Arial" w:hAnsi="Arial"/>
          <w:sz w:val="14"/>
          <w:szCs w:val="14"/>
          <w:b w:val="1"/>
          <w:bCs w:val="1"/>
          <w:i w:val="1"/>
          <w:iCs w:val="1"/>
          <w:color w:val="auto"/>
        </w:rPr>
        <w:t>Melinta Litigation</w:t>
      </w:r>
    </w:p>
    <w:p>
      <w:pPr>
        <w:spacing w:after="0" w:line="1" w:lineRule="exact"/>
        <w:rPr>
          <w:sz w:val="20"/>
          <w:szCs w:val="20"/>
          <w:color w:val="auto"/>
        </w:rPr>
      </w:pPr>
    </w:p>
    <w:p>
      <w:pPr>
        <w:jc w:val="both"/>
        <w:ind w:left="60"/>
        <w:spacing w:after="0" w:line="260" w:lineRule="auto"/>
        <w:rPr>
          <w:sz w:val="20"/>
          <w:szCs w:val="20"/>
          <w:color w:val="auto"/>
        </w:rPr>
      </w:pPr>
      <w:r>
        <w:rPr>
          <w:rFonts w:ascii="Arial" w:cs="Arial" w:eastAsia="Arial" w:hAnsi="Arial"/>
          <w:sz w:val="14"/>
          <w:szCs w:val="14"/>
          <w:color w:val="auto"/>
        </w:rPr>
        <w:t>On February 2, 2022, the Company filed an action for breach of contract against Melinta Therapeutics, LLC and Targanta Therapeutics Corporation (collectively, the “Defendants”) in the United States District Court for the Southern District of New York (Case No. 1:22-cv-00915-VM). The Company and the Defendants are parties to an agreement (the “Agreement”), pursuant to which the Defendants have a license to develop and commercialize products under certain Company patents, in exchange for the Defendants paying the Company certain milestone payments and royalties on net sales of the licensed products.</w:t>
      </w:r>
    </w:p>
    <w:p>
      <w:pPr>
        <w:spacing w:after="0" w:line="93" w:lineRule="exact"/>
        <w:rPr>
          <w:sz w:val="20"/>
          <w:szCs w:val="20"/>
          <w:color w:val="auto"/>
        </w:rPr>
      </w:pPr>
    </w:p>
    <w:p>
      <w:pPr>
        <w:jc w:val="both"/>
        <w:ind w:left="60"/>
        <w:spacing w:after="0" w:line="278" w:lineRule="auto"/>
        <w:rPr>
          <w:sz w:val="20"/>
          <w:szCs w:val="20"/>
          <w:color w:val="auto"/>
        </w:rPr>
      </w:pPr>
      <w:r>
        <w:rPr>
          <w:rFonts w:ascii="Arial" w:cs="Arial" w:eastAsia="Arial" w:hAnsi="Arial"/>
          <w:sz w:val="14"/>
          <w:szCs w:val="14"/>
          <w:color w:val="auto"/>
        </w:rPr>
        <w:t>Specifically, the Agreement requires the Defendants to, among other things, make a $500,000 payment to the Company within 30 days following the first filing of an sNDA in relation to the Product (as defined the Agreement) and a $500,000 payment to the Company following the approval of the first sNDA in relation to the Product.</w:t>
      </w:r>
    </w:p>
    <w:p>
      <w:pPr>
        <w:spacing w:after="0" w:line="80" w:lineRule="exact"/>
        <w:rPr>
          <w:sz w:val="20"/>
          <w:szCs w:val="20"/>
          <w:color w:val="auto"/>
        </w:rPr>
      </w:pPr>
    </w:p>
    <w:p>
      <w:pPr>
        <w:jc w:val="both"/>
        <w:ind w:left="60"/>
        <w:spacing w:after="0" w:line="265" w:lineRule="auto"/>
        <w:rPr>
          <w:sz w:val="20"/>
          <w:szCs w:val="20"/>
          <w:color w:val="auto"/>
        </w:rPr>
      </w:pPr>
      <w:r>
        <w:rPr>
          <w:rFonts w:ascii="Arial" w:cs="Arial" w:eastAsia="Arial" w:hAnsi="Arial"/>
          <w:sz w:val="14"/>
          <w:szCs w:val="14"/>
          <w:color w:val="auto"/>
        </w:rPr>
        <w:t>The complaint alleges that, despite the Defendants filing an NDA and sNDA for the Product and receiving FDA approval for both applications, the Defendants failed to make the required total of $1 million in milestone payments to the Company. The Company is seeking damages in the amount of no less than $1 million, prejudgment interest under N.Y. C.P.L.R. § 5001, costs, and such further relief as the court deems just and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The Company is a party to various other legal proceedings in the ordinary course of its business. In the opinion of management, the liability associated with these matters, will not have a material adverse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71875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2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w w:val="95"/>
              </w:rPr>
              <w:t>(21)  Quarterly Financial Information (Unaudited)</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The</w:t>
            </w:r>
          </w:p>
        </w:tc>
        <w:tc>
          <w:tcPr>
            <w:tcW w:w="900" w:type="dxa"/>
            <w:vAlign w:val="bottom"/>
          </w:tcPr>
          <w:p>
            <w:pPr>
              <w:ind w:left="40"/>
              <w:spacing w:after="0"/>
              <w:rPr>
                <w:sz w:val="20"/>
                <w:szCs w:val="20"/>
                <w:color w:val="auto"/>
              </w:rPr>
            </w:pPr>
            <w:r>
              <w:rPr>
                <w:rFonts w:ascii="Arial" w:cs="Arial" w:eastAsia="Arial" w:hAnsi="Arial"/>
                <w:sz w:val="14"/>
                <w:szCs w:val="14"/>
                <w:color w:val="auto"/>
              </w:rPr>
              <w:t>following</w:t>
            </w:r>
          </w:p>
        </w:tc>
        <w:tc>
          <w:tcPr>
            <w:tcW w:w="580" w:type="dxa"/>
            <w:vAlign w:val="bottom"/>
          </w:tcPr>
          <w:p>
            <w:pPr>
              <w:ind w:left="60"/>
              <w:spacing w:after="0"/>
              <w:rPr>
                <w:sz w:val="20"/>
                <w:szCs w:val="20"/>
                <w:color w:val="auto"/>
              </w:rPr>
            </w:pPr>
            <w:r>
              <w:rPr>
                <w:rFonts w:ascii="Arial" w:cs="Arial" w:eastAsia="Arial" w:hAnsi="Arial"/>
                <w:sz w:val="14"/>
                <w:szCs w:val="14"/>
                <w:color w:val="auto"/>
              </w:rPr>
              <w:t>table</w:t>
            </w:r>
          </w:p>
        </w:tc>
        <w:tc>
          <w:tcPr>
            <w:tcW w:w="700" w:type="dxa"/>
            <w:vAlign w:val="bottom"/>
          </w:tcPr>
          <w:p>
            <w:pPr>
              <w:ind w:left="140"/>
              <w:spacing w:after="0"/>
              <w:rPr>
                <w:sz w:val="20"/>
                <w:szCs w:val="20"/>
                <w:color w:val="auto"/>
              </w:rPr>
            </w:pPr>
            <w:r>
              <w:rPr>
                <w:rFonts w:ascii="Arial" w:cs="Arial" w:eastAsia="Arial" w:hAnsi="Arial"/>
                <w:sz w:val="14"/>
                <w:szCs w:val="14"/>
                <w:color w:val="auto"/>
              </w:rPr>
              <w:t>sets</w:t>
            </w:r>
          </w:p>
        </w:tc>
        <w:tc>
          <w:tcPr>
            <w:tcW w:w="520" w:type="dxa"/>
            <w:vAlign w:val="bottom"/>
          </w:tcPr>
          <w:p>
            <w:pPr>
              <w:jc w:val="right"/>
              <w:ind w:right="150"/>
              <w:spacing w:after="0"/>
              <w:rPr>
                <w:sz w:val="20"/>
                <w:szCs w:val="20"/>
                <w:color w:val="auto"/>
              </w:rPr>
            </w:pPr>
            <w:r>
              <w:rPr>
                <w:rFonts w:ascii="Arial" w:cs="Arial" w:eastAsia="Arial" w:hAnsi="Arial"/>
                <w:sz w:val="14"/>
                <w:szCs w:val="14"/>
                <w:color w:val="auto"/>
                <w:w w:val="99"/>
              </w:rPr>
              <w:t>forth</w:t>
            </w:r>
          </w:p>
        </w:tc>
        <w:tc>
          <w:tcPr>
            <w:tcW w:w="560" w:type="dxa"/>
            <w:vAlign w:val="bottom"/>
          </w:tcPr>
          <w:p>
            <w:pPr>
              <w:ind w:left="160"/>
              <w:spacing w:after="0"/>
              <w:rPr>
                <w:sz w:val="20"/>
                <w:szCs w:val="20"/>
                <w:color w:val="auto"/>
              </w:rPr>
            </w:pPr>
            <w:r>
              <w:rPr>
                <w:rFonts w:ascii="Arial" w:cs="Arial" w:eastAsia="Arial" w:hAnsi="Arial"/>
                <w:sz w:val="14"/>
                <w:szCs w:val="14"/>
                <w:color w:val="auto"/>
              </w:rPr>
              <w:t>the</w:t>
            </w:r>
          </w:p>
        </w:tc>
        <w:tc>
          <w:tcPr>
            <w:tcW w:w="760" w:type="dxa"/>
            <w:vAlign w:val="bottom"/>
            <w:gridSpan w:val="2"/>
          </w:tcPr>
          <w:p>
            <w:pPr>
              <w:jc w:val="center"/>
              <w:ind w:left="56"/>
              <w:spacing w:after="0"/>
              <w:rPr>
                <w:sz w:val="20"/>
                <w:szCs w:val="20"/>
                <w:color w:val="auto"/>
              </w:rPr>
            </w:pPr>
            <w:r>
              <w:rPr>
                <w:rFonts w:ascii="Arial" w:cs="Arial" w:eastAsia="Arial" w:hAnsi="Arial"/>
                <w:sz w:val="14"/>
                <w:szCs w:val="14"/>
                <w:color w:val="auto"/>
                <w:w w:val="90"/>
              </w:rPr>
              <w:t>unaudited</w:t>
            </w:r>
          </w:p>
        </w:tc>
        <w:tc>
          <w:tcPr>
            <w:tcW w:w="1060" w:type="dxa"/>
            <w:vAlign w:val="bottom"/>
            <w:gridSpan w:val="2"/>
          </w:tcPr>
          <w:p>
            <w:pPr>
              <w:ind w:left="340"/>
              <w:spacing w:after="0"/>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results</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for</w:t>
            </w:r>
          </w:p>
        </w:tc>
        <w:tc>
          <w:tcPr>
            <w:tcW w:w="360" w:type="dxa"/>
            <w:vAlign w:val="bottom"/>
          </w:tcPr>
          <w:p>
            <w:pPr>
              <w:jc w:val="right"/>
              <w:spacing w:after="0"/>
              <w:rPr>
                <w:sz w:val="20"/>
                <w:szCs w:val="20"/>
                <w:color w:val="auto"/>
              </w:rPr>
            </w:pPr>
            <w:r>
              <w:rPr>
                <w:rFonts w:ascii="Arial" w:cs="Arial" w:eastAsia="Arial" w:hAnsi="Arial"/>
                <w:sz w:val="14"/>
                <w:szCs w:val="14"/>
                <w:color w:val="auto"/>
                <w:w w:val="92"/>
              </w:rPr>
              <w:t>each</w:t>
            </w:r>
          </w:p>
        </w:tc>
        <w:tc>
          <w:tcPr>
            <w:tcW w:w="960" w:type="dxa"/>
            <w:vAlign w:val="bottom"/>
          </w:tcPr>
          <w:p>
            <w:pPr>
              <w:jc w:val="right"/>
              <w:ind w:right="276"/>
              <w:spacing w:after="0"/>
              <w:rPr>
                <w:sz w:val="20"/>
                <w:szCs w:val="20"/>
                <w:color w:val="auto"/>
              </w:rPr>
            </w:pPr>
            <w:r>
              <w:rPr>
                <w:rFonts w:ascii="Arial" w:cs="Arial" w:eastAsia="Arial" w:hAnsi="Arial"/>
                <w:sz w:val="14"/>
                <w:szCs w:val="14"/>
                <w:color w:val="auto"/>
              </w:rPr>
              <w:t>fiscal</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quarter</w:t>
            </w:r>
          </w:p>
        </w:tc>
        <w:tc>
          <w:tcPr>
            <w:tcW w:w="480" w:type="dxa"/>
            <w:vAlign w:val="bottom"/>
          </w:tcPr>
          <w:p>
            <w:pPr>
              <w:ind w:left="320"/>
              <w:spacing w:after="0"/>
              <w:rPr>
                <w:sz w:val="20"/>
                <w:szCs w:val="20"/>
                <w:color w:val="auto"/>
              </w:rPr>
            </w:pPr>
            <w:r>
              <w:rPr>
                <w:rFonts w:ascii="Arial" w:cs="Arial" w:eastAsia="Arial" w:hAnsi="Arial"/>
                <w:sz w:val="14"/>
                <w:szCs w:val="14"/>
                <w:color w:val="auto"/>
              </w:rPr>
              <w:t>of</w:t>
            </w:r>
          </w:p>
        </w:tc>
        <w:tc>
          <w:tcPr>
            <w:tcW w:w="820" w:type="dxa"/>
            <w:vAlign w:val="bottom"/>
            <w:gridSpan w:val="3"/>
          </w:tcPr>
          <w:p>
            <w:pPr>
              <w:jc w:val="right"/>
              <w:ind w:right="137"/>
              <w:spacing w:after="0"/>
              <w:rPr>
                <w:sz w:val="20"/>
                <w:szCs w:val="20"/>
                <w:color w:val="auto"/>
              </w:rPr>
            </w:pPr>
            <w:r>
              <w:rPr>
                <w:rFonts w:ascii="Arial" w:cs="Arial" w:eastAsia="Arial" w:hAnsi="Arial"/>
                <w:sz w:val="14"/>
                <w:szCs w:val="14"/>
                <w:color w:val="auto"/>
              </w:rPr>
              <w:t>2021</w:t>
            </w:r>
          </w:p>
        </w:tc>
        <w:tc>
          <w:tcPr>
            <w:tcW w:w="420" w:type="dxa"/>
            <w:vAlign w:val="bottom"/>
          </w:tcPr>
          <w:p>
            <w:pPr>
              <w:ind w:left="180"/>
              <w:spacing w:after="0"/>
              <w:rPr>
                <w:sz w:val="20"/>
                <w:szCs w:val="20"/>
                <w:color w:val="auto"/>
              </w:rPr>
            </w:pPr>
            <w:r>
              <w:rPr>
                <w:rFonts w:ascii="Arial" w:cs="Arial" w:eastAsia="Arial" w:hAnsi="Arial"/>
                <w:sz w:val="14"/>
                <w:szCs w:val="14"/>
                <w:color w:val="auto"/>
                <w:w w:val="94"/>
              </w:rPr>
              <w:t>and</w:t>
            </w:r>
          </w:p>
        </w:tc>
        <w:tc>
          <w:tcPr>
            <w:tcW w:w="66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520"/>
              <w:spacing w:after="0" w:line="148" w:lineRule="exact"/>
              <w:rPr>
                <w:sz w:val="20"/>
                <w:szCs w:val="20"/>
                <w:color w:val="auto"/>
              </w:rPr>
            </w:pPr>
            <w:r>
              <w:rPr>
                <w:rFonts w:ascii="Arial" w:cs="Arial" w:eastAsia="Arial" w:hAnsi="Arial"/>
                <w:sz w:val="13"/>
                <w:szCs w:val="13"/>
                <w:b w:val="1"/>
                <w:bCs w:val="1"/>
                <w:color w:val="auto"/>
                <w:w w:val="92"/>
              </w:rPr>
              <w:t>First</w:t>
            </w: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8" w:lineRule="exact"/>
              <w:rPr>
                <w:sz w:val="20"/>
                <w:szCs w:val="20"/>
                <w:color w:val="auto"/>
              </w:rPr>
            </w:pPr>
            <w:r>
              <w:rPr>
                <w:rFonts w:ascii="Arial" w:cs="Arial" w:eastAsia="Arial" w:hAnsi="Arial"/>
                <w:sz w:val="13"/>
                <w:szCs w:val="13"/>
                <w:b w:val="1"/>
                <w:bCs w:val="1"/>
                <w:color w:val="auto"/>
                <w:w w:val="80"/>
              </w:rPr>
              <w:t>Second</w:t>
            </w:r>
          </w:p>
        </w:tc>
        <w:tc>
          <w:tcPr>
            <w:tcW w:w="360" w:type="dxa"/>
            <w:vAlign w:val="bottom"/>
          </w:tcPr>
          <w:p>
            <w:pPr>
              <w:spacing w:after="0"/>
              <w:rPr>
                <w:sz w:val="12"/>
                <w:szCs w:val="12"/>
                <w:color w:val="auto"/>
              </w:rPr>
            </w:pPr>
          </w:p>
        </w:tc>
        <w:tc>
          <w:tcPr>
            <w:tcW w:w="960" w:type="dxa"/>
            <w:vAlign w:val="bottom"/>
          </w:tcPr>
          <w:p>
            <w:pPr>
              <w:jc w:val="right"/>
              <w:ind w:right="436"/>
              <w:spacing w:after="0" w:line="148" w:lineRule="exact"/>
              <w:rPr>
                <w:sz w:val="20"/>
                <w:szCs w:val="20"/>
                <w:color w:val="auto"/>
              </w:rPr>
            </w:pPr>
            <w:r>
              <w:rPr>
                <w:rFonts w:ascii="Arial" w:cs="Arial" w:eastAsia="Arial" w:hAnsi="Arial"/>
                <w:sz w:val="13"/>
                <w:szCs w:val="13"/>
                <w:b w:val="1"/>
                <w:bCs w:val="1"/>
                <w:color w:val="auto"/>
              </w:rPr>
              <w:t>Third</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ind w:left="36"/>
              <w:spacing w:after="0" w:line="148" w:lineRule="exact"/>
              <w:rPr>
                <w:sz w:val="20"/>
                <w:szCs w:val="20"/>
                <w:color w:val="auto"/>
              </w:rPr>
            </w:pPr>
            <w:r>
              <w:rPr>
                <w:rFonts w:ascii="Arial" w:cs="Arial" w:eastAsia="Arial" w:hAnsi="Arial"/>
                <w:sz w:val="13"/>
                <w:szCs w:val="13"/>
                <w:b w:val="1"/>
                <w:bCs w:val="1"/>
                <w:color w:val="auto"/>
                <w:w w:val="92"/>
              </w:rPr>
              <w:t>Fourth</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right"/>
              <w:ind w:right="4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Quarter</w:t>
            </w:r>
          </w:p>
        </w:tc>
        <w:tc>
          <w:tcPr>
            <w:tcW w:w="12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Quarter</w:t>
            </w:r>
          </w:p>
        </w:tc>
        <w:tc>
          <w:tcPr>
            <w:tcW w:w="360" w:type="dxa"/>
            <w:vAlign w:val="bottom"/>
          </w:tcPr>
          <w:p>
            <w:pPr>
              <w:spacing w:after="0"/>
              <w:rPr>
                <w:sz w:val="14"/>
                <w:szCs w:val="14"/>
                <w:color w:val="auto"/>
              </w:rPr>
            </w:pPr>
          </w:p>
        </w:tc>
        <w:tc>
          <w:tcPr>
            <w:tcW w:w="960" w:type="dxa"/>
            <w:vAlign w:val="bottom"/>
          </w:tcPr>
          <w:p>
            <w:pPr>
              <w:jc w:val="right"/>
              <w:ind w:right="376"/>
              <w:spacing w:after="0"/>
              <w:rPr>
                <w:sz w:val="20"/>
                <w:szCs w:val="20"/>
                <w:color w:val="auto"/>
              </w:rPr>
            </w:pPr>
            <w:r>
              <w:rPr>
                <w:rFonts w:ascii="Arial" w:cs="Arial" w:eastAsia="Arial" w:hAnsi="Arial"/>
                <w:sz w:val="13"/>
                <w:szCs w:val="13"/>
                <w:b w:val="1"/>
                <w:bCs w:val="1"/>
                <w:color w:val="auto"/>
              </w:rPr>
              <w:t>Quarter</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3"/>
              </w:rPr>
              <w:t>Quarter</w:t>
            </w: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60" w:type="dxa"/>
            <w:vAlign w:val="bottom"/>
            <w:vMerge w:val="restart"/>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0" w:type="dxa"/>
            <w:vAlign w:val="bottom"/>
            <w:vMerge w:val="continue"/>
          </w:tcPr>
          <w:p>
            <w:pPr>
              <w:spacing w:after="0"/>
              <w:rPr>
                <w:sz w:val="15"/>
                <w:szCs w:val="15"/>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Net revenues</w:t>
            </w: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10,537,159</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9,055,483</w:t>
            </w:r>
          </w:p>
        </w:tc>
        <w:tc>
          <w:tcPr>
            <w:tcW w:w="120" w:type="dxa"/>
            <w:vAlign w:val="bottom"/>
          </w:tcPr>
          <w:p>
            <w:pPr>
              <w:spacing w:after="0"/>
              <w:rPr>
                <w:sz w:val="15"/>
                <w:szCs w:val="15"/>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8,072,540</w:t>
            </w:r>
          </w:p>
        </w:tc>
        <w:tc>
          <w:tcPr>
            <w:tcW w:w="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8,319,861</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2"/>
              </w:rPr>
              <w:t>35,985,043</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Operating income (loss)</w:t>
            </w: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(324,300)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(1,435,729)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(1,563,395)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(4,353,996)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(7,677,420)</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740" w:type="dxa"/>
            <w:vAlign w:val="bottom"/>
            <w:gridSpan w:val="4"/>
          </w:tcPr>
          <w:p>
            <w:pPr>
              <w:ind w:left="20"/>
              <w:spacing w:after="0"/>
              <w:rPr>
                <w:sz w:val="20"/>
                <w:szCs w:val="20"/>
                <w:color w:val="auto"/>
              </w:rPr>
            </w:pPr>
            <w:r>
              <w:rPr>
                <w:rFonts w:ascii="Arial" w:cs="Arial" w:eastAsia="Arial" w:hAnsi="Arial"/>
                <w:sz w:val="14"/>
                <w:szCs w:val="14"/>
                <w:color w:val="auto"/>
                <w:w w:val="97"/>
              </w:rPr>
              <w:t>Net income (loss) from continuing operations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(350,749)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724,684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(1,583,480)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(4,387,576)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(5,597,121)</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7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2"/>
              </w:rPr>
              <w:t>Net income (loss) from discontinued operations</w:t>
            </w: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495,410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498,807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496,787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0"/>
              </w:rPr>
              <w:t>503,318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1,994,322</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3260" w:type="dxa"/>
            <w:vAlign w:val="bottom"/>
            <w:gridSpan w:val="5"/>
          </w:tcPr>
          <w:p>
            <w:pPr>
              <w:ind w:left="20"/>
              <w:spacing w:after="0"/>
              <w:rPr>
                <w:sz w:val="20"/>
                <w:szCs w:val="20"/>
                <w:color w:val="auto"/>
              </w:rPr>
            </w:pPr>
            <w:r>
              <w:rPr>
                <w:rFonts w:ascii="Arial" w:cs="Arial" w:eastAsia="Arial" w:hAnsi="Arial"/>
                <w:sz w:val="14"/>
                <w:szCs w:val="14"/>
                <w:color w:val="auto"/>
                <w:w w:val="94"/>
              </w:rPr>
              <w:t>Net income (loss) attributable to common shareholders</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166,828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1,228,560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(1,055,278)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(3,847,697)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(3,507,587)</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3820" w:type="dxa"/>
            <w:vAlign w:val="bottom"/>
            <w:gridSpan w:val="6"/>
            <w:shd w:val="clear" w:color="auto" w:fill="CCEEFF"/>
          </w:tcPr>
          <w:p>
            <w:pPr>
              <w:ind w:left="20"/>
              <w:spacing w:after="0" w:line="179" w:lineRule="exact"/>
              <w:rPr>
                <w:sz w:val="20"/>
                <w:szCs w:val="20"/>
                <w:color w:val="auto"/>
              </w:rPr>
            </w:pPr>
            <w:r>
              <w:rPr>
                <w:rFonts w:ascii="Arial" w:cs="Arial" w:eastAsia="Arial" w:hAnsi="Arial"/>
                <w:sz w:val="14"/>
                <w:szCs w:val="14"/>
                <w:color w:val="auto"/>
                <w:w w:val="93"/>
              </w:rPr>
              <w:t xml:space="preserve">Earnings (loss) per share attributable to common shareholders </w:t>
            </w:r>
            <w:r>
              <w:rPr>
                <w:rFonts w:ascii="Arial" w:cs="Arial" w:eastAsia="Arial" w:hAnsi="Arial"/>
                <w:sz w:val="18"/>
                <w:szCs w:val="18"/>
                <w:color w:val="auto"/>
                <w:w w:val="93"/>
                <w:vertAlign w:val="superscript"/>
              </w:rPr>
              <w:t>(1)</w:t>
            </w: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color w:val="auto"/>
              </w:rPr>
              <w:t>Continuing operations - basic</w:t>
            </w: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(0.02)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5"/>
                <w:szCs w:val="15"/>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(0.10)</w:t>
            </w:r>
          </w:p>
        </w:tc>
        <w:tc>
          <w:tcPr>
            <w:tcW w:w="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(0.29)</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Discontinued operations - basic</w:t>
            </w: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560" w:type="dxa"/>
            <w:vAlign w:val="bottom"/>
          </w:tcPr>
          <w:p>
            <w:pPr>
              <w:ind w:left="180"/>
              <w:spacing w:after="0" w:line="159" w:lineRule="exact"/>
              <w:rPr>
                <w:sz w:val="20"/>
                <w:szCs w:val="20"/>
                <w:color w:val="auto"/>
              </w:rPr>
            </w:pPr>
            <w:r>
              <w:rPr>
                <w:rFonts w:ascii="Arial" w:cs="Arial" w:eastAsia="Arial" w:hAnsi="Arial"/>
                <w:sz w:val="14"/>
                <w:szCs w:val="14"/>
                <w:color w:val="auto"/>
              </w:rPr>
              <w:t>Basic</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0.01</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0.08</w:t>
            </w:r>
          </w:p>
        </w:tc>
        <w:tc>
          <w:tcPr>
            <w:tcW w:w="12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(0.07)</w:t>
            </w:r>
          </w:p>
        </w:tc>
        <w:tc>
          <w:tcPr>
            <w:tcW w:w="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(0.26)</w:t>
            </w:r>
          </w:p>
        </w:tc>
        <w:tc>
          <w:tcPr>
            <w:tcW w:w="12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(0.24)</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040" w:type="dxa"/>
            <w:vAlign w:val="bottom"/>
            <w:gridSpan w:val="3"/>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color w:val="auto"/>
              </w:rPr>
              <w:t>Continuing operations - diluted</w:t>
            </w: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(0.02)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5"/>
                <w:szCs w:val="15"/>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(0.10)</w:t>
            </w:r>
          </w:p>
        </w:tc>
        <w:tc>
          <w:tcPr>
            <w:tcW w:w="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(0.29)</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8"/>
              </w:rPr>
              <w:t>Discontinued operations - diluted</w:t>
            </w: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14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Diluted</w:t>
            </w: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0.01</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0.08</w:t>
            </w:r>
          </w:p>
        </w:tc>
        <w:tc>
          <w:tcPr>
            <w:tcW w:w="12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(0.07)</w:t>
            </w:r>
          </w:p>
        </w:tc>
        <w:tc>
          <w:tcPr>
            <w:tcW w:w="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(0.26)</w:t>
            </w:r>
          </w:p>
        </w:tc>
        <w:tc>
          <w:tcPr>
            <w:tcW w:w="12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(0.24)</w:t>
            </w:r>
          </w:p>
        </w:tc>
        <w:tc>
          <w:tcPr>
            <w:tcW w:w="0" w:type="dxa"/>
            <w:vAlign w:val="bottom"/>
          </w:tcPr>
          <w:p>
            <w:pPr>
              <w:spacing w:after="0"/>
              <w:rPr>
                <w:sz w:val="1"/>
                <w:szCs w:val="1"/>
                <w:color w:val="auto"/>
              </w:rPr>
            </w:pPr>
          </w:p>
        </w:tc>
      </w:tr>
      <w:tr>
        <w:trPr>
          <w:trHeight w:val="74"/>
        </w:trPr>
        <w:tc>
          <w:tcPr>
            <w:tcW w:w="60" w:type="dxa"/>
            <w:vAlign w:val="bottom"/>
            <w:vMerge w:val="restart"/>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0" w:type="dxa"/>
            <w:vAlign w:val="bottom"/>
            <w:vMerge w:val="continue"/>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2020:</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8,330,734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9,598,177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9,250,689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10,261,534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37,441,134</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color w:val="auto"/>
                <w:w w:val="95"/>
              </w:rPr>
              <w:t>Operating income (loss)</w:t>
            </w: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(1,846,001)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9"/>
              </w:rPr>
              <w:t>(1,580,962)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(1,208,686)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(1,745,946)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(6,381,595)</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7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7"/>
              </w:rPr>
              <w:t>Net income (loss) from continuing operations</w:t>
            </w: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(1,883,418)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(1,679,211)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(1,275,620)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(1,787,530)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(6,625,779)</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740" w:type="dxa"/>
            <w:vAlign w:val="bottom"/>
            <w:gridSpan w:val="4"/>
          </w:tcPr>
          <w:p>
            <w:pPr>
              <w:ind w:left="20"/>
              <w:spacing w:after="0"/>
              <w:rPr>
                <w:sz w:val="20"/>
                <w:szCs w:val="20"/>
                <w:color w:val="auto"/>
              </w:rPr>
            </w:pPr>
            <w:r>
              <w:rPr>
                <w:rFonts w:ascii="Arial" w:cs="Arial" w:eastAsia="Arial" w:hAnsi="Arial"/>
                <w:sz w:val="14"/>
                <w:szCs w:val="14"/>
                <w:color w:val="auto"/>
                <w:w w:val="92"/>
              </w:rPr>
              <w:t>Net income (loss) from discontinued operations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818,273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738,622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777,916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0"/>
              </w:rPr>
              <w:t>872,064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3,206,875</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326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w w:val="94"/>
              </w:rPr>
              <w:t>Net income (loss) attributable to common shareholders</w:t>
            </w: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(1,055,620)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(918,275)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(481,737)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(883,776)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(3,339,408)</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3820" w:type="dxa"/>
            <w:vAlign w:val="bottom"/>
            <w:gridSpan w:val="6"/>
          </w:tcPr>
          <w:p>
            <w:pPr>
              <w:ind w:left="20"/>
              <w:spacing w:after="0" w:line="179" w:lineRule="exact"/>
              <w:rPr>
                <w:sz w:val="20"/>
                <w:szCs w:val="20"/>
                <w:color w:val="auto"/>
              </w:rPr>
            </w:pPr>
            <w:r>
              <w:rPr>
                <w:rFonts w:ascii="Arial" w:cs="Arial" w:eastAsia="Arial" w:hAnsi="Arial"/>
                <w:sz w:val="14"/>
                <w:szCs w:val="14"/>
                <w:color w:val="auto"/>
                <w:w w:val="93"/>
              </w:rPr>
              <w:t xml:space="preserve">Earnings (loss) per share attributable to common shareholders </w:t>
            </w:r>
            <w:r>
              <w:rPr>
                <w:rFonts w:ascii="Arial" w:cs="Arial" w:eastAsia="Arial" w:hAnsi="Arial"/>
                <w:sz w:val="18"/>
                <w:szCs w:val="18"/>
                <w:color w:val="auto"/>
                <w:w w:val="93"/>
                <w:vertAlign w:val="superscript"/>
              </w:rPr>
              <w:t>(1)</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 - basic</w:t>
            </w: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Discontinued operations - basic</w:t>
            </w:r>
          </w:p>
        </w:tc>
        <w:tc>
          <w:tcPr>
            <w:tcW w:w="7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56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Basic</w:t>
            </w: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2040" w:type="dxa"/>
            <w:vAlign w:val="bottom"/>
            <w:gridSpan w:val="3"/>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 - diluted</w:t>
            </w: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0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w w:val="98"/>
              </w:rPr>
              <w:t>Discontinued operations - diluted</w:t>
            </w:r>
          </w:p>
        </w:tc>
        <w:tc>
          <w:tcPr>
            <w:tcW w:w="7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14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Diluted</w:t>
            </w: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660" w:hanging="279"/>
        <w:spacing w:after="0"/>
        <w:tabs>
          <w:tab w:leader="none" w:pos="6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Due to the nature of interim earnings per share calculations, the sum of the quarterly earnings (loss) per share amounts may not equal the reported earnings (loss) per share for the full year.</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48" w:lineRule="exact"/>
        <w:rPr>
          <w:rFonts w:ascii="Arial" w:cs="Arial" w:eastAsia="Arial" w:hAnsi="Arial"/>
          <w:sz w:val="12"/>
          <w:szCs w:val="12"/>
          <w:color w:val="auto"/>
        </w:rPr>
      </w:pPr>
    </w:p>
    <w:p>
      <w:pPr>
        <w:ind w:left="5580"/>
        <w:spacing w:after="0"/>
        <w:rPr>
          <w:rFonts w:ascii="Arial" w:cs="Arial" w:eastAsia="Arial" w:hAnsi="Arial"/>
          <w:sz w:val="12"/>
          <w:szCs w:val="12"/>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52705</wp:posOffset>
            </wp:positionV>
            <wp:extent cx="71875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315" w:right="319" w:bottom="1440" w:gutter="0" w:footer="0" w:header="0"/>
        </w:sectPr>
      </w:pPr>
    </w:p>
    <w:bookmarkStart w:id="129" w:name="page130"/>
    <w:bookmarkEnd w:id="129"/>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Schedule II</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Valuation and Qualifying Accounts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Years ended December 31, 2021, 2020 and 2019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Balance at</w:t>
            </w:r>
          </w:p>
        </w:tc>
        <w:tc>
          <w:tcPr>
            <w:tcW w:w="220" w:type="dxa"/>
            <w:vAlign w:val="bottom"/>
          </w:tcPr>
          <w:p>
            <w:pPr>
              <w:spacing w:after="0"/>
              <w:rPr>
                <w:sz w:val="13"/>
                <w:szCs w:val="13"/>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0"/>
              </w:rPr>
              <w:t>Charged to</w:t>
            </w:r>
          </w:p>
        </w:tc>
        <w:tc>
          <w:tcPr>
            <w:tcW w:w="22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Charged to</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371"/>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26"/>
        </w:trPr>
        <w:tc>
          <w:tcPr>
            <w:tcW w:w="3080" w:type="dxa"/>
            <w:vAlign w:val="bottom"/>
            <w:gridSpan w:val="2"/>
            <w:vMerge w:val="restart"/>
          </w:tcPr>
          <w:p>
            <w:pPr>
              <w:ind w:left="116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1"/>
                <w:szCs w:val="11"/>
                <w:color w:val="auto"/>
              </w:rPr>
            </w:pPr>
          </w:p>
        </w:tc>
        <w:tc>
          <w:tcPr>
            <w:tcW w:w="1300" w:type="dxa"/>
            <w:vAlign w:val="bottom"/>
            <w:gridSpan w:val="2"/>
          </w:tcPr>
          <w:p>
            <w:pPr>
              <w:jc w:val="center"/>
              <w:ind w:right="360"/>
              <w:spacing w:after="0" w:line="127" w:lineRule="exact"/>
              <w:rPr>
                <w:sz w:val="20"/>
                <w:szCs w:val="20"/>
                <w:color w:val="auto"/>
              </w:rPr>
            </w:pPr>
            <w:r>
              <w:rPr>
                <w:rFonts w:ascii="Arial" w:cs="Arial" w:eastAsia="Arial" w:hAnsi="Arial"/>
                <w:sz w:val="13"/>
                <w:szCs w:val="13"/>
                <w:b w:val="1"/>
                <w:bCs w:val="1"/>
                <w:color w:val="auto"/>
                <w:w w:val="84"/>
              </w:rPr>
              <w:t>beginning of</w:t>
            </w:r>
          </w:p>
        </w:tc>
        <w:tc>
          <w:tcPr>
            <w:tcW w:w="220" w:type="dxa"/>
            <w:vAlign w:val="bottom"/>
          </w:tcPr>
          <w:p>
            <w:pPr>
              <w:spacing w:after="0"/>
              <w:rPr>
                <w:sz w:val="11"/>
                <w:szCs w:val="11"/>
                <w:color w:val="auto"/>
              </w:rPr>
            </w:pPr>
          </w:p>
        </w:tc>
        <w:tc>
          <w:tcPr>
            <w:tcW w:w="1560" w:type="dxa"/>
            <w:vAlign w:val="bottom"/>
            <w:gridSpan w:val="2"/>
          </w:tcPr>
          <w:p>
            <w:pPr>
              <w:jc w:val="center"/>
              <w:ind w:right="700"/>
              <w:spacing w:after="0" w:line="127" w:lineRule="exact"/>
              <w:rPr>
                <w:sz w:val="20"/>
                <w:szCs w:val="20"/>
                <w:color w:val="auto"/>
              </w:rPr>
            </w:pPr>
            <w:r>
              <w:rPr>
                <w:rFonts w:ascii="Arial" w:cs="Arial" w:eastAsia="Arial" w:hAnsi="Arial"/>
                <w:sz w:val="13"/>
                <w:szCs w:val="13"/>
                <w:b w:val="1"/>
                <w:bCs w:val="1"/>
                <w:color w:val="auto"/>
                <w:w w:val="82"/>
              </w:rPr>
              <w:t>costs and</w:t>
            </w:r>
          </w:p>
        </w:tc>
        <w:tc>
          <w:tcPr>
            <w:tcW w:w="220" w:type="dxa"/>
            <w:vAlign w:val="bottom"/>
          </w:tcPr>
          <w:p>
            <w:pPr>
              <w:spacing w:after="0"/>
              <w:rPr>
                <w:sz w:val="11"/>
                <w:szCs w:val="11"/>
                <w:color w:val="auto"/>
              </w:rPr>
            </w:pPr>
          </w:p>
        </w:tc>
        <w:tc>
          <w:tcPr>
            <w:tcW w:w="1280" w:type="dxa"/>
            <w:vAlign w:val="bottom"/>
            <w:gridSpan w:val="2"/>
          </w:tcPr>
          <w:p>
            <w:pPr>
              <w:jc w:val="center"/>
              <w:ind w:right="440"/>
              <w:spacing w:after="0" w:line="127" w:lineRule="exact"/>
              <w:rPr>
                <w:sz w:val="20"/>
                <w:szCs w:val="20"/>
                <w:color w:val="auto"/>
              </w:rPr>
            </w:pPr>
            <w:r>
              <w:rPr>
                <w:rFonts w:ascii="Arial" w:cs="Arial" w:eastAsia="Arial" w:hAnsi="Arial"/>
                <w:sz w:val="13"/>
                <w:szCs w:val="13"/>
                <w:b w:val="1"/>
                <w:bCs w:val="1"/>
                <w:color w:val="auto"/>
                <w:w w:val="86"/>
              </w:rPr>
              <w:t>other</w:t>
            </w:r>
          </w:p>
        </w:tc>
        <w:tc>
          <w:tcPr>
            <w:tcW w:w="260" w:type="dxa"/>
            <w:vAlign w:val="bottom"/>
          </w:tcPr>
          <w:p>
            <w:pPr>
              <w:spacing w:after="0"/>
              <w:rPr>
                <w:sz w:val="11"/>
                <w:szCs w:val="11"/>
                <w:color w:val="auto"/>
              </w:rPr>
            </w:pPr>
          </w:p>
        </w:tc>
        <w:tc>
          <w:tcPr>
            <w:tcW w:w="1200" w:type="dxa"/>
            <w:vAlign w:val="bottom"/>
            <w:vMerge w:val="restart"/>
          </w:tcPr>
          <w:p>
            <w:pPr>
              <w:jc w:val="right"/>
              <w:ind w:right="351"/>
              <w:spacing w:after="0"/>
              <w:rPr>
                <w:sz w:val="20"/>
                <w:szCs w:val="20"/>
                <w:color w:val="auto"/>
              </w:rPr>
            </w:pPr>
            <w:r>
              <w:rPr>
                <w:rFonts w:ascii="Arial" w:cs="Arial" w:eastAsia="Arial" w:hAnsi="Arial"/>
                <w:sz w:val="13"/>
                <w:szCs w:val="13"/>
                <w:b w:val="1"/>
                <w:bCs w:val="1"/>
                <w:color w:val="auto"/>
              </w:rPr>
              <w:t>Deductions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period</w:t>
            </w:r>
          </w:p>
        </w:tc>
        <w:tc>
          <w:tcPr>
            <w:tcW w:w="22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77"/>
              </w:rPr>
              <w:t>expenses</w:t>
            </w:r>
          </w:p>
        </w:tc>
        <w:tc>
          <w:tcPr>
            <w:tcW w:w="2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accounts</w:t>
            </w: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91"/>
              <w:spacing w:after="0"/>
              <w:rPr>
                <w:sz w:val="20"/>
                <w:szCs w:val="20"/>
                <w:color w:val="auto"/>
              </w:rPr>
            </w:pPr>
            <w:r>
              <w:rPr>
                <w:rFonts w:ascii="Arial" w:cs="Arial" w:eastAsia="Arial" w:hAnsi="Arial"/>
                <w:sz w:val="13"/>
                <w:szCs w:val="13"/>
                <w:b w:val="1"/>
                <w:bCs w:val="1"/>
                <w:color w:val="auto"/>
              </w:rPr>
              <w:t>end of period</w:t>
            </w:r>
          </w:p>
        </w:tc>
        <w:tc>
          <w:tcPr>
            <w:tcW w:w="0" w:type="dxa"/>
            <w:vAlign w:val="bottom"/>
          </w:tcPr>
          <w:p>
            <w:pPr>
              <w:spacing w:after="0"/>
              <w:rPr>
                <w:sz w:val="1"/>
                <w:szCs w:val="1"/>
                <w:color w:val="auto"/>
              </w:rPr>
            </w:pPr>
          </w:p>
        </w:tc>
      </w:tr>
      <w:tr>
        <w:trPr>
          <w:trHeight w:val="108"/>
        </w:trPr>
        <w:tc>
          <w:tcPr>
            <w:tcW w:w="2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0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Allowance for uncollectible amounts, cash</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discounts, chargebacks, and credits issued for</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damaged products: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080" w:type="dxa"/>
            <w:vAlign w:val="bottom"/>
            <w:gridSpan w:val="2"/>
          </w:tcPr>
          <w:p>
            <w:pPr>
              <w:ind w:left="180"/>
              <w:spacing w:after="0" w:line="137" w:lineRule="exact"/>
              <w:rPr>
                <w:sz w:val="20"/>
                <w:szCs w:val="20"/>
                <w:color w:val="auto"/>
              </w:rPr>
            </w:pPr>
            <w:r>
              <w:rPr>
                <w:rFonts w:ascii="Arial" w:cs="Arial" w:eastAsia="Arial" w:hAnsi="Arial"/>
                <w:sz w:val="14"/>
                <w:szCs w:val="14"/>
                <w:color w:val="auto"/>
              </w:rPr>
              <w:t>For the years ended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80" w:type="dxa"/>
            <w:vAlign w:val="bottom"/>
            <w:gridSpan w:val="2"/>
          </w:tcPr>
          <w:p>
            <w:pPr>
              <w:ind w:left="18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40" w:type="dxa"/>
            <w:vAlign w:val="bottom"/>
            <w:shd w:val="clear" w:color="auto" w:fill="CCEEFF"/>
          </w:tcPr>
          <w:p>
            <w:pPr>
              <w:jc w:val="right"/>
              <w:ind w:right="2230"/>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804,420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5,915,066</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(5,927,435)</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792,051</w:t>
            </w:r>
          </w:p>
        </w:tc>
        <w:tc>
          <w:tcPr>
            <w:tcW w:w="0" w:type="dxa"/>
            <w:vAlign w:val="bottom"/>
          </w:tcPr>
          <w:p>
            <w:pPr>
              <w:spacing w:after="0"/>
              <w:rPr>
                <w:sz w:val="1"/>
                <w:szCs w:val="1"/>
                <w:color w:val="auto"/>
              </w:rPr>
            </w:pPr>
          </w:p>
        </w:tc>
      </w:tr>
      <w:tr>
        <w:trPr>
          <w:trHeight w:val="179"/>
        </w:trPr>
        <w:tc>
          <w:tcPr>
            <w:tcW w:w="2940" w:type="dxa"/>
            <w:vAlign w:val="bottom"/>
          </w:tcPr>
          <w:p>
            <w:pPr>
              <w:jc w:val="right"/>
              <w:ind w:right="223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792,051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4,940,313</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(4,747,687)</w:t>
            </w:r>
          </w:p>
        </w:tc>
        <w:tc>
          <w:tcPr>
            <w:tcW w:w="500" w:type="dxa"/>
            <w:vAlign w:val="bottom"/>
          </w:tcPr>
          <w:p>
            <w:pPr>
              <w:jc w:val="right"/>
              <w:ind w:right="110"/>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984,677</w:t>
            </w:r>
          </w:p>
        </w:tc>
        <w:tc>
          <w:tcPr>
            <w:tcW w:w="0" w:type="dxa"/>
            <w:vAlign w:val="bottom"/>
          </w:tcPr>
          <w:p>
            <w:pPr>
              <w:spacing w:after="0"/>
              <w:rPr>
                <w:sz w:val="1"/>
                <w:szCs w:val="1"/>
                <w:color w:val="auto"/>
              </w:rPr>
            </w:pPr>
          </w:p>
        </w:tc>
      </w:tr>
      <w:tr>
        <w:trPr>
          <w:trHeight w:val="179"/>
        </w:trPr>
        <w:tc>
          <w:tcPr>
            <w:tcW w:w="2940" w:type="dxa"/>
            <w:vAlign w:val="bottom"/>
            <w:shd w:val="clear" w:color="auto" w:fill="CCEEFF"/>
          </w:tcPr>
          <w:p>
            <w:pPr>
              <w:jc w:val="right"/>
              <w:ind w:right="2230"/>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984,677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2,963,279</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(3,606,992)</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340,964</w:t>
            </w:r>
          </w:p>
        </w:tc>
        <w:tc>
          <w:tcPr>
            <w:tcW w:w="0" w:type="dxa"/>
            <w:vAlign w:val="bottom"/>
          </w:tcPr>
          <w:p>
            <w:pPr>
              <w:spacing w:after="0"/>
              <w:rPr>
                <w:sz w:val="1"/>
                <w:szCs w:val="1"/>
                <w:color w:val="auto"/>
              </w:rPr>
            </w:pPr>
          </w:p>
        </w:tc>
      </w:tr>
      <w:tr>
        <w:trPr>
          <w:trHeight w:val="126"/>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Valuation allowance for deferred tax assets: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080" w:type="dxa"/>
            <w:vAlign w:val="bottom"/>
            <w:gridSpan w:val="2"/>
          </w:tcPr>
          <w:p>
            <w:pPr>
              <w:ind w:left="180"/>
              <w:spacing w:after="0" w:line="137" w:lineRule="exact"/>
              <w:rPr>
                <w:sz w:val="20"/>
                <w:szCs w:val="20"/>
                <w:color w:val="auto"/>
              </w:rPr>
            </w:pPr>
            <w:r>
              <w:rPr>
                <w:rFonts w:ascii="Arial" w:cs="Arial" w:eastAsia="Arial" w:hAnsi="Arial"/>
                <w:sz w:val="14"/>
                <w:szCs w:val="14"/>
                <w:color w:val="auto"/>
              </w:rPr>
              <w:t>For the years ended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80" w:type="dxa"/>
            <w:vAlign w:val="bottom"/>
            <w:gridSpan w:val="2"/>
          </w:tcPr>
          <w:p>
            <w:pPr>
              <w:ind w:left="18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40" w:type="dxa"/>
            <w:vAlign w:val="bottom"/>
            <w:shd w:val="clear" w:color="auto" w:fill="CCEEFF"/>
          </w:tcPr>
          <w:p>
            <w:pPr>
              <w:jc w:val="right"/>
              <w:ind w:right="2230"/>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17,382,052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1,129,109</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18,511,161</w:t>
            </w:r>
          </w:p>
        </w:tc>
        <w:tc>
          <w:tcPr>
            <w:tcW w:w="0" w:type="dxa"/>
            <w:vAlign w:val="bottom"/>
          </w:tcPr>
          <w:p>
            <w:pPr>
              <w:spacing w:after="0"/>
              <w:rPr>
                <w:sz w:val="1"/>
                <w:szCs w:val="1"/>
                <w:color w:val="auto"/>
              </w:rPr>
            </w:pPr>
          </w:p>
        </w:tc>
      </w:tr>
      <w:tr>
        <w:trPr>
          <w:trHeight w:val="179"/>
        </w:trPr>
        <w:tc>
          <w:tcPr>
            <w:tcW w:w="2940" w:type="dxa"/>
            <w:vAlign w:val="bottom"/>
          </w:tcPr>
          <w:p>
            <w:pPr>
              <w:jc w:val="right"/>
              <w:ind w:right="223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18,511,161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684,960</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19,196,121</w:t>
            </w:r>
          </w:p>
        </w:tc>
        <w:tc>
          <w:tcPr>
            <w:tcW w:w="0" w:type="dxa"/>
            <w:vAlign w:val="bottom"/>
          </w:tcPr>
          <w:p>
            <w:pPr>
              <w:spacing w:after="0"/>
              <w:rPr>
                <w:sz w:val="1"/>
                <w:szCs w:val="1"/>
                <w:color w:val="auto"/>
              </w:rPr>
            </w:pPr>
          </w:p>
        </w:tc>
      </w:tr>
      <w:tr>
        <w:trPr>
          <w:trHeight w:val="179"/>
        </w:trPr>
        <w:tc>
          <w:tcPr>
            <w:tcW w:w="2940" w:type="dxa"/>
            <w:vAlign w:val="bottom"/>
            <w:shd w:val="clear" w:color="auto" w:fill="CCEEFF"/>
          </w:tcPr>
          <w:p>
            <w:pPr>
              <w:jc w:val="right"/>
              <w:ind w:right="2230"/>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19,196,121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565,801</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19,761,922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(1) Composed of actual returns and credits for chargebacks and cash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280"/>
          </w:cols>
          <w:pgMar w:left="300" w:top="1440"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COMMON STOCK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PURSUANT TO SECTION 12 OF THE</w:t>
      </w: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common stock of Cumberland Pharmaceuticals, Inc. ( “we,” “our,” “us” or the “Company”) is registered under Section 12 of the Securities Exchange Act of 1934, as amended.</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description of our common stock is a summary and does not purport to be complete. It is subject to and qualified in its entirety by reference to the actual terms and provisions contained in our Third Amended and Restated Charter, as amended (the “Charter”), and our Second Amended and Restated Bylaws (the “Bylaws”), copies of are filed as an exhibit to this Annual Report on Form 10-K and are incorporated herein, and to the applicable provisions of Tennessee law. We encourage you to read our Charter and Bylaws and the applicable provisions of Tennessee law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are authorized to issue up to 120,000,000 shares of capital stock, of which 100,000,000 may be shares of common stock, par value $0.00 per share, and 20,000,000 may be shares of preferred stock, par value $0.00 per share. The Company currently has no preferred stock issued and outstanding. All of the Company’s outstanding shares of common stock are fully paid and nonassessable.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Holders of common stock are entitled to one vote for each share registered in his or her name on our books on all matters voted on by our shareholders. Holders of our common stock do not have cumulative voting rights.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Subject to any preferences or other rights of any of our preferred stock that may be issued from time to time, each share of our common stock is entitled to share equally with each other share of common stock in dividends from sources legally available therefore, when, as, and if declared by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Absence of Other Rights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Holders of our common stock do not have any preemptive rights to subscribe for or purchase any of our securities of any class or kind. Holders of our common stock do not have any subscription, redemption or conversion privileges.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Rights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our liquidation or dissolution, whether voluntary or involuntary, each share of our common stock is entitled to share equally in the assets that are available for distribution to our shareholders, after payment of all debts and liabilities and subject to the prior rights of nay holders of preferred stock then outstanding.</w:t>
      </w:r>
    </w:p>
    <w:p>
      <w:pPr>
        <w:sectPr>
          <w:pgSz w:w="11900" w:h="16838" w:orient="portrait"/>
          <w:cols w:equalWidth="0" w:num="1">
            <w:col w:w="11280"/>
          </w:cols>
          <w:pgMar w:left="300" w:top="625" w:right="31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Listing</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listed on the Nasdaq Global Select Market under the symbol “CPIX.”</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Continental Stock Transfer &amp; Trust Company is the transfer agent and registrar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our Charter and Bylaws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Our Charter and Bylaws contain certain provisions that could have the effect of delaying, deferring or discouraging another party from acquiring control of the Company. These provisions, which are summarized below, could discourage takeovers, coercive or otherwise. These provisions are also designed, in part, to encourage persons seeking to acquire control of us to negotiate first with our Board of Directors.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Staggered Board</w:t>
      </w:r>
      <w:r>
        <w:rPr>
          <w:rFonts w:ascii="Arial" w:cs="Arial" w:eastAsia="Arial" w:hAnsi="Arial"/>
          <w:sz w:val="17"/>
          <w:szCs w:val="17"/>
          <w:color w:val="auto"/>
        </w:rPr>
        <w:t>. Our Charter divides our Board of Directors into three separate classes, and directors are assigned to each class in accordance by resolution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Each class of directors serves for a full term of three years, and the terms of the respective classes expire in succession so that only one class of directors is required to stand for re-election at each annual meeting. This provision prevents our shareholders or a potential acquirer from replacing all of our incumbent directors at a single annual meeting.</w:t>
      </w:r>
    </w:p>
    <w:p>
      <w:pPr>
        <w:spacing w:after="0" w:line="167" w:lineRule="exact"/>
        <w:rPr>
          <w:sz w:val="20"/>
          <w:szCs w:val="20"/>
          <w:color w:val="auto"/>
        </w:rPr>
      </w:pPr>
    </w:p>
    <w:p>
      <w:pPr>
        <w:jc w:val="both"/>
        <w:spacing w:after="0" w:line="322" w:lineRule="auto"/>
        <w:rPr>
          <w:sz w:val="20"/>
          <w:szCs w:val="20"/>
          <w:color w:val="auto"/>
        </w:rPr>
      </w:pPr>
      <w:r>
        <w:rPr>
          <w:rFonts w:ascii="Arial" w:cs="Arial" w:eastAsia="Arial" w:hAnsi="Arial"/>
          <w:sz w:val="15"/>
          <w:szCs w:val="15"/>
          <w:i w:val="1"/>
          <w:iCs w:val="1"/>
          <w:color w:val="auto"/>
        </w:rPr>
        <w:t>Removal of Directors</w:t>
      </w:r>
      <w:r>
        <w:rPr>
          <w:rFonts w:ascii="Arial" w:cs="Arial" w:eastAsia="Arial" w:hAnsi="Arial"/>
          <w:sz w:val="15"/>
          <w:szCs w:val="15"/>
          <w:color w:val="auto"/>
        </w:rPr>
        <w:t>. Under Tennessee law, a director can be removed by the shareholders with or without cause, unless a corporation’s charter provides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can only be removed for cause. Our Charter includes this restriction, which could make it more difficult for shareholders to remove incumbent directors.</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Advance Notice Provisions</w:t>
      </w:r>
      <w:r>
        <w:rPr>
          <w:rFonts w:ascii="Arial" w:cs="Arial" w:eastAsia="Arial" w:hAnsi="Arial"/>
          <w:sz w:val="17"/>
          <w:szCs w:val="17"/>
          <w:color w:val="auto"/>
        </w:rPr>
        <w:t>. Our Bylaws contain advance notice provisions applicable to shareholder proposals and the nomination of candidates for election as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by shareholders. These advance notice provisions may have the effect of precluding the conduct of certain business at a meeting if the proper procedures are not followed and may also discourage or deter a potential acquirer from conducting a solicitation of proxies to elect the acquirer’s own slate of directors or otherwise attempt to obtain control of the Company.</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Vacancies</w:t>
      </w:r>
      <w:r>
        <w:rPr>
          <w:rFonts w:ascii="Arial" w:cs="Arial" w:eastAsia="Arial" w:hAnsi="Arial"/>
          <w:sz w:val="16"/>
          <w:szCs w:val="16"/>
          <w:color w:val="auto"/>
        </w:rPr>
        <w:t>. Our Charter provides that the Board of Directors, by a majority vote of the remaining directors in office, shall fill any vacant directorships caused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death, resignation, disqualification, removal of a director. Our Charter also gives the Board of Directors the power to fill any vacancies resulting from the increase in the number of directors serving on the Board. These provisions could make it more difficult for an acquiror to gain control of our Board of Directors.</w:t>
      </w:r>
    </w:p>
    <w:p>
      <w:pPr>
        <w:spacing w:after="0" w:line="14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i w:val="1"/>
          <w:iCs w:val="1"/>
          <w:color w:val="auto"/>
        </w:rPr>
        <w:t>Calling of Special Meetings</w:t>
      </w:r>
      <w:r>
        <w:rPr>
          <w:rFonts w:ascii="Arial" w:cs="Arial" w:eastAsia="Arial" w:hAnsi="Arial"/>
          <w:sz w:val="15"/>
          <w:szCs w:val="15"/>
          <w:color w:val="auto"/>
        </w:rPr>
        <w:t>. Under Tennessee law, a special meeting of a Tennessee corporation’s shareholders can be called by its board of directors or, unless the</w:t>
      </w:r>
      <w:r>
        <w:rPr>
          <w:rFonts w:ascii="Arial" w:cs="Arial" w:eastAsia="Arial" w:hAnsi="Arial"/>
          <w:sz w:val="15"/>
          <w:szCs w:val="15"/>
          <w:i w:val="1"/>
          <w:iCs w:val="1"/>
          <w:color w:val="auto"/>
        </w:rPr>
        <w:t xml:space="preserve"> </w:t>
      </w:r>
      <w:r>
        <w:rPr>
          <w:rFonts w:ascii="Arial" w:cs="Arial" w:eastAsia="Arial" w:hAnsi="Arial"/>
          <w:sz w:val="15"/>
          <w:szCs w:val="15"/>
          <w:color w:val="auto"/>
        </w:rPr>
        <w:t>charter provides otherwise, the holders of at least 10% of the outstanding voting stock of the corporation. Our Charter provides that a special meeting can be called by our Chairman of the Board or the Chief Executive Officer only when shareholders owning at least two-thirds of the votes entitled to be cast on any issue proposed to be considered at the meeting deliver to the Company a written demand stating the purposes of the special meeting and a certified check in the amount of $50,000.00. This provision may make it harder for our shareholders to call special meetings without the consent of the Board of Directors of the Company.</w:t>
      </w:r>
    </w:p>
    <w:p>
      <w:pPr>
        <w:sectPr>
          <w:pgSz w:w="11900" w:h="16838" w:orient="portrait"/>
          <w:cols w:equalWidth="0" w:num="1">
            <w:col w:w="11280"/>
          </w:cols>
          <w:pgMar w:left="300" w:top="625" w:right="319" w:bottom="1440" w:gutter="0" w:footer="0" w:header="0"/>
        </w:sectPr>
      </w:pPr>
    </w:p>
    <w:bookmarkStart w:id="132" w:name="page133"/>
    <w:bookmarkEnd w:id="132"/>
    <w:p>
      <w:pPr>
        <w:jc w:val="both"/>
        <w:spacing w:after="0" w:line="256" w:lineRule="auto"/>
        <w:rPr>
          <w:sz w:val="20"/>
          <w:szCs w:val="20"/>
          <w:color w:val="auto"/>
        </w:rPr>
      </w:pPr>
      <w:r>
        <w:rPr>
          <w:rFonts w:ascii="Arial" w:cs="Arial" w:eastAsia="Arial" w:hAnsi="Arial"/>
          <w:sz w:val="17"/>
          <w:szCs w:val="17"/>
          <w:i w:val="1"/>
          <w:iCs w:val="1"/>
          <w:color w:val="auto"/>
        </w:rPr>
        <w:t>Undesignated Preferred Stock</w:t>
      </w:r>
      <w:r>
        <w:rPr>
          <w:rFonts w:ascii="Arial" w:cs="Arial" w:eastAsia="Arial" w:hAnsi="Arial"/>
          <w:sz w:val="17"/>
          <w:szCs w:val="17"/>
          <w:color w:val="auto"/>
        </w:rPr>
        <w:t>. Our Board of Directors has the ability to designate and issue preferred stock without shareholder approval, and such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could have voting or other rights or preferences that could deter hostile takeovers or delay changes in control.</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No Cumulative Voting</w:t>
      </w:r>
      <w:r>
        <w:rPr>
          <w:rFonts w:ascii="Arial" w:cs="Arial" w:eastAsia="Arial" w:hAnsi="Arial"/>
          <w:sz w:val="17"/>
          <w:szCs w:val="17"/>
          <w:color w:val="auto"/>
        </w:rPr>
        <w:t>. Our Charter and Bylaws do not allow shareholders to cumulate votes for the election of directors, which may have the effect of deterring 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ability to replace incumbent directors serving on the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Tennessee Anti-Takeover Statutes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to the Charter and Bylaws provisions discussed above, Tennessee has adopted a series of statutes which can have an anti-takeover effect and may delay or prevent a tender offer or takeover attempt that a shareholder might consider in its best interest, including those attempts that might result in a premium over the market price for our capital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Tennessee Business Combination Act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The Tennessee Business Combination Act (the “TBCA”) governs all Tennessee corporations. It imposes a five-year standstill on transactions such as mergers, share exchanges, sales of assets, liquidations and other interested party transactions between Tennessee corporations and “interested shareholders” and their associates or affiliates, unless the business combination is approved by the board of directors before the interested shareholder goes above the 10% ownership threshold. Thereafter, the transaction either requires a two-thirds vote of the shareholders other than the interested shareholder or satisfaction of certain fair price standards.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TBCA also provides for additional exculpatory protection for the board of directors in resisting mergers, exchanges and tender offers if a Tennessee corporation’s charter specifically opts-in to such provisions. In particular, a Tennessee corporation’s charter may specifically authorize the members of a board of directors, in the exercise of their judgment, to give due consideration to factors other than price and to consider whether a merger, exchange, tender offer or significant disposition of assets would adversely affect the corporation’s employees, customers, suppliers, the communities</w:t>
      </w:r>
    </w:p>
    <w:p>
      <w:pPr>
        <w:jc w:val="both"/>
        <w:spacing w:after="0" w:line="365" w:lineRule="auto"/>
        <w:rPr>
          <w:sz w:val="20"/>
          <w:szCs w:val="20"/>
          <w:color w:val="auto"/>
        </w:rPr>
      </w:pPr>
      <w:r>
        <w:rPr>
          <w:rFonts w:ascii="Arial" w:cs="Arial" w:eastAsia="Arial" w:hAnsi="Arial"/>
          <w:sz w:val="12"/>
          <w:szCs w:val="12"/>
          <w:color w:val="auto"/>
        </w:rPr>
        <w:t>in which the corporation operates, or any other relevant factor in the exercise of their fiduciary duty to the shareholders. Our Charter currently does not opt-in to the additional exculpation provisions available under the TBCA. In the future, if we amend our Charter to opt-in to such provisions, it could have the effect of protecting our management and Board of Directors from hostile takeover bids.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Tennessee Control Share Acquisition Act</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The Tennessee Control Share Acquisition Act (the “TCSA”) limits the voting rights of shares owned by a person above certain percentage thresholds, unless the non-interested shareholders of the corporation approve the acquisition above the designated threshold. However, the TCSA only applies to corporations whose charter or bylaws contain an express declaration that control share acquisitions are to be governed by the TCSA. In addition, the charter or bylaws must specifically provide for the redemption of control shares or appraisal rights for dissenting shareholders in a control share transaction. Neither our Charter nor our Bylaws make the express declarations necessary to opt into the TCSA. In the future, if we amend our Bylaws or our Charter to opt into the TCSA, it will have the general effect of discouraging, or rendering more difficult, acquisition attempts.</w:t>
      </w:r>
    </w:p>
    <w:p>
      <w:pPr>
        <w:sectPr>
          <w:pgSz w:w="11900" w:h="16838" w:orient="portrait"/>
          <w:cols w:equalWidth="0" w:num="1">
            <w:col w:w="11280"/>
          </w:cols>
          <w:pgMar w:left="300" w:top="629" w:right="31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i w:val="1"/>
          <w:iCs w:val="1"/>
          <w:color w:val="auto"/>
        </w:rPr>
        <w:t>Tennessee Investor Protection Act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Tennessee Investor Protection Act (“TIPA”) generally requires the registration, or an exemption from registration, before a person can make a tender offer for shares of a Tennessee corporation which, if successful, will result in the offeror beneficially owning more than 10% of any class of shares. Registration requires the filing with the Tennessee Commissioner of Commerce and Insurance of a registration statement, a copy of which must be sent to the target company, and the public disclosure of the material terms of the proposed offer. Additional requirements are imposed under that act if the offeror beneficially owns 5% or more of any class of equity securities of the target company, any of which was purchased within one year prior to the proposed takeover offer. TIPA also prohibits fraudulent and deceptive practices in connection with takeover offers, and provides remedies for violations.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TIPA does not apply to an offer involving a vote by holders of equity securities of the offeree company, pursuant to its charter, on a share exchange, consolidation or sale of corporate assets in consideration of the issuance of securities of another corporation, or on a sale of its securities in exchange for cash or securities of another corporation. Also exempt from TIPA are tender offers which are open on substantially equal terms to all shareholders, are recommended by the board of directors of the target company, and include full disclosure of all terms.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Tennessee Greenmail Act</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Tennessee Greenmail Act (“TGA”) prohibits us from purchasing or agreeing to purchase any of our securities, at a price higher than fair market value, from a holder of 3% or more of any class of its securities who has beneficially owned the securities for less than two years. We can, however, make this purchase if the majority of the outstanding shares of each class of voting stock issued by us approves the purchase or if we make an offer of at least equal value per share to all holders of shares of the same class of securities as those held by the prospective seller.</w:t>
      </w:r>
    </w:p>
    <w:p>
      <w:pPr>
        <w:sectPr>
          <w:pgSz w:w="11900" w:h="16838" w:orient="portrait"/>
          <w:cols w:equalWidth="0" w:num="1">
            <w:col w:w="11280"/>
          </w:cols>
          <w:pgMar w:left="300" w:top="629" w:right="319" w:bottom="1440" w:gutter="0" w:footer="0" w:header="0"/>
        </w:sectPr>
      </w:pPr>
    </w:p>
    <w:bookmarkStart w:id="134" w:name="page135"/>
    <w:bookmarkEnd w:id="134"/>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10.11</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Mr. AJ Kazimi</w:t>
      </w:r>
    </w:p>
    <w:p>
      <w:pPr>
        <w:spacing w:after="0" w:line="207" w:lineRule="auto"/>
        <w:rPr>
          <w:sz w:val="20"/>
          <w:szCs w:val="20"/>
          <w:color w:val="auto"/>
        </w:rPr>
      </w:pPr>
      <w:r>
        <w:rPr>
          <w:rFonts w:ascii="Arial" w:cs="Arial" w:eastAsia="Arial" w:hAnsi="Arial"/>
          <w:sz w:val="17"/>
          <w:szCs w:val="17"/>
          <w:color w:val="auto"/>
        </w:rPr>
        <w:t>2525 West End Avenue, Suite 950</w:t>
      </w:r>
    </w:p>
    <w:p>
      <w:pPr>
        <w:spacing w:after="0" w:line="207" w:lineRule="auto"/>
        <w:rPr>
          <w:sz w:val="20"/>
          <w:szCs w:val="20"/>
          <w:color w:val="auto"/>
        </w:rPr>
      </w:pPr>
      <w:r>
        <w:rPr>
          <w:rFonts w:ascii="Arial" w:cs="Arial" w:eastAsia="Arial" w:hAnsi="Arial"/>
          <w:sz w:val="17"/>
          <w:szCs w:val="17"/>
          <w:color w:val="auto"/>
        </w:rPr>
        <w:t>Nashville, TN 37203</w:t>
      </w:r>
    </w:p>
    <w:p>
      <w:pPr>
        <w:spacing w:after="0"/>
        <w:tabs>
          <w:tab w:leader="none" w:pos="3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color w:val="auto"/>
        </w:rPr>
        <w:t>Employment of AJ Kazimi as Chief Executive Officer by Cumberland Pharmaceuticals Inc.</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Dear AJ,</w:t>
      </w:r>
    </w:p>
    <w:p>
      <w:pPr>
        <w:spacing w:after="0" w:line="163"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Effective January 1, 2022,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u w:val="single" w:color="auto"/>
          <w:color w:val="auto"/>
        </w:rPr>
        <w:t xml:space="preserve">Compensation. </w:t>
      </w:r>
      <w:r>
        <w:rPr>
          <w:rFonts w:ascii="Arial" w:cs="Arial" w:eastAsia="Arial" w:hAnsi="Arial"/>
          <w:sz w:val="15"/>
          <w:szCs w:val="15"/>
          <w:color w:val="auto"/>
        </w:rPr>
        <w:t>The Company agrees to compensate you as follows:</w:t>
      </w:r>
    </w:p>
    <w:p>
      <w:pPr>
        <w:spacing w:after="0" w:line="163" w:lineRule="exact"/>
        <w:rPr>
          <w:sz w:val="20"/>
          <w:szCs w:val="20"/>
          <w:color w:val="auto"/>
        </w:rPr>
      </w:pPr>
    </w:p>
    <w:p>
      <w:pPr>
        <w:jc w:val="both"/>
        <w:ind w:firstLine="4"/>
        <w:spacing w:after="0" w:line="208" w:lineRule="auto"/>
        <w:tabs>
          <w:tab w:leader="none" w:pos="41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agrees to pay you on a salary basis for services performed based on an annual rate of six hundred thirty-five thousand dollars ($635,000.00), payable in arrears in equal monthly installments on the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46" w:lineRule="exact"/>
        <w:rPr>
          <w:rFonts w:ascii="Arial" w:cs="Arial" w:eastAsia="Arial" w:hAnsi="Arial"/>
          <w:sz w:val="17"/>
          <w:szCs w:val="17"/>
          <w:color w:val="auto"/>
        </w:rPr>
      </w:pPr>
    </w:p>
    <w:p>
      <w:pPr>
        <w:jc w:val="both"/>
        <w:ind w:firstLine="4"/>
        <w:spacing w:after="0" w:line="225" w:lineRule="auto"/>
        <w:tabs>
          <w:tab w:leader="none" w:pos="367" w:val="left"/>
        </w:tabs>
        <w:numPr>
          <w:ilvl w:val="0"/>
          <w:numId w:val="53"/>
        </w:numPr>
        <w:rPr>
          <w:rFonts w:ascii="Arial" w:cs="Arial" w:eastAsia="Arial" w:hAnsi="Arial"/>
          <w:sz w:val="17"/>
          <w:szCs w:val="17"/>
          <w:color w:val="auto"/>
        </w:rPr>
      </w:pPr>
      <w:r>
        <w:rPr>
          <w:rFonts w:ascii="Arial" w:cs="Arial" w:eastAsia="Arial" w:hAnsi="Arial"/>
          <w:sz w:val="17"/>
          <w:szCs w:val="17"/>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45" w:lineRule="exact"/>
        <w:rPr>
          <w:rFonts w:ascii="Arial" w:cs="Arial" w:eastAsia="Arial" w:hAnsi="Arial"/>
          <w:sz w:val="17"/>
          <w:szCs w:val="17"/>
          <w:color w:val="auto"/>
        </w:rPr>
      </w:pPr>
    </w:p>
    <w:p>
      <w:pPr>
        <w:jc w:val="both"/>
        <w:ind w:firstLine="4"/>
        <w:spacing w:after="0" w:line="239" w:lineRule="auto"/>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46" w:lineRule="exact"/>
        <w:rPr>
          <w:rFonts w:ascii="Arial" w:cs="Arial" w:eastAsia="Arial" w:hAnsi="Arial"/>
          <w:sz w:val="16"/>
          <w:szCs w:val="16"/>
          <w:color w:val="auto"/>
        </w:rPr>
      </w:pPr>
    </w:p>
    <w:p>
      <w:pPr>
        <w:jc w:val="both"/>
        <w:ind w:firstLine="4"/>
        <w:spacing w:after="0" w:line="239" w:lineRule="auto"/>
        <w:tabs>
          <w:tab w:leader="none" w:pos="3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80"/>
          </w:cols>
          <w:pgMar w:left="300" w:top="1440" w:right="319" w:bottom="1440" w:gutter="0" w:footer="0" w:header="0"/>
        </w:sectPr>
      </w:pPr>
    </w:p>
    <w:bookmarkStart w:id="135" w:name="page136"/>
    <w:bookmarkEnd w:id="135"/>
    <w:p>
      <w:pPr>
        <w:spacing w:after="0" w:line="75" w:lineRule="exact"/>
        <w:rPr>
          <w:sz w:val="20"/>
          <w:szCs w:val="20"/>
          <w:color w:val="auto"/>
        </w:rPr>
      </w:pPr>
    </w:p>
    <w:p>
      <w:pPr>
        <w:ind w:left="-4" w:firstLine="4"/>
        <w:spacing w:after="0" w:line="235" w:lineRule="auto"/>
        <w:tabs>
          <w:tab w:leader="none" w:pos="367"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Except as set forth in Section 2, the Company shall not be liable to you for any expense incurred by you unless you receive the Company's prior written consent to reimburse you for such expense.</w:t>
      </w:r>
    </w:p>
    <w:p>
      <w:pPr>
        <w:spacing w:after="0" w:line="144" w:lineRule="exact"/>
        <w:rPr>
          <w:rFonts w:ascii="Arial" w:cs="Arial" w:eastAsia="Arial" w:hAnsi="Arial"/>
          <w:sz w:val="17"/>
          <w:szCs w:val="17"/>
          <w:color w:val="auto"/>
        </w:rPr>
      </w:pPr>
    </w:p>
    <w:p>
      <w:pPr>
        <w:jc w:val="both"/>
        <w:ind w:left="-4" w:firstLine="68"/>
        <w:spacing w:after="0" w:line="221" w:lineRule="auto"/>
        <w:tabs>
          <w:tab w:leader="none" w:pos="565"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Additional Payments</w:t>
      </w:r>
      <w:r>
        <w:rPr>
          <w:rFonts w:ascii="Arial" w:cs="Arial" w:eastAsia="Arial" w:hAnsi="Arial"/>
          <w:sz w:val="17"/>
          <w:szCs w:val="17"/>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44" w:lineRule="exact"/>
        <w:rPr>
          <w:sz w:val="20"/>
          <w:szCs w:val="20"/>
          <w:color w:val="auto"/>
        </w:rPr>
      </w:pPr>
    </w:p>
    <w:p>
      <w:pPr>
        <w:jc w:val="both"/>
        <w:ind w:left="-4" w:firstLine="4"/>
        <w:spacing w:after="0" w:line="239" w:lineRule="auto"/>
        <w:tabs>
          <w:tab w:leader="none" w:pos="29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Employment at Will</w:t>
      </w:r>
      <w:r>
        <w:rPr>
          <w:rFonts w:ascii="Arial" w:cs="Arial" w:eastAsia="Arial" w:hAnsi="Arial"/>
          <w:sz w:val="16"/>
          <w:szCs w:val="16"/>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46" w:lineRule="exact"/>
        <w:rPr>
          <w:rFonts w:ascii="Arial" w:cs="Arial" w:eastAsia="Arial" w:hAnsi="Arial"/>
          <w:sz w:val="16"/>
          <w:szCs w:val="16"/>
          <w:color w:val="auto"/>
        </w:rPr>
      </w:pPr>
    </w:p>
    <w:p>
      <w:pPr>
        <w:jc w:val="both"/>
        <w:ind w:left="-4" w:firstLine="4"/>
        <w:spacing w:after="0" w:line="228" w:lineRule="auto"/>
        <w:tabs>
          <w:tab w:leader="none" w:pos="36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46" w:lineRule="exact"/>
        <w:rPr>
          <w:rFonts w:ascii="Arial" w:cs="Arial" w:eastAsia="Arial" w:hAnsi="Arial"/>
          <w:sz w:val="16"/>
          <w:szCs w:val="16"/>
          <w:color w:val="auto"/>
        </w:rPr>
      </w:pPr>
    </w:p>
    <w:p>
      <w:pPr>
        <w:jc w:val="both"/>
        <w:ind w:left="-4" w:firstLine="4"/>
        <w:spacing w:after="0" w:line="225" w:lineRule="auto"/>
        <w:tabs>
          <w:tab w:leader="none" w:pos="29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Discoveries and Improvements</w:t>
      </w:r>
      <w:r>
        <w:rPr>
          <w:rFonts w:ascii="Arial" w:cs="Arial" w:eastAsia="Arial" w:hAnsi="Arial"/>
          <w:sz w:val="16"/>
          <w:szCs w:val="16"/>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76"/>
          </w:cols>
          <w:pgMar w:left="304" w:top="1440" w:right="319" w:bottom="1440" w:gutter="0" w:footer="0" w:header="0"/>
        </w:sectPr>
      </w:pPr>
    </w:p>
    <w:bookmarkStart w:id="136" w:name="page137"/>
    <w:bookmarkEnd w:id="136"/>
    <w:p>
      <w:pPr>
        <w:spacing w:after="0" w:line="75" w:lineRule="exact"/>
        <w:rPr>
          <w:sz w:val="20"/>
          <w:szCs w:val="20"/>
          <w:color w:val="auto"/>
        </w:rPr>
      </w:pPr>
    </w:p>
    <w:p>
      <w:pPr>
        <w:jc w:val="both"/>
        <w:ind w:left="-4" w:firstLine="4"/>
        <w:spacing w:after="0" w:line="254" w:lineRule="auto"/>
        <w:tabs>
          <w:tab w:leader="none" w:pos="312"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Publication</w:t>
      </w:r>
      <w:r>
        <w:rPr>
          <w:rFonts w:ascii="Arial" w:cs="Arial" w:eastAsia="Arial" w:hAnsi="Arial"/>
          <w:sz w:val="15"/>
          <w:szCs w:val="15"/>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34" w:lineRule="exact"/>
        <w:rPr>
          <w:rFonts w:ascii="Arial" w:cs="Arial" w:eastAsia="Arial" w:hAnsi="Arial"/>
          <w:sz w:val="15"/>
          <w:szCs w:val="15"/>
          <w:color w:val="auto"/>
        </w:rPr>
      </w:pPr>
    </w:p>
    <w:p>
      <w:pPr>
        <w:jc w:val="both"/>
        <w:ind w:left="-4" w:firstLine="4"/>
        <w:spacing w:after="0" w:line="239" w:lineRule="auto"/>
        <w:tabs>
          <w:tab w:leader="none" w:pos="29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46" w:lineRule="exact"/>
        <w:rPr>
          <w:rFonts w:ascii="Arial" w:cs="Arial" w:eastAsia="Arial" w:hAnsi="Arial"/>
          <w:sz w:val="16"/>
          <w:szCs w:val="16"/>
          <w:color w:val="auto"/>
        </w:rPr>
      </w:pPr>
    </w:p>
    <w:p>
      <w:pPr>
        <w:jc w:val="both"/>
        <w:ind w:left="-4" w:firstLine="4"/>
        <w:spacing w:after="0" w:line="223" w:lineRule="auto"/>
        <w:tabs>
          <w:tab w:leader="none" w:pos="29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Competition</w:t>
      </w:r>
      <w:r>
        <w:rPr>
          <w:rFonts w:ascii="Arial" w:cs="Arial" w:eastAsia="Arial" w:hAnsi="Arial"/>
          <w:sz w:val="16"/>
          <w:szCs w:val="16"/>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55" w:lineRule="exact"/>
        <w:rPr>
          <w:rFonts w:ascii="Arial" w:cs="Arial" w:eastAsia="Arial" w:hAnsi="Arial"/>
          <w:sz w:val="16"/>
          <w:szCs w:val="16"/>
          <w:color w:val="auto"/>
        </w:rPr>
      </w:pPr>
    </w:p>
    <w:p>
      <w:pPr>
        <w:jc w:val="both"/>
        <w:ind w:left="-4" w:firstLine="4"/>
        <w:spacing w:after="0" w:line="221" w:lineRule="auto"/>
        <w:tabs>
          <w:tab w:leader="none" w:pos="32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Conflicting Contracts</w:t>
      </w:r>
      <w:r>
        <w:rPr>
          <w:rFonts w:ascii="Arial" w:cs="Arial" w:eastAsia="Arial" w:hAnsi="Arial"/>
          <w:sz w:val="17"/>
          <w:szCs w:val="17"/>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44" w:lineRule="exact"/>
        <w:rPr>
          <w:rFonts w:ascii="Arial" w:cs="Arial" w:eastAsia="Arial" w:hAnsi="Arial"/>
          <w:sz w:val="17"/>
          <w:szCs w:val="17"/>
          <w:color w:val="auto"/>
        </w:rPr>
      </w:pPr>
    </w:p>
    <w:p>
      <w:pPr>
        <w:ind w:left="376" w:hanging="376"/>
        <w:spacing w:after="0"/>
        <w:tabs>
          <w:tab w:leader="none" w:pos="37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Solicitation</w:t>
      </w:r>
      <w:r>
        <w:rPr>
          <w:rFonts w:ascii="Arial" w:cs="Arial" w:eastAsia="Arial" w:hAnsi="Arial"/>
          <w:sz w:val="17"/>
          <w:szCs w:val="17"/>
          <w:color w:val="auto"/>
        </w:rPr>
        <w:t>. After you cease to be employed by the Company (or a Company affiliate):</w:t>
      </w:r>
    </w:p>
    <w:p>
      <w:pPr>
        <w:sectPr>
          <w:pgSz w:w="11900" w:h="16838" w:orient="portrait"/>
          <w:cols w:equalWidth="0" w:num="1">
            <w:col w:w="11276"/>
          </w:cols>
          <w:pgMar w:left="304" w:top="1440" w:right="319" w:bottom="1440" w:gutter="0" w:footer="0" w:header="0"/>
        </w:sectPr>
      </w:pPr>
    </w:p>
    <w:bookmarkStart w:id="137" w:name="page138"/>
    <w:bookmarkEnd w:id="137"/>
    <w:p>
      <w:pPr>
        <w:spacing w:after="0" w:line="264" w:lineRule="exact"/>
        <w:rPr>
          <w:sz w:val="20"/>
          <w:szCs w:val="20"/>
          <w:color w:val="auto"/>
        </w:rPr>
      </w:pPr>
    </w:p>
    <w:p>
      <w:pPr>
        <w:jc w:val="both"/>
        <w:ind w:left="-4" w:firstLine="4"/>
        <w:spacing w:after="0" w:line="231" w:lineRule="auto"/>
        <w:tabs>
          <w:tab w:leader="none" w:pos="3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47" w:lineRule="exact"/>
        <w:rPr>
          <w:rFonts w:ascii="Arial" w:cs="Arial" w:eastAsia="Arial" w:hAnsi="Arial"/>
          <w:sz w:val="16"/>
          <w:szCs w:val="16"/>
          <w:color w:val="auto"/>
        </w:rPr>
      </w:pPr>
    </w:p>
    <w:p>
      <w:pPr>
        <w:ind w:left="356" w:hanging="356"/>
        <w:spacing w:after="0"/>
        <w:tabs>
          <w:tab w:leader="none" w:pos="356" w:val="left"/>
        </w:tabs>
        <w:numPr>
          <w:ilvl w:val="0"/>
          <w:numId w:val="57"/>
        </w:numPr>
        <w:rPr>
          <w:rFonts w:ascii="Arial" w:cs="Arial" w:eastAsia="Arial" w:hAnsi="Arial"/>
          <w:sz w:val="15"/>
          <w:szCs w:val="15"/>
          <w:color w:val="auto"/>
        </w:rPr>
      </w:pPr>
      <w:r>
        <w:rPr>
          <w:rFonts w:ascii="Arial" w:cs="Arial" w:eastAsia="Arial" w:hAnsi="Arial"/>
          <w:sz w:val="15"/>
          <w:szCs w:val="15"/>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4" w:firstLine="4"/>
        <w:spacing w:after="0" w:line="225" w:lineRule="auto"/>
        <w:tabs>
          <w:tab w:leader="none" w:pos="39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Return of Documents</w:t>
      </w:r>
      <w:r>
        <w:rPr>
          <w:rFonts w:ascii="Arial" w:cs="Arial" w:eastAsia="Arial" w:hAnsi="Arial"/>
          <w:sz w:val="17"/>
          <w:szCs w:val="17"/>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45" w:lineRule="exact"/>
        <w:rPr>
          <w:rFonts w:ascii="Arial" w:cs="Arial" w:eastAsia="Arial" w:hAnsi="Arial"/>
          <w:sz w:val="17"/>
          <w:szCs w:val="17"/>
          <w:color w:val="auto"/>
        </w:rPr>
      </w:pPr>
    </w:p>
    <w:p>
      <w:pPr>
        <w:jc w:val="both"/>
        <w:ind w:left="-4" w:firstLine="4"/>
        <w:spacing w:after="0" w:line="231" w:lineRule="auto"/>
        <w:tabs>
          <w:tab w:leader="none" w:pos="48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47" w:lineRule="exact"/>
        <w:rPr>
          <w:rFonts w:ascii="Arial" w:cs="Arial" w:eastAsia="Arial" w:hAnsi="Arial"/>
          <w:sz w:val="16"/>
          <w:szCs w:val="16"/>
          <w:color w:val="auto"/>
        </w:rPr>
      </w:pPr>
    </w:p>
    <w:p>
      <w:pPr>
        <w:jc w:val="both"/>
        <w:ind w:left="-4" w:firstLine="4"/>
        <w:spacing w:after="0" w:line="215" w:lineRule="auto"/>
        <w:tabs>
          <w:tab w:leader="none" w:pos="38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Best Efforts and Conflicts of Interest</w:t>
      </w:r>
      <w:r>
        <w:rPr>
          <w:rFonts w:ascii="Arial" w:cs="Arial" w:eastAsia="Arial" w:hAnsi="Arial"/>
          <w:sz w:val="17"/>
          <w:szCs w:val="17"/>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44" w:lineRule="exact"/>
        <w:rPr>
          <w:rFonts w:ascii="Arial" w:cs="Arial" w:eastAsia="Arial" w:hAnsi="Arial"/>
          <w:sz w:val="17"/>
          <w:szCs w:val="17"/>
          <w:color w:val="auto"/>
        </w:rPr>
      </w:pPr>
    </w:p>
    <w:p>
      <w:pPr>
        <w:jc w:val="both"/>
        <w:ind w:left="-4" w:firstLine="4"/>
        <w:spacing w:after="0" w:line="225" w:lineRule="auto"/>
        <w:tabs>
          <w:tab w:leader="none" w:pos="259"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Standards of Business Conduct and Ethics.</w:t>
      </w:r>
      <w:r>
        <w:rPr>
          <w:rFonts w:ascii="Arial" w:cs="Arial" w:eastAsia="Arial" w:hAnsi="Arial"/>
          <w:sz w:val="17"/>
          <w:szCs w:val="17"/>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76"/>
          </w:cols>
          <w:pgMar w:left="304" w:top="1440" w:right="319" w:bottom="1440" w:gutter="0" w:footer="0" w:header="0"/>
        </w:sectPr>
      </w:pPr>
    </w:p>
    <w:bookmarkStart w:id="138" w:name="page139"/>
    <w:bookmarkEnd w:id="138"/>
    <w:p>
      <w:pPr>
        <w:spacing w:after="0" w:line="75" w:lineRule="exact"/>
        <w:rPr>
          <w:sz w:val="20"/>
          <w:szCs w:val="20"/>
          <w:color w:val="auto"/>
        </w:rPr>
      </w:pPr>
    </w:p>
    <w:p>
      <w:pPr>
        <w:ind w:firstLine="4"/>
        <w:spacing w:after="0" w:line="235" w:lineRule="auto"/>
        <w:tabs>
          <w:tab w:leader="none" w:pos="422"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Debarment</w:t>
      </w:r>
      <w:r>
        <w:rPr>
          <w:rFonts w:ascii="Arial" w:cs="Arial" w:eastAsia="Arial" w:hAnsi="Arial"/>
          <w:sz w:val="17"/>
          <w:szCs w:val="17"/>
          <w:color w:val="auto"/>
        </w:rPr>
        <w:t>. You represent and warrant that you have not been debarred and will notify the Company immediately if you are debarred, pursuant to subsection 306(a) or 306(b) of the Federal Food, Drug, and Cosmetic Act.</w:t>
      </w:r>
    </w:p>
    <w:p>
      <w:pPr>
        <w:spacing w:after="0" w:line="144" w:lineRule="exact"/>
        <w:rPr>
          <w:rFonts w:ascii="Arial" w:cs="Arial" w:eastAsia="Arial" w:hAnsi="Arial"/>
          <w:sz w:val="17"/>
          <w:szCs w:val="17"/>
          <w:color w:val="auto"/>
        </w:rPr>
      </w:pPr>
    </w:p>
    <w:p>
      <w:pPr>
        <w:ind w:firstLine="4"/>
        <w:spacing w:after="0" w:line="235" w:lineRule="auto"/>
        <w:tabs>
          <w:tab w:leader="none" w:pos="432"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The waiver by either party of any provision of this Agreement shall not operate or be construed as a waiver of any subsequent breach.</w:t>
      </w:r>
    </w:p>
    <w:p>
      <w:pPr>
        <w:spacing w:after="0" w:line="163" w:lineRule="exact"/>
        <w:rPr>
          <w:sz w:val="20"/>
          <w:szCs w:val="20"/>
          <w:color w:val="auto"/>
        </w:rPr>
      </w:pPr>
    </w:p>
    <w:p>
      <w:pPr>
        <w:ind w:firstLine="4"/>
        <w:spacing w:after="0" w:line="235" w:lineRule="auto"/>
        <w:tabs>
          <w:tab w:leader="none" w:pos="379"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44" w:lineRule="exact"/>
        <w:rPr>
          <w:rFonts w:ascii="Arial" w:cs="Arial" w:eastAsia="Arial" w:hAnsi="Arial"/>
          <w:sz w:val="17"/>
          <w:szCs w:val="17"/>
          <w:color w:val="auto"/>
        </w:rPr>
      </w:pPr>
    </w:p>
    <w:p>
      <w:pPr>
        <w:ind w:firstLine="4"/>
        <w:spacing w:after="0" w:line="235" w:lineRule="auto"/>
        <w:tabs>
          <w:tab w:leader="none" w:pos="45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Governance</w:t>
      </w:r>
      <w:r>
        <w:rPr>
          <w:rFonts w:ascii="Arial" w:cs="Arial" w:eastAsia="Arial" w:hAnsi="Arial"/>
          <w:sz w:val="17"/>
          <w:szCs w:val="17"/>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44" w:lineRule="exact"/>
        <w:rPr>
          <w:rFonts w:ascii="Arial" w:cs="Arial" w:eastAsia="Arial" w:hAnsi="Arial"/>
          <w:sz w:val="17"/>
          <w:szCs w:val="17"/>
          <w:color w:val="auto"/>
        </w:rPr>
      </w:pPr>
    </w:p>
    <w:p>
      <w:pPr>
        <w:ind w:firstLine="4"/>
        <w:spacing w:after="0" w:line="235" w:lineRule="auto"/>
        <w:tabs>
          <w:tab w:leader="none" w:pos="40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44" w:lineRule="exact"/>
        <w:rPr>
          <w:rFonts w:ascii="Arial" w:cs="Arial" w:eastAsia="Arial" w:hAnsi="Arial"/>
          <w:sz w:val="17"/>
          <w:szCs w:val="17"/>
          <w:color w:val="auto"/>
        </w:rPr>
      </w:pPr>
    </w:p>
    <w:p>
      <w:pPr>
        <w:ind w:left="380" w:hanging="376"/>
        <w:spacing w:after="0"/>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Notwithstanding any termination of your employment, this Agreement shall survive and remain in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w:t>
      </w:r>
    </w:p>
    <w:p>
      <w:pPr>
        <w:ind w:firstLine="506"/>
        <w:spacing w:after="0" w:line="226" w:lineRule="auto"/>
        <w:rPr>
          <w:sz w:val="20"/>
          <w:szCs w:val="20"/>
          <w:color w:val="auto"/>
        </w:rPr>
      </w:pPr>
      <w:r>
        <w:rPr>
          <w:rFonts w:ascii="Arial" w:cs="Arial" w:eastAsia="Arial" w:hAnsi="Arial"/>
          <w:sz w:val="17"/>
          <w:szCs w:val="17"/>
          <w:color w:val="auto"/>
        </w:rPr>
        <w:t>This letter agreement may be signed in one or more counterparts, each of which shall be an original and all of which will constitute one and the same instrument.</w:t>
      </w:r>
    </w:p>
    <w:p>
      <w:pPr>
        <w:sectPr>
          <w:pgSz w:w="11900" w:h="16838" w:orient="portrait"/>
          <w:cols w:equalWidth="0" w:num="1">
            <w:col w:w="11280"/>
          </w:cols>
          <w:pgMar w:left="300" w:top="1440" w:right="31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Sincerely yours,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CUMBERLAND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147320</wp:posOffset>
            </wp:positionV>
            <wp:extent cx="2918460" cy="6356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2918460" cy="63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Stephanie Smith HRM, MBA</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Human Resource Manager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Accepted as to all terms and conditions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as of the 7th of March, 2022:</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11430</wp:posOffset>
            </wp:positionV>
            <wp:extent cx="442468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442468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A.J. Kazimi</w:t>
      </w:r>
    </w:p>
    <w:p>
      <w:pPr>
        <w:sectPr>
          <w:pgSz w:w="11900" w:h="16838" w:orient="portrait"/>
          <w:cols w:equalWidth="0" w:num="1">
            <w:col w:w="9420"/>
          </w:cols>
          <w:pgMar w:left="1340" w:top="1440" w:right="1139" w:bottom="1440" w:gutter="0" w:footer="0" w:header="0"/>
        </w:sectPr>
      </w:pPr>
    </w:p>
    <w:bookmarkStart w:id="140" w:name="page141"/>
    <w:bookmarkEnd w:id="140"/>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10.12</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Mr. Martin E. Cearnal</w:t>
      </w:r>
    </w:p>
    <w:p>
      <w:pPr>
        <w:spacing w:after="0" w:line="207" w:lineRule="auto"/>
        <w:rPr>
          <w:sz w:val="20"/>
          <w:szCs w:val="20"/>
          <w:color w:val="auto"/>
        </w:rPr>
      </w:pPr>
      <w:r>
        <w:rPr>
          <w:rFonts w:ascii="Arial" w:cs="Arial" w:eastAsia="Arial" w:hAnsi="Arial"/>
          <w:sz w:val="17"/>
          <w:szCs w:val="17"/>
          <w:color w:val="auto"/>
        </w:rPr>
        <w:t>2525 West End Avenue, Suite 950</w:t>
      </w:r>
    </w:p>
    <w:p>
      <w:pPr>
        <w:spacing w:after="0" w:line="207" w:lineRule="auto"/>
        <w:rPr>
          <w:sz w:val="20"/>
          <w:szCs w:val="20"/>
          <w:color w:val="auto"/>
        </w:rPr>
      </w:pPr>
      <w:r>
        <w:rPr>
          <w:rFonts w:ascii="Arial" w:cs="Arial" w:eastAsia="Arial" w:hAnsi="Arial"/>
          <w:sz w:val="17"/>
          <w:szCs w:val="17"/>
          <w:color w:val="auto"/>
        </w:rPr>
        <w:t>Nashville, TN 37203</w:t>
      </w:r>
    </w:p>
    <w:p>
      <w:pPr>
        <w:jc w:val="both"/>
        <w:ind w:left="460" w:hanging="505"/>
        <w:spacing w:after="0" w:line="226" w:lineRule="auto"/>
        <w:tabs>
          <w:tab w:leader="none" w:pos="440" w:val="left"/>
        </w:tabs>
        <w:rPr>
          <w:sz w:val="20"/>
          <w:szCs w:val="20"/>
          <w:color w:val="auto"/>
        </w:rPr>
      </w:pPr>
      <w:r>
        <w:rPr>
          <w:rFonts w:ascii="Arial" w:cs="Arial" w:eastAsia="Arial" w:hAnsi="Arial"/>
          <w:sz w:val="17"/>
          <w:szCs w:val="17"/>
          <w:color w:val="auto"/>
        </w:rPr>
        <w:t>Re:</w:t>
        <w:tab/>
        <w:t>Employment of Martine E. Cearnal as Executive Vice President, Chief Commercial Officer &amp; President of Cumberland Pharmaceuticals Sales Operations by Cumberland Pharmaceuticals Inc.</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Dear Martin,</w:t>
      </w:r>
    </w:p>
    <w:p>
      <w:pPr>
        <w:spacing w:after="0" w:line="163"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Effective January 1, 2022,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u w:val="single" w:color="auto"/>
          <w:color w:val="auto"/>
        </w:rPr>
        <w:t xml:space="preserve">Compensation. </w:t>
      </w:r>
      <w:r>
        <w:rPr>
          <w:rFonts w:ascii="Arial" w:cs="Arial" w:eastAsia="Arial" w:hAnsi="Arial"/>
          <w:sz w:val="15"/>
          <w:szCs w:val="15"/>
          <w:color w:val="auto"/>
        </w:rPr>
        <w:t>The Company agrees to compensate you as follows:</w:t>
      </w:r>
    </w:p>
    <w:p>
      <w:pPr>
        <w:spacing w:after="0" w:line="163" w:lineRule="exact"/>
        <w:rPr>
          <w:sz w:val="20"/>
          <w:szCs w:val="20"/>
          <w:color w:val="auto"/>
        </w:rPr>
      </w:pPr>
    </w:p>
    <w:p>
      <w:pPr>
        <w:jc w:val="both"/>
        <w:ind w:firstLine="4"/>
        <w:spacing w:after="0" w:line="208" w:lineRule="auto"/>
        <w:tabs>
          <w:tab w:leader="none" w:pos="4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agrees to pay you on a salary basis for services performed based on an annual rate of three hundred and fifty thousand dollars ($350,000.00), payable in arrears in equal monthly installments on the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46" w:lineRule="exact"/>
        <w:rPr>
          <w:rFonts w:ascii="Arial" w:cs="Arial" w:eastAsia="Arial" w:hAnsi="Arial"/>
          <w:sz w:val="17"/>
          <w:szCs w:val="17"/>
          <w:color w:val="auto"/>
        </w:rPr>
      </w:pPr>
    </w:p>
    <w:p>
      <w:pPr>
        <w:jc w:val="both"/>
        <w:ind w:firstLine="4"/>
        <w:spacing w:after="0" w:line="225" w:lineRule="auto"/>
        <w:tabs>
          <w:tab w:leader="none" w:pos="367" w:val="left"/>
        </w:tabs>
        <w:numPr>
          <w:ilvl w:val="0"/>
          <w:numId w:val="61"/>
        </w:numPr>
        <w:rPr>
          <w:rFonts w:ascii="Arial" w:cs="Arial" w:eastAsia="Arial" w:hAnsi="Arial"/>
          <w:sz w:val="17"/>
          <w:szCs w:val="17"/>
          <w:color w:val="auto"/>
        </w:rPr>
      </w:pPr>
      <w:r>
        <w:rPr>
          <w:rFonts w:ascii="Arial" w:cs="Arial" w:eastAsia="Arial" w:hAnsi="Arial"/>
          <w:sz w:val="17"/>
          <w:szCs w:val="17"/>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45" w:lineRule="exact"/>
        <w:rPr>
          <w:rFonts w:ascii="Arial" w:cs="Arial" w:eastAsia="Arial" w:hAnsi="Arial"/>
          <w:sz w:val="17"/>
          <w:szCs w:val="17"/>
          <w:color w:val="auto"/>
        </w:rPr>
      </w:pPr>
    </w:p>
    <w:p>
      <w:pPr>
        <w:jc w:val="both"/>
        <w:ind w:firstLine="4"/>
        <w:spacing w:after="0" w:line="239"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46" w:lineRule="exact"/>
        <w:rPr>
          <w:rFonts w:ascii="Arial" w:cs="Arial" w:eastAsia="Arial" w:hAnsi="Arial"/>
          <w:sz w:val="16"/>
          <w:szCs w:val="16"/>
          <w:color w:val="auto"/>
        </w:rPr>
      </w:pPr>
    </w:p>
    <w:p>
      <w:pPr>
        <w:jc w:val="both"/>
        <w:ind w:firstLine="4"/>
        <w:spacing w:after="0" w:line="239" w:lineRule="auto"/>
        <w:tabs>
          <w:tab w:leader="none" w:pos="391" w:val="left"/>
        </w:tabs>
        <w:numPr>
          <w:ilvl w:val="0"/>
          <w:numId w:val="61"/>
        </w:numPr>
        <w:rPr>
          <w:rFonts w:ascii="Arial" w:cs="Arial" w:eastAsia="Arial" w:hAnsi="Arial"/>
          <w:sz w:val="16"/>
          <w:szCs w:val="16"/>
          <w:color w:val="auto"/>
        </w:rPr>
      </w:pPr>
      <w:r>
        <w:rPr>
          <w:rFonts w:ascii="Arial" w:cs="Arial" w:eastAsia="Arial" w:hAnsi="Arial"/>
          <w:sz w:val="16"/>
          <w:szCs w:val="16"/>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80"/>
          </w:cols>
          <w:pgMar w:left="300" w:top="1440" w:right="319" w:bottom="1440" w:gutter="0" w:footer="0" w:header="0"/>
        </w:sectPr>
      </w:pPr>
    </w:p>
    <w:bookmarkStart w:id="141" w:name="page142"/>
    <w:bookmarkEnd w:id="141"/>
    <w:p>
      <w:pPr>
        <w:spacing w:after="0" w:line="264" w:lineRule="exact"/>
        <w:rPr>
          <w:sz w:val="20"/>
          <w:szCs w:val="20"/>
          <w:color w:val="auto"/>
        </w:rPr>
      </w:pPr>
    </w:p>
    <w:p>
      <w:pPr>
        <w:ind w:left="-4" w:firstLine="4"/>
        <w:spacing w:after="0" w:line="235" w:lineRule="auto"/>
        <w:tabs>
          <w:tab w:leader="none" w:pos="367"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set forth in Section 2, the Company shall not be liable to you for any expense incurred by you unless you receive the Company's prior written consent to reimburse you for such expense.</w:t>
      </w:r>
    </w:p>
    <w:p>
      <w:pPr>
        <w:spacing w:after="0" w:line="144" w:lineRule="exact"/>
        <w:rPr>
          <w:rFonts w:ascii="Arial" w:cs="Arial" w:eastAsia="Arial" w:hAnsi="Arial"/>
          <w:sz w:val="17"/>
          <w:szCs w:val="17"/>
          <w:color w:val="auto"/>
        </w:rPr>
      </w:pPr>
    </w:p>
    <w:p>
      <w:pPr>
        <w:jc w:val="both"/>
        <w:ind w:left="-4" w:firstLine="68"/>
        <w:spacing w:after="0" w:line="221" w:lineRule="auto"/>
        <w:tabs>
          <w:tab w:leader="none" w:pos="565"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Additional Payments</w:t>
      </w:r>
      <w:r>
        <w:rPr>
          <w:rFonts w:ascii="Arial" w:cs="Arial" w:eastAsia="Arial" w:hAnsi="Arial"/>
          <w:sz w:val="17"/>
          <w:szCs w:val="17"/>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44" w:lineRule="exact"/>
        <w:rPr>
          <w:sz w:val="20"/>
          <w:szCs w:val="20"/>
          <w:color w:val="auto"/>
        </w:rPr>
      </w:pPr>
    </w:p>
    <w:p>
      <w:pPr>
        <w:jc w:val="both"/>
        <w:ind w:left="-4" w:firstLine="4"/>
        <w:spacing w:after="0" w:line="239" w:lineRule="auto"/>
        <w:tabs>
          <w:tab w:leader="none" w:pos="29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Employment at Will</w:t>
      </w:r>
      <w:r>
        <w:rPr>
          <w:rFonts w:ascii="Arial" w:cs="Arial" w:eastAsia="Arial" w:hAnsi="Arial"/>
          <w:sz w:val="16"/>
          <w:szCs w:val="16"/>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46" w:lineRule="exact"/>
        <w:rPr>
          <w:rFonts w:ascii="Arial" w:cs="Arial" w:eastAsia="Arial" w:hAnsi="Arial"/>
          <w:sz w:val="16"/>
          <w:szCs w:val="16"/>
          <w:color w:val="auto"/>
        </w:rPr>
      </w:pPr>
    </w:p>
    <w:p>
      <w:pPr>
        <w:jc w:val="both"/>
        <w:ind w:left="-4" w:firstLine="4"/>
        <w:spacing w:after="0" w:line="228" w:lineRule="auto"/>
        <w:tabs>
          <w:tab w:leader="none" w:pos="36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46" w:lineRule="exact"/>
        <w:rPr>
          <w:rFonts w:ascii="Arial" w:cs="Arial" w:eastAsia="Arial" w:hAnsi="Arial"/>
          <w:sz w:val="16"/>
          <w:szCs w:val="16"/>
          <w:color w:val="auto"/>
        </w:rPr>
      </w:pPr>
    </w:p>
    <w:p>
      <w:pPr>
        <w:jc w:val="both"/>
        <w:ind w:left="-4" w:firstLine="4"/>
        <w:spacing w:after="0" w:line="225" w:lineRule="auto"/>
        <w:tabs>
          <w:tab w:leader="none" w:pos="29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Discoveries and Improvements</w:t>
      </w:r>
      <w:r>
        <w:rPr>
          <w:rFonts w:ascii="Arial" w:cs="Arial" w:eastAsia="Arial" w:hAnsi="Arial"/>
          <w:sz w:val="16"/>
          <w:szCs w:val="16"/>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76"/>
          </w:cols>
          <w:pgMar w:left="304" w:top="1440" w:right="319" w:bottom="1440" w:gutter="0" w:footer="0" w:header="0"/>
        </w:sectPr>
      </w:pPr>
    </w:p>
    <w:bookmarkStart w:id="142" w:name="page143"/>
    <w:bookmarkEnd w:id="142"/>
    <w:p>
      <w:pPr>
        <w:spacing w:after="0" w:line="75" w:lineRule="exact"/>
        <w:rPr>
          <w:sz w:val="20"/>
          <w:szCs w:val="20"/>
          <w:color w:val="auto"/>
        </w:rPr>
      </w:pPr>
    </w:p>
    <w:p>
      <w:pPr>
        <w:jc w:val="both"/>
        <w:ind w:left="-4" w:firstLine="4"/>
        <w:spacing w:after="0" w:line="254" w:lineRule="auto"/>
        <w:tabs>
          <w:tab w:leader="none" w:pos="312" w:val="left"/>
        </w:tabs>
        <w:numPr>
          <w:ilvl w:val="0"/>
          <w:numId w:val="64"/>
        </w:numPr>
        <w:rPr>
          <w:rFonts w:ascii="Arial" w:cs="Arial" w:eastAsia="Arial" w:hAnsi="Arial"/>
          <w:sz w:val="15"/>
          <w:szCs w:val="15"/>
          <w:color w:val="auto"/>
        </w:rPr>
      </w:pPr>
      <w:r>
        <w:rPr>
          <w:rFonts w:ascii="Arial" w:cs="Arial" w:eastAsia="Arial" w:hAnsi="Arial"/>
          <w:sz w:val="15"/>
          <w:szCs w:val="15"/>
          <w:u w:val="single" w:color="auto"/>
          <w:color w:val="auto"/>
        </w:rPr>
        <w:t>Publication</w:t>
      </w:r>
      <w:r>
        <w:rPr>
          <w:rFonts w:ascii="Arial" w:cs="Arial" w:eastAsia="Arial" w:hAnsi="Arial"/>
          <w:sz w:val="15"/>
          <w:szCs w:val="15"/>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34" w:lineRule="exact"/>
        <w:rPr>
          <w:rFonts w:ascii="Arial" w:cs="Arial" w:eastAsia="Arial" w:hAnsi="Arial"/>
          <w:sz w:val="15"/>
          <w:szCs w:val="15"/>
          <w:color w:val="auto"/>
        </w:rPr>
      </w:pPr>
    </w:p>
    <w:p>
      <w:pPr>
        <w:jc w:val="both"/>
        <w:ind w:left="-4" w:firstLine="4"/>
        <w:spacing w:after="0" w:line="239" w:lineRule="auto"/>
        <w:tabs>
          <w:tab w:leader="none" w:pos="29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46" w:lineRule="exact"/>
        <w:rPr>
          <w:rFonts w:ascii="Arial" w:cs="Arial" w:eastAsia="Arial" w:hAnsi="Arial"/>
          <w:sz w:val="16"/>
          <w:szCs w:val="16"/>
          <w:color w:val="auto"/>
        </w:rPr>
      </w:pPr>
    </w:p>
    <w:p>
      <w:pPr>
        <w:jc w:val="both"/>
        <w:ind w:left="-4" w:firstLine="4"/>
        <w:spacing w:after="0" w:line="223" w:lineRule="auto"/>
        <w:tabs>
          <w:tab w:leader="none" w:pos="29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Competition</w:t>
      </w:r>
      <w:r>
        <w:rPr>
          <w:rFonts w:ascii="Arial" w:cs="Arial" w:eastAsia="Arial" w:hAnsi="Arial"/>
          <w:sz w:val="16"/>
          <w:szCs w:val="16"/>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55" w:lineRule="exact"/>
        <w:rPr>
          <w:rFonts w:ascii="Arial" w:cs="Arial" w:eastAsia="Arial" w:hAnsi="Arial"/>
          <w:sz w:val="16"/>
          <w:szCs w:val="16"/>
          <w:color w:val="auto"/>
        </w:rPr>
      </w:pPr>
    </w:p>
    <w:p>
      <w:pPr>
        <w:jc w:val="both"/>
        <w:ind w:left="-4" w:firstLine="4"/>
        <w:spacing w:after="0" w:line="221" w:lineRule="auto"/>
        <w:tabs>
          <w:tab w:leader="none" w:pos="32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Conflicting Contracts</w:t>
      </w:r>
      <w:r>
        <w:rPr>
          <w:rFonts w:ascii="Arial" w:cs="Arial" w:eastAsia="Arial" w:hAnsi="Arial"/>
          <w:sz w:val="17"/>
          <w:szCs w:val="17"/>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44" w:lineRule="exact"/>
        <w:rPr>
          <w:rFonts w:ascii="Arial" w:cs="Arial" w:eastAsia="Arial" w:hAnsi="Arial"/>
          <w:sz w:val="17"/>
          <w:szCs w:val="17"/>
          <w:color w:val="auto"/>
        </w:rPr>
      </w:pPr>
    </w:p>
    <w:p>
      <w:pPr>
        <w:ind w:left="376" w:hanging="376"/>
        <w:spacing w:after="0"/>
        <w:tabs>
          <w:tab w:leader="none" w:pos="37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Solicitation</w:t>
      </w:r>
      <w:r>
        <w:rPr>
          <w:rFonts w:ascii="Arial" w:cs="Arial" w:eastAsia="Arial" w:hAnsi="Arial"/>
          <w:sz w:val="17"/>
          <w:szCs w:val="17"/>
          <w:color w:val="auto"/>
        </w:rPr>
        <w:t>. After you cease to be employed by the Company (or a Company affiliate):</w:t>
      </w:r>
    </w:p>
    <w:p>
      <w:pPr>
        <w:sectPr>
          <w:pgSz w:w="11900" w:h="16838" w:orient="portrait"/>
          <w:cols w:equalWidth="0" w:num="1">
            <w:col w:w="11276"/>
          </w:cols>
          <w:pgMar w:left="304" w:top="1440" w:right="319" w:bottom="1440" w:gutter="0" w:footer="0" w:header="0"/>
        </w:sectPr>
      </w:pPr>
    </w:p>
    <w:bookmarkStart w:id="143" w:name="page144"/>
    <w:bookmarkEnd w:id="143"/>
    <w:p>
      <w:pPr>
        <w:spacing w:after="0" w:line="264" w:lineRule="exact"/>
        <w:rPr>
          <w:sz w:val="20"/>
          <w:szCs w:val="20"/>
          <w:color w:val="auto"/>
        </w:rPr>
      </w:pPr>
    </w:p>
    <w:p>
      <w:pPr>
        <w:jc w:val="both"/>
        <w:ind w:left="-4" w:firstLine="4"/>
        <w:spacing w:after="0" w:line="231" w:lineRule="auto"/>
        <w:tabs>
          <w:tab w:leader="none" w:pos="3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47" w:lineRule="exact"/>
        <w:rPr>
          <w:rFonts w:ascii="Arial" w:cs="Arial" w:eastAsia="Arial" w:hAnsi="Arial"/>
          <w:sz w:val="16"/>
          <w:szCs w:val="16"/>
          <w:color w:val="auto"/>
        </w:rPr>
      </w:pPr>
    </w:p>
    <w:p>
      <w:pPr>
        <w:ind w:left="356" w:hanging="356"/>
        <w:spacing w:after="0"/>
        <w:tabs>
          <w:tab w:leader="none" w:pos="356" w:val="left"/>
        </w:tabs>
        <w:numPr>
          <w:ilvl w:val="0"/>
          <w:numId w:val="65"/>
        </w:numPr>
        <w:rPr>
          <w:rFonts w:ascii="Arial" w:cs="Arial" w:eastAsia="Arial" w:hAnsi="Arial"/>
          <w:sz w:val="15"/>
          <w:szCs w:val="15"/>
          <w:color w:val="auto"/>
        </w:rPr>
      </w:pPr>
      <w:r>
        <w:rPr>
          <w:rFonts w:ascii="Arial" w:cs="Arial" w:eastAsia="Arial" w:hAnsi="Arial"/>
          <w:sz w:val="15"/>
          <w:szCs w:val="15"/>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4" w:firstLine="4"/>
        <w:spacing w:after="0" w:line="225" w:lineRule="auto"/>
        <w:tabs>
          <w:tab w:leader="none" w:pos="39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Return of Documents</w:t>
      </w:r>
      <w:r>
        <w:rPr>
          <w:rFonts w:ascii="Arial" w:cs="Arial" w:eastAsia="Arial" w:hAnsi="Arial"/>
          <w:sz w:val="17"/>
          <w:szCs w:val="17"/>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45" w:lineRule="exact"/>
        <w:rPr>
          <w:rFonts w:ascii="Arial" w:cs="Arial" w:eastAsia="Arial" w:hAnsi="Arial"/>
          <w:sz w:val="17"/>
          <w:szCs w:val="17"/>
          <w:color w:val="auto"/>
        </w:rPr>
      </w:pPr>
    </w:p>
    <w:p>
      <w:pPr>
        <w:jc w:val="both"/>
        <w:ind w:left="-4" w:firstLine="4"/>
        <w:spacing w:after="0" w:line="231"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47" w:lineRule="exact"/>
        <w:rPr>
          <w:rFonts w:ascii="Arial" w:cs="Arial" w:eastAsia="Arial" w:hAnsi="Arial"/>
          <w:sz w:val="16"/>
          <w:szCs w:val="16"/>
          <w:color w:val="auto"/>
        </w:rPr>
      </w:pPr>
    </w:p>
    <w:p>
      <w:pPr>
        <w:jc w:val="both"/>
        <w:ind w:left="-4" w:firstLine="4"/>
        <w:spacing w:after="0" w:line="215" w:lineRule="auto"/>
        <w:tabs>
          <w:tab w:leader="none" w:pos="38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Best Efforts and Conflicts of Interest</w:t>
      </w:r>
      <w:r>
        <w:rPr>
          <w:rFonts w:ascii="Arial" w:cs="Arial" w:eastAsia="Arial" w:hAnsi="Arial"/>
          <w:sz w:val="17"/>
          <w:szCs w:val="17"/>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44" w:lineRule="exact"/>
        <w:rPr>
          <w:rFonts w:ascii="Arial" w:cs="Arial" w:eastAsia="Arial" w:hAnsi="Arial"/>
          <w:sz w:val="17"/>
          <w:szCs w:val="17"/>
          <w:color w:val="auto"/>
        </w:rPr>
      </w:pPr>
    </w:p>
    <w:p>
      <w:pPr>
        <w:jc w:val="both"/>
        <w:ind w:left="-4" w:firstLine="4"/>
        <w:spacing w:after="0" w:line="225" w:lineRule="auto"/>
        <w:tabs>
          <w:tab w:leader="none" w:pos="259"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Standards of Business Conduct and Ethics.</w:t>
      </w:r>
      <w:r>
        <w:rPr>
          <w:rFonts w:ascii="Arial" w:cs="Arial" w:eastAsia="Arial" w:hAnsi="Arial"/>
          <w:sz w:val="17"/>
          <w:szCs w:val="17"/>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76"/>
          </w:cols>
          <w:pgMar w:left="304" w:top="1440" w:right="319" w:bottom="1440" w:gutter="0" w:footer="0" w:header="0"/>
        </w:sectPr>
      </w:pPr>
    </w:p>
    <w:bookmarkStart w:id="144" w:name="page145"/>
    <w:bookmarkEnd w:id="144"/>
    <w:p>
      <w:pPr>
        <w:spacing w:after="0" w:line="75" w:lineRule="exact"/>
        <w:rPr>
          <w:sz w:val="20"/>
          <w:szCs w:val="20"/>
          <w:color w:val="auto"/>
        </w:rPr>
      </w:pPr>
    </w:p>
    <w:p>
      <w:pPr>
        <w:ind w:firstLine="4"/>
        <w:spacing w:after="0" w:line="235" w:lineRule="auto"/>
        <w:tabs>
          <w:tab w:leader="none" w:pos="42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Debarment</w:t>
      </w:r>
      <w:r>
        <w:rPr>
          <w:rFonts w:ascii="Arial" w:cs="Arial" w:eastAsia="Arial" w:hAnsi="Arial"/>
          <w:sz w:val="17"/>
          <w:szCs w:val="17"/>
          <w:color w:val="auto"/>
        </w:rPr>
        <w:t>. You represent and warrant that you have not been debarred and will notify the Company immediately if you are debarred, pursuant to subsection 306(a) or 306(b) of the Federal Food, Drug, and Cosmetic Act.</w:t>
      </w:r>
    </w:p>
    <w:p>
      <w:pPr>
        <w:spacing w:after="0" w:line="144" w:lineRule="exact"/>
        <w:rPr>
          <w:rFonts w:ascii="Arial" w:cs="Arial" w:eastAsia="Arial" w:hAnsi="Arial"/>
          <w:sz w:val="17"/>
          <w:szCs w:val="17"/>
          <w:color w:val="auto"/>
        </w:rPr>
      </w:pPr>
    </w:p>
    <w:p>
      <w:pPr>
        <w:ind w:firstLine="4"/>
        <w:spacing w:after="0" w:line="235" w:lineRule="auto"/>
        <w:tabs>
          <w:tab w:leader="none" w:pos="43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The waiver by either party of any provision of this Agreement shall not operate or be construed as a waiver of any subsequent breach.</w:t>
      </w:r>
    </w:p>
    <w:p>
      <w:pPr>
        <w:spacing w:after="0" w:line="163" w:lineRule="exact"/>
        <w:rPr>
          <w:sz w:val="20"/>
          <w:szCs w:val="20"/>
          <w:color w:val="auto"/>
        </w:rPr>
      </w:pPr>
    </w:p>
    <w:p>
      <w:pPr>
        <w:ind w:firstLine="4"/>
        <w:spacing w:after="0" w:line="235" w:lineRule="auto"/>
        <w:tabs>
          <w:tab w:leader="none" w:pos="379"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44" w:lineRule="exact"/>
        <w:rPr>
          <w:rFonts w:ascii="Arial" w:cs="Arial" w:eastAsia="Arial" w:hAnsi="Arial"/>
          <w:sz w:val="17"/>
          <w:szCs w:val="17"/>
          <w:color w:val="auto"/>
        </w:rPr>
      </w:pPr>
    </w:p>
    <w:p>
      <w:pPr>
        <w:ind w:firstLine="4"/>
        <w:spacing w:after="0" w:line="235" w:lineRule="auto"/>
        <w:tabs>
          <w:tab w:leader="none" w:pos="453"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Governance</w:t>
      </w:r>
      <w:r>
        <w:rPr>
          <w:rFonts w:ascii="Arial" w:cs="Arial" w:eastAsia="Arial" w:hAnsi="Arial"/>
          <w:sz w:val="17"/>
          <w:szCs w:val="17"/>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44" w:lineRule="exact"/>
        <w:rPr>
          <w:rFonts w:ascii="Arial" w:cs="Arial" w:eastAsia="Arial" w:hAnsi="Arial"/>
          <w:sz w:val="17"/>
          <w:szCs w:val="17"/>
          <w:color w:val="auto"/>
        </w:rPr>
      </w:pPr>
    </w:p>
    <w:p>
      <w:pPr>
        <w:ind w:firstLine="4"/>
        <w:spacing w:after="0" w:line="235" w:lineRule="auto"/>
        <w:tabs>
          <w:tab w:leader="none" w:pos="40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44" w:lineRule="exact"/>
        <w:rPr>
          <w:rFonts w:ascii="Arial" w:cs="Arial" w:eastAsia="Arial" w:hAnsi="Arial"/>
          <w:sz w:val="17"/>
          <w:szCs w:val="17"/>
          <w:color w:val="auto"/>
        </w:rPr>
      </w:pPr>
    </w:p>
    <w:p>
      <w:pPr>
        <w:ind w:left="380" w:hanging="376"/>
        <w:spacing w:after="0"/>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1" w:lineRule="exact"/>
        <w:rPr>
          <w:rFonts w:ascii="Arial" w:cs="Arial" w:eastAsia="Arial" w:hAnsi="Arial"/>
          <w:sz w:val="17"/>
          <w:szCs w:val="17"/>
          <w:color w:val="auto"/>
        </w:rPr>
      </w:pPr>
    </w:p>
    <w:p>
      <w:pPr>
        <w:ind w:left="5540" w:hanging="128"/>
        <w:spacing w:after="0"/>
        <w:tabs>
          <w:tab w:leader="none" w:pos="55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 # #</w:t>
      </w:r>
    </w:p>
    <w:p>
      <w:pPr>
        <w:sectPr>
          <w:pgSz w:w="11900" w:h="16838" w:orient="portrait"/>
          <w:cols w:equalWidth="0" w:num="1">
            <w:col w:w="11280"/>
          </w:cols>
          <w:pgMar w:left="300" w:top="1440" w:right="319" w:bottom="1440" w:gutter="0" w:footer="0" w:header="0"/>
        </w:sectPr>
      </w:pPr>
    </w:p>
    <w:bookmarkStart w:id="145" w:name="page146"/>
    <w:bookmarkEnd w:id="145"/>
    <w:p>
      <w:pPr>
        <w:spacing w:after="0" w:line="200" w:lineRule="exact"/>
        <w:rPr>
          <w:sz w:val="20"/>
          <w:szCs w:val="20"/>
          <w:color w:val="auto"/>
        </w:rPr>
      </w:pPr>
    </w:p>
    <w:p>
      <w:pPr>
        <w:spacing w:after="0" w:line="254" w:lineRule="exact"/>
        <w:rPr>
          <w:sz w:val="20"/>
          <w:szCs w:val="20"/>
          <w:color w:val="auto"/>
        </w:rPr>
      </w:pPr>
    </w:p>
    <w:p>
      <w:pPr>
        <w:ind w:firstLine="506"/>
        <w:spacing w:after="0" w:line="235" w:lineRule="auto"/>
        <w:rPr>
          <w:sz w:val="20"/>
          <w:szCs w:val="20"/>
          <w:color w:val="auto"/>
        </w:rPr>
      </w:pPr>
      <w:r>
        <w:rPr>
          <w:rFonts w:ascii="Arial" w:cs="Arial" w:eastAsia="Arial" w:hAnsi="Arial"/>
          <w:sz w:val="17"/>
          <w:szCs w:val="17"/>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372"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Sincerely yours,</w:t>
      </w:r>
    </w:p>
    <w:p>
      <w:pPr>
        <w:spacing w:after="0" w:line="1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CUMBERLAND PHARMACEUTICALS INC.</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11430</wp:posOffset>
            </wp:positionV>
            <wp:extent cx="310578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3105785" cy="6985"/>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7"/>
          <w:szCs w:val="17"/>
          <w:color w:val="auto"/>
        </w:rPr>
        <w:t>By:</w:t>
        <w:tab/>
        <w:t>A.J. Kazimi</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Accepted as to all terms and conditions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of the 7th of March, 2022:</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Martin E. Cearnal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442468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4424680" cy="698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Martin E. Cearnal</w:t>
      </w:r>
    </w:p>
    <w:p>
      <w:pPr>
        <w:sectPr>
          <w:pgSz w:w="11900" w:h="16838" w:orient="portrait"/>
          <w:cols w:equalWidth="0" w:num="1">
            <w:col w:w="11280"/>
          </w:cols>
          <w:pgMar w:left="300" w:top="1440" w:right="319" w:bottom="1440" w:gutter="0" w:footer="0" w:header="0"/>
        </w:sectPr>
      </w:pPr>
    </w:p>
    <w:bookmarkStart w:id="146" w:name="page147"/>
    <w:bookmarkEnd w:id="146"/>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10.13</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Mr. Leo Pavliv</w:t>
      </w:r>
    </w:p>
    <w:p>
      <w:pPr>
        <w:spacing w:after="0" w:line="207" w:lineRule="auto"/>
        <w:rPr>
          <w:sz w:val="20"/>
          <w:szCs w:val="20"/>
          <w:color w:val="auto"/>
        </w:rPr>
      </w:pPr>
      <w:r>
        <w:rPr>
          <w:rFonts w:ascii="Arial" w:cs="Arial" w:eastAsia="Arial" w:hAnsi="Arial"/>
          <w:sz w:val="17"/>
          <w:szCs w:val="17"/>
          <w:color w:val="auto"/>
        </w:rPr>
        <w:t>2525 West End Avenue, Suite 950</w:t>
      </w:r>
    </w:p>
    <w:p>
      <w:pPr>
        <w:spacing w:after="0" w:line="207" w:lineRule="auto"/>
        <w:rPr>
          <w:sz w:val="20"/>
          <w:szCs w:val="20"/>
          <w:color w:val="auto"/>
        </w:rPr>
      </w:pPr>
      <w:r>
        <w:rPr>
          <w:rFonts w:ascii="Arial" w:cs="Arial" w:eastAsia="Arial" w:hAnsi="Arial"/>
          <w:sz w:val="17"/>
          <w:szCs w:val="17"/>
          <w:color w:val="auto"/>
        </w:rPr>
        <w:t>Nashville, TN 37203</w:t>
      </w:r>
    </w:p>
    <w:p>
      <w:pPr>
        <w:ind w:right="1700"/>
        <w:spacing w:after="0" w:line="431" w:lineRule="auto"/>
        <w:rPr>
          <w:sz w:val="20"/>
          <w:szCs w:val="20"/>
          <w:color w:val="auto"/>
        </w:rPr>
      </w:pPr>
      <w:r>
        <w:rPr>
          <w:rFonts w:ascii="Arial" w:cs="Arial" w:eastAsia="Arial" w:hAnsi="Arial"/>
          <w:sz w:val="17"/>
          <w:szCs w:val="17"/>
          <w:color w:val="auto"/>
        </w:rPr>
        <w:t>Re: Employment of Leo Pavliv as Executive Vice President, Chief Development &amp; Operations Officer by Cumberland Pharmaceuticals Inc. Dear Leo,</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Effective January 1, 2022,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u w:val="single" w:color="auto"/>
          <w:color w:val="auto"/>
        </w:rPr>
        <w:t xml:space="preserve">Compensation. </w:t>
      </w:r>
      <w:r>
        <w:rPr>
          <w:rFonts w:ascii="Arial" w:cs="Arial" w:eastAsia="Arial" w:hAnsi="Arial"/>
          <w:sz w:val="15"/>
          <w:szCs w:val="15"/>
          <w:color w:val="auto"/>
        </w:rPr>
        <w:t>The Company agrees to compensate you as follows:</w:t>
      </w:r>
    </w:p>
    <w:p>
      <w:pPr>
        <w:spacing w:after="0" w:line="163" w:lineRule="exact"/>
        <w:rPr>
          <w:sz w:val="20"/>
          <w:szCs w:val="20"/>
          <w:color w:val="auto"/>
        </w:rPr>
      </w:pPr>
    </w:p>
    <w:p>
      <w:pPr>
        <w:jc w:val="both"/>
        <w:ind w:firstLine="4"/>
        <w:spacing w:after="0" w:line="208" w:lineRule="auto"/>
        <w:tabs>
          <w:tab w:leader="none" w:pos="37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agrees to pay you on a salary basis for services performed based on an annual rate of four hundred and fifty-five thousand dollars ($455,000.00), payable in arrears in equal monthly installments on the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46" w:lineRule="exact"/>
        <w:rPr>
          <w:rFonts w:ascii="Arial" w:cs="Arial" w:eastAsia="Arial" w:hAnsi="Arial"/>
          <w:sz w:val="17"/>
          <w:szCs w:val="17"/>
          <w:color w:val="auto"/>
        </w:rPr>
      </w:pPr>
    </w:p>
    <w:p>
      <w:pPr>
        <w:jc w:val="both"/>
        <w:ind w:firstLine="4"/>
        <w:spacing w:after="0" w:line="225" w:lineRule="auto"/>
        <w:tabs>
          <w:tab w:leader="none" w:pos="367" w:val="left"/>
        </w:tabs>
        <w:numPr>
          <w:ilvl w:val="0"/>
          <w:numId w:val="69"/>
        </w:numPr>
        <w:rPr>
          <w:rFonts w:ascii="Arial" w:cs="Arial" w:eastAsia="Arial" w:hAnsi="Arial"/>
          <w:sz w:val="17"/>
          <w:szCs w:val="17"/>
          <w:color w:val="auto"/>
        </w:rPr>
      </w:pPr>
      <w:r>
        <w:rPr>
          <w:rFonts w:ascii="Arial" w:cs="Arial" w:eastAsia="Arial" w:hAnsi="Arial"/>
          <w:sz w:val="17"/>
          <w:szCs w:val="17"/>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45" w:lineRule="exact"/>
        <w:rPr>
          <w:rFonts w:ascii="Arial" w:cs="Arial" w:eastAsia="Arial" w:hAnsi="Arial"/>
          <w:sz w:val="17"/>
          <w:szCs w:val="17"/>
          <w:color w:val="auto"/>
        </w:rPr>
      </w:pPr>
    </w:p>
    <w:p>
      <w:pPr>
        <w:jc w:val="both"/>
        <w:ind w:firstLine="4"/>
        <w:spacing w:after="0" w:line="239" w:lineRule="auto"/>
        <w:tabs>
          <w:tab w:leader="none" w:pos="3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46" w:lineRule="exact"/>
        <w:rPr>
          <w:rFonts w:ascii="Arial" w:cs="Arial" w:eastAsia="Arial" w:hAnsi="Arial"/>
          <w:sz w:val="16"/>
          <w:szCs w:val="16"/>
          <w:color w:val="auto"/>
        </w:rPr>
      </w:pPr>
    </w:p>
    <w:p>
      <w:pPr>
        <w:jc w:val="both"/>
        <w:ind w:firstLine="4"/>
        <w:spacing w:after="0" w:line="239" w:lineRule="auto"/>
        <w:tabs>
          <w:tab w:leader="none" w:pos="391" w:val="left"/>
        </w:tabs>
        <w:numPr>
          <w:ilvl w:val="0"/>
          <w:numId w:val="69"/>
        </w:numPr>
        <w:rPr>
          <w:rFonts w:ascii="Arial" w:cs="Arial" w:eastAsia="Arial" w:hAnsi="Arial"/>
          <w:sz w:val="16"/>
          <w:szCs w:val="16"/>
          <w:color w:val="auto"/>
        </w:rPr>
      </w:pPr>
      <w:r>
        <w:rPr>
          <w:rFonts w:ascii="Arial" w:cs="Arial" w:eastAsia="Arial" w:hAnsi="Arial"/>
          <w:sz w:val="16"/>
          <w:szCs w:val="16"/>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80"/>
          </w:cols>
          <w:pgMar w:left="300" w:top="1440" w:right="319" w:bottom="1440" w:gutter="0" w:footer="0" w:header="0"/>
        </w:sectPr>
      </w:pPr>
    </w:p>
    <w:bookmarkStart w:id="147" w:name="page148"/>
    <w:bookmarkEnd w:id="147"/>
    <w:p>
      <w:pPr>
        <w:spacing w:after="0" w:line="75" w:lineRule="exact"/>
        <w:rPr>
          <w:sz w:val="20"/>
          <w:szCs w:val="20"/>
          <w:color w:val="auto"/>
        </w:rPr>
      </w:pPr>
    </w:p>
    <w:p>
      <w:pPr>
        <w:ind w:left="-4" w:firstLine="4"/>
        <w:spacing w:after="0" w:line="235" w:lineRule="auto"/>
        <w:tabs>
          <w:tab w:leader="none" w:pos="367"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Except as set forth in Section 2, the Company shall not be liable to you for any expense incurred by you unless you receive the Company's prior written consent to reimburse you for such expense.</w:t>
      </w:r>
    </w:p>
    <w:p>
      <w:pPr>
        <w:spacing w:after="0" w:line="144" w:lineRule="exact"/>
        <w:rPr>
          <w:rFonts w:ascii="Arial" w:cs="Arial" w:eastAsia="Arial" w:hAnsi="Arial"/>
          <w:sz w:val="17"/>
          <w:szCs w:val="17"/>
          <w:color w:val="auto"/>
        </w:rPr>
      </w:pPr>
    </w:p>
    <w:p>
      <w:pPr>
        <w:jc w:val="both"/>
        <w:ind w:left="-4" w:firstLine="68"/>
        <w:spacing w:after="0" w:line="221" w:lineRule="auto"/>
        <w:tabs>
          <w:tab w:leader="none" w:pos="565"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Additional Payments</w:t>
      </w:r>
      <w:r>
        <w:rPr>
          <w:rFonts w:ascii="Arial" w:cs="Arial" w:eastAsia="Arial" w:hAnsi="Arial"/>
          <w:sz w:val="17"/>
          <w:szCs w:val="17"/>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44" w:lineRule="exact"/>
        <w:rPr>
          <w:sz w:val="20"/>
          <w:szCs w:val="20"/>
          <w:color w:val="auto"/>
        </w:rPr>
      </w:pPr>
    </w:p>
    <w:p>
      <w:pPr>
        <w:jc w:val="both"/>
        <w:ind w:left="-4" w:firstLine="4"/>
        <w:spacing w:after="0" w:line="239" w:lineRule="auto"/>
        <w:tabs>
          <w:tab w:leader="none" w:pos="29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Employment at Will</w:t>
      </w:r>
      <w:r>
        <w:rPr>
          <w:rFonts w:ascii="Arial" w:cs="Arial" w:eastAsia="Arial" w:hAnsi="Arial"/>
          <w:sz w:val="16"/>
          <w:szCs w:val="16"/>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46" w:lineRule="exact"/>
        <w:rPr>
          <w:rFonts w:ascii="Arial" w:cs="Arial" w:eastAsia="Arial" w:hAnsi="Arial"/>
          <w:sz w:val="16"/>
          <w:szCs w:val="16"/>
          <w:color w:val="auto"/>
        </w:rPr>
      </w:pPr>
    </w:p>
    <w:p>
      <w:pPr>
        <w:jc w:val="both"/>
        <w:ind w:left="-4" w:firstLine="4"/>
        <w:spacing w:after="0" w:line="228" w:lineRule="auto"/>
        <w:tabs>
          <w:tab w:leader="none" w:pos="36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46" w:lineRule="exact"/>
        <w:rPr>
          <w:rFonts w:ascii="Arial" w:cs="Arial" w:eastAsia="Arial" w:hAnsi="Arial"/>
          <w:sz w:val="16"/>
          <w:szCs w:val="16"/>
          <w:color w:val="auto"/>
        </w:rPr>
      </w:pPr>
    </w:p>
    <w:p>
      <w:pPr>
        <w:jc w:val="both"/>
        <w:ind w:left="-4" w:firstLine="4"/>
        <w:spacing w:after="0" w:line="225" w:lineRule="auto"/>
        <w:tabs>
          <w:tab w:leader="none" w:pos="29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Discoveries and Improvements</w:t>
      </w:r>
      <w:r>
        <w:rPr>
          <w:rFonts w:ascii="Arial" w:cs="Arial" w:eastAsia="Arial" w:hAnsi="Arial"/>
          <w:sz w:val="16"/>
          <w:szCs w:val="16"/>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76"/>
          </w:cols>
          <w:pgMar w:left="304" w:top="1440" w:right="319" w:bottom="1440" w:gutter="0" w:footer="0" w:header="0"/>
        </w:sectPr>
      </w:pPr>
    </w:p>
    <w:bookmarkStart w:id="148" w:name="page149"/>
    <w:bookmarkEnd w:id="148"/>
    <w:p>
      <w:pPr>
        <w:spacing w:after="0" w:line="75" w:lineRule="exact"/>
        <w:rPr>
          <w:sz w:val="20"/>
          <w:szCs w:val="20"/>
          <w:color w:val="auto"/>
        </w:rPr>
      </w:pPr>
    </w:p>
    <w:p>
      <w:pPr>
        <w:jc w:val="both"/>
        <w:ind w:left="-4" w:firstLine="4"/>
        <w:spacing w:after="0" w:line="254" w:lineRule="auto"/>
        <w:tabs>
          <w:tab w:leader="none" w:pos="312"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Publication</w:t>
      </w:r>
      <w:r>
        <w:rPr>
          <w:rFonts w:ascii="Arial" w:cs="Arial" w:eastAsia="Arial" w:hAnsi="Arial"/>
          <w:sz w:val="15"/>
          <w:szCs w:val="15"/>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34" w:lineRule="exact"/>
        <w:rPr>
          <w:rFonts w:ascii="Arial" w:cs="Arial" w:eastAsia="Arial" w:hAnsi="Arial"/>
          <w:sz w:val="15"/>
          <w:szCs w:val="15"/>
          <w:color w:val="auto"/>
        </w:rPr>
      </w:pPr>
    </w:p>
    <w:p>
      <w:pPr>
        <w:jc w:val="both"/>
        <w:ind w:left="-4" w:firstLine="4"/>
        <w:spacing w:after="0" w:line="239" w:lineRule="auto"/>
        <w:tabs>
          <w:tab w:leader="none" w:pos="29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46" w:lineRule="exact"/>
        <w:rPr>
          <w:rFonts w:ascii="Arial" w:cs="Arial" w:eastAsia="Arial" w:hAnsi="Arial"/>
          <w:sz w:val="16"/>
          <w:szCs w:val="16"/>
          <w:color w:val="auto"/>
        </w:rPr>
      </w:pPr>
    </w:p>
    <w:p>
      <w:pPr>
        <w:jc w:val="both"/>
        <w:ind w:left="-4" w:firstLine="4"/>
        <w:spacing w:after="0" w:line="223" w:lineRule="auto"/>
        <w:tabs>
          <w:tab w:leader="none" w:pos="29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Competition</w:t>
      </w:r>
      <w:r>
        <w:rPr>
          <w:rFonts w:ascii="Arial" w:cs="Arial" w:eastAsia="Arial" w:hAnsi="Arial"/>
          <w:sz w:val="16"/>
          <w:szCs w:val="16"/>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55" w:lineRule="exact"/>
        <w:rPr>
          <w:rFonts w:ascii="Arial" w:cs="Arial" w:eastAsia="Arial" w:hAnsi="Arial"/>
          <w:sz w:val="16"/>
          <w:szCs w:val="16"/>
          <w:color w:val="auto"/>
        </w:rPr>
      </w:pPr>
    </w:p>
    <w:p>
      <w:pPr>
        <w:jc w:val="both"/>
        <w:ind w:left="-4" w:firstLine="4"/>
        <w:spacing w:after="0" w:line="221" w:lineRule="auto"/>
        <w:tabs>
          <w:tab w:leader="none" w:pos="32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Conflicting Contracts</w:t>
      </w:r>
      <w:r>
        <w:rPr>
          <w:rFonts w:ascii="Arial" w:cs="Arial" w:eastAsia="Arial" w:hAnsi="Arial"/>
          <w:sz w:val="17"/>
          <w:szCs w:val="17"/>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44" w:lineRule="exact"/>
        <w:rPr>
          <w:rFonts w:ascii="Arial" w:cs="Arial" w:eastAsia="Arial" w:hAnsi="Arial"/>
          <w:sz w:val="17"/>
          <w:szCs w:val="17"/>
          <w:color w:val="auto"/>
        </w:rPr>
      </w:pPr>
    </w:p>
    <w:p>
      <w:pPr>
        <w:ind w:left="376" w:hanging="376"/>
        <w:spacing w:after="0"/>
        <w:tabs>
          <w:tab w:leader="none" w:pos="376"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Solicitation</w:t>
      </w:r>
      <w:r>
        <w:rPr>
          <w:rFonts w:ascii="Arial" w:cs="Arial" w:eastAsia="Arial" w:hAnsi="Arial"/>
          <w:sz w:val="17"/>
          <w:szCs w:val="17"/>
          <w:color w:val="auto"/>
        </w:rPr>
        <w:t>. After you cease to be employed by the Company (or a Company affiliate):</w:t>
      </w:r>
    </w:p>
    <w:p>
      <w:pPr>
        <w:sectPr>
          <w:pgSz w:w="11900" w:h="16838" w:orient="portrait"/>
          <w:cols w:equalWidth="0" w:num="1">
            <w:col w:w="11276"/>
          </w:cols>
          <w:pgMar w:left="304" w:top="1440" w:right="319" w:bottom="1440" w:gutter="0" w:footer="0" w:header="0"/>
        </w:sectPr>
      </w:pPr>
    </w:p>
    <w:bookmarkStart w:id="149" w:name="page150"/>
    <w:bookmarkEnd w:id="149"/>
    <w:p>
      <w:pPr>
        <w:spacing w:after="0" w:line="264" w:lineRule="exact"/>
        <w:rPr>
          <w:sz w:val="20"/>
          <w:szCs w:val="20"/>
          <w:color w:val="auto"/>
        </w:rPr>
      </w:pPr>
    </w:p>
    <w:p>
      <w:pPr>
        <w:jc w:val="both"/>
        <w:ind w:left="-4" w:firstLine="4"/>
        <w:spacing w:after="0" w:line="231" w:lineRule="auto"/>
        <w:tabs>
          <w:tab w:leader="none" w:pos="3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47" w:lineRule="exact"/>
        <w:rPr>
          <w:rFonts w:ascii="Arial" w:cs="Arial" w:eastAsia="Arial" w:hAnsi="Arial"/>
          <w:sz w:val="16"/>
          <w:szCs w:val="16"/>
          <w:color w:val="auto"/>
        </w:rPr>
      </w:pPr>
    </w:p>
    <w:p>
      <w:pPr>
        <w:ind w:left="356" w:hanging="356"/>
        <w:spacing w:after="0"/>
        <w:tabs>
          <w:tab w:leader="none" w:pos="356" w:val="left"/>
        </w:tabs>
        <w:numPr>
          <w:ilvl w:val="0"/>
          <w:numId w:val="73"/>
        </w:numPr>
        <w:rPr>
          <w:rFonts w:ascii="Arial" w:cs="Arial" w:eastAsia="Arial" w:hAnsi="Arial"/>
          <w:sz w:val="15"/>
          <w:szCs w:val="15"/>
          <w:color w:val="auto"/>
        </w:rPr>
      </w:pPr>
      <w:r>
        <w:rPr>
          <w:rFonts w:ascii="Arial" w:cs="Arial" w:eastAsia="Arial" w:hAnsi="Arial"/>
          <w:sz w:val="15"/>
          <w:szCs w:val="15"/>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4" w:firstLine="4"/>
        <w:spacing w:after="0" w:line="225" w:lineRule="auto"/>
        <w:tabs>
          <w:tab w:leader="none" w:pos="39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Return of Documents</w:t>
      </w:r>
      <w:r>
        <w:rPr>
          <w:rFonts w:ascii="Arial" w:cs="Arial" w:eastAsia="Arial" w:hAnsi="Arial"/>
          <w:sz w:val="17"/>
          <w:szCs w:val="17"/>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45" w:lineRule="exact"/>
        <w:rPr>
          <w:rFonts w:ascii="Arial" w:cs="Arial" w:eastAsia="Arial" w:hAnsi="Arial"/>
          <w:sz w:val="17"/>
          <w:szCs w:val="17"/>
          <w:color w:val="auto"/>
        </w:rPr>
      </w:pPr>
    </w:p>
    <w:p>
      <w:pPr>
        <w:jc w:val="both"/>
        <w:ind w:left="-4" w:firstLine="4"/>
        <w:spacing w:after="0" w:line="231" w:lineRule="auto"/>
        <w:tabs>
          <w:tab w:leader="none" w:pos="48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47" w:lineRule="exact"/>
        <w:rPr>
          <w:rFonts w:ascii="Arial" w:cs="Arial" w:eastAsia="Arial" w:hAnsi="Arial"/>
          <w:sz w:val="16"/>
          <w:szCs w:val="16"/>
          <w:color w:val="auto"/>
        </w:rPr>
      </w:pPr>
    </w:p>
    <w:p>
      <w:pPr>
        <w:jc w:val="both"/>
        <w:ind w:left="-4" w:firstLine="4"/>
        <w:spacing w:after="0" w:line="215" w:lineRule="auto"/>
        <w:tabs>
          <w:tab w:leader="none" w:pos="38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Best Efforts and Conflicts of Interest</w:t>
      </w:r>
      <w:r>
        <w:rPr>
          <w:rFonts w:ascii="Arial" w:cs="Arial" w:eastAsia="Arial" w:hAnsi="Arial"/>
          <w:sz w:val="17"/>
          <w:szCs w:val="17"/>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44" w:lineRule="exact"/>
        <w:rPr>
          <w:rFonts w:ascii="Arial" w:cs="Arial" w:eastAsia="Arial" w:hAnsi="Arial"/>
          <w:sz w:val="17"/>
          <w:szCs w:val="17"/>
          <w:color w:val="auto"/>
        </w:rPr>
      </w:pPr>
    </w:p>
    <w:p>
      <w:pPr>
        <w:jc w:val="both"/>
        <w:ind w:left="-4" w:firstLine="4"/>
        <w:spacing w:after="0" w:line="225" w:lineRule="auto"/>
        <w:tabs>
          <w:tab w:leader="none" w:pos="259"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Standards of Business Conduct and Ethics.</w:t>
      </w:r>
      <w:r>
        <w:rPr>
          <w:rFonts w:ascii="Arial" w:cs="Arial" w:eastAsia="Arial" w:hAnsi="Arial"/>
          <w:sz w:val="17"/>
          <w:szCs w:val="17"/>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76"/>
          </w:cols>
          <w:pgMar w:left="304" w:top="1440" w:right="319" w:bottom="1440" w:gutter="0" w:footer="0" w:header="0"/>
        </w:sectPr>
      </w:pPr>
    </w:p>
    <w:bookmarkStart w:id="150" w:name="page151"/>
    <w:bookmarkEnd w:id="150"/>
    <w:p>
      <w:pPr>
        <w:spacing w:after="0" w:line="75" w:lineRule="exact"/>
        <w:rPr>
          <w:sz w:val="20"/>
          <w:szCs w:val="20"/>
          <w:color w:val="auto"/>
        </w:rPr>
      </w:pPr>
    </w:p>
    <w:p>
      <w:pPr>
        <w:ind w:firstLine="4"/>
        <w:spacing w:after="0" w:line="235" w:lineRule="auto"/>
        <w:tabs>
          <w:tab w:leader="none" w:pos="42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Debarment</w:t>
      </w:r>
      <w:r>
        <w:rPr>
          <w:rFonts w:ascii="Arial" w:cs="Arial" w:eastAsia="Arial" w:hAnsi="Arial"/>
          <w:sz w:val="17"/>
          <w:szCs w:val="17"/>
          <w:color w:val="auto"/>
        </w:rPr>
        <w:t>. You represent and warrant that you have not been debarred and will notify the Company immediately if you are debarred, pursuant to subsection 306(a) or 306(b) of the Federal Food, Drug, and Cosmetic Act.</w:t>
      </w:r>
    </w:p>
    <w:p>
      <w:pPr>
        <w:spacing w:after="0" w:line="144" w:lineRule="exact"/>
        <w:rPr>
          <w:rFonts w:ascii="Arial" w:cs="Arial" w:eastAsia="Arial" w:hAnsi="Arial"/>
          <w:sz w:val="17"/>
          <w:szCs w:val="17"/>
          <w:color w:val="auto"/>
        </w:rPr>
      </w:pPr>
    </w:p>
    <w:p>
      <w:pPr>
        <w:ind w:firstLine="4"/>
        <w:spacing w:after="0" w:line="235" w:lineRule="auto"/>
        <w:tabs>
          <w:tab w:leader="none" w:pos="43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The waiver by either party of any provision of this Agreement shall not operate or be construed as a waiver of any subsequent breach.</w:t>
      </w:r>
    </w:p>
    <w:p>
      <w:pPr>
        <w:spacing w:after="0" w:line="163" w:lineRule="exact"/>
        <w:rPr>
          <w:sz w:val="20"/>
          <w:szCs w:val="20"/>
          <w:color w:val="auto"/>
        </w:rPr>
      </w:pPr>
    </w:p>
    <w:p>
      <w:pPr>
        <w:ind w:firstLine="4"/>
        <w:spacing w:after="0" w:line="235" w:lineRule="auto"/>
        <w:tabs>
          <w:tab w:leader="none" w:pos="37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44" w:lineRule="exact"/>
        <w:rPr>
          <w:rFonts w:ascii="Arial" w:cs="Arial" w:eastAsia="Arial" w:hAnsi="Arial"/>
          <w:sz w:val="17"/>
          <w:szCs w:val="17"/>
          <w:color w:val="auto"/>
        </w:rPr>
      </w:pPr>
    </w:p>
    <w:p>
      <w:pPr>
        <w:ind w:firstLine="4"/>
        <w:spacing w:after="0" w:line="235" w:lineRule="auto"/>
        <w:tabs>
          <w:tab w:leader="none" w:pos="45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Governance</w:t>
      </w:r>
      <w:r>
        <w:rPr>
          <w:rFonts w:ascii="Arial" w:cs="Arial" w:eastAsia="Arial" w:hAnsi="Arial"/>
          <w:sz w:val="17"/>
          <w:szCs w:val="17"/>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44" w:lineRule="exact"/>
        <w:rPr>
          <w:rFonts w:ascii="Arial" w:cs="Arial" w:eastAsia="Arial" w:hAnsi="Arial"/>
          <w:sz w:val="17"/>
          <w:szCs w:val="17"/>
          <w:color w:val="auto"/>
        </w:rPr>
      </w:pPr>
    </w:p>
    <w:p>
      <w:pPr>
        <w:ind w:firstLine="4"/>
        <w:spacing w:after="0" w:line="235" w:lineRule="auto"/>
        <w:tabs>
          <w:tab w:leader="none" w:pos="40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44" w:lineRule="exact"/>
        <w:rPr>
          <w:rFonts w:ascii="Arial" w:cs="Arial" w:eastAsia="Arial" w:hAnsi="Arial"/>
          <w:sz w:val="17"/>
          <w:szCs w:val="17"/>
          <w:color w:val="auto"/>
        </w:rPr>
      </w:pPr>
    </w:p>
    <w:p>
      <w:pPr>
        <w:ind w:left="380" w:hanging="376"/>
        <w:spacing w:after="0"/>
        <w:tabs>
          <w:tab w:leader="none" w:pos="38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2" w:lineRule="exact"/>
        <w:rPr>
          <w:rFonts w:ascii="Arial" w:cs="Arial" w:eastAsia="Arial" w:hAnsi="Arial"/>
          <w:sz w:val="17"/>
          <w:szCs w:val="17"/>
          <w:color w:val="auto"/>
        </w:rPr>
      </w:pPr>
    </w:p>
    <w:p>
      <w:pPr>
        <w:ind w:left="5540" w:hanging="128"/>
        <w:spacing w:after="0"/>
        <w:tabs>
          <w:tab w:leader="none" w:pos="55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 # #</w:t>
      </w:r>
    </w:p>
    <w:p>
      <w:pPr>
        <w:sectPr>
          <w:pgSz w:w="11900" w:h="16838" w:orient="portrait"/>
          <w:cols w:equalWidth="0" w:num="1">
            <w:col w:w="11280"/>
          </w:cols>
          <w:pgMar w:left="300" w:top="1440" w:right="319" w:bottom="1440" w:gutter="0" w:footer="0" w:header="0"/>
        </w:sectPr>
      </w:pPr>
    </w:p>
    <w:bookmarkStart w:id="151" w:name="page152"/>
    <w:bookmarkEnd w:id="151"/>
    <w:p>
      <w:pPr>
        <w:spacing w:after="0" w:line="200" w:lineRule="exact"/>
        <w:rPr>
          <w:sz w:val="20"/>
          <w:szCs w:val="20"/>
          <w:color w:val="auto"/>
        </w:rPr>
      </w:pPr>
    </w:p>
    <w:p>
      <w:pPr>
        <w:spacing w:after="0" w:line="254" w:lineRule="exact"/>
        <w:rPr>
          <w:sz w:val="20"/>
          <w:szCs w:val="20"/>
          <w:color w:val="auto"/>
        </w:rPr>
      </w:pPr>
    </w:p>
    <w:p>
      <w:pPr>
        <w:ind w:firstLine="506"/>
        <w:spacing w:after="0" w:line="235" w:lineRule="auto"/>
        <w:rPr>
          <w:sz w:val="20"/>
          <w:szCs w:val="20"/>
          <w:color w:val="auto"/>
        </w:rPr>
      </w:pPr>
      <w:r>
        <w:rPr>
          <w:rFonts w:ascii="Arial" w:cs="Arial" w:eastAsia="Arial" w:hAnsi="Arial"/>
          <w:sz w:val="17"/>
          <w:szCs w:val="17"/>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372"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Sincerely yours,</w:t>
      </w:r>
    </w:p>
    <w:p>
      <w:pPr>
        <w:spacing w:after="0" w:line="1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CUMBERLAND PHARMACEUTICALS INC.</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11430</wp:posOffset>
            </wp:positionV>
            <wp:extent cx="310578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3105785" cy="6985"/>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7"/>
          <w:szCs w:val="17"/>
          <w:color w:val="auto"/>
        </w:rPr>
        <w:t>By:</w:t>
        <w:tab/>
        <w:t>A.J. Kazimi</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Accepted as to all terms and conditions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of the 7th of March, 2022:</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Leo Pavliv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442468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4424680" cy="698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Leo Pavliv</w:t>
      </w:r>
    </w:p>
    <w:p>
      <w:pPr>
        <w:sectPr>
          <w:pgSz w:w="11900" w:h="16838" w:orient="portrait"/>
          <w:cols w:equalWidth="0" w:num="1">
            <w:col w:w="11280"/>
          </w:cols>
          <w:pgMar w:left="300" w:top="1440" w:right="319" w:bottom="1440" w:gutter="0" w:footer="0" w:header="0"/>
        </w:sectPr>
      </w:pPr>
    </w:p>
    <w:bookmarkStart w:id="152" w:name="page153"/>
    <w:bookmarkEnd w:id="152"/>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10.14</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Mr. John Hamm</w:t>
      </w:r>
    </w:p>
    <w:p>
      <w:pPr>
        <w:spacing w:after="0" w:line="207" w:lineRule="auto"/>
        <w:rPr>
          <w:sz w:val="20"/>
          <w:szCs w:val="20"/>
          <w:color w:val="auto"/>
        </w:rPr>
      </w:pPr>
      <w:r>
        <w:rPr>
          <w:rFonts w:ascii="Arial" w:cs="Arial" w:eastAsia="Arial" w:hAnsi="Arial"/>
          <w:sz w:val="17"/>
          <w:szCs w:val="17"/>
          <w:color w:val="auto"/>
        </w:rPr>
        <w:t>2525 West End Avenue, Suite 950</w:t>
      </w:r>
    </w:p>
    <w:p>
      <w:pPr>
        <w:spacing w:after="0" w:line="207" w:lineRule="auto"/>
        <w:rPr>
          <w:sz w:val="20"/>
          <w:szCs w:val="20"/>
          <w:color w:val="auto"/>
        </w:rPr>
      </w:pPr>
      <w:r>
        <w:rPr>
          <w:rFonts w:ascii="Arial" w:cs="Arial" w:eastAsia="Arial" w:hAnsi="Arial"/>
          <w:sz w:val="17"/>
          <w:szCs w:val="17"/>
          <w:color w:val="auto"/>
        </w:rPr>
        <w:t>Nashville, TN 37203</w:t>
      </w:r>
    </w:p>
    <w:p>
      <w:pPr>
        <w:ind w:right="1820"/>
        <w:spacing w:after="0" w:line="431" w:lineRule="auto"/>
        <w:rPr>
          <w:sz w:val="20"/>
          <w:szCs w:val="20"/>
          <w:color w:val="auto"/>
        </w:rPr>
      </w:pPr>
      <w:r>
        <w:rPr>
          <w:rFonts w:ascii="Arial" w:cs="Arial" w:eastAsia="Arial" w:hAnsi="Arial"/>
          <w:sz w:val="17"/>
          <w:szCs w:val="17"/>
          <w:color w:val="auto"/>
        </w:rPr>
        <w:t>Re: Employment of John Hamm as Senior Director of Finance &amp; Accounting &amp; Chief Financial Officer Cumberland Pharmaceuticals Inc. Dear John,</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Effective January 1, 2022,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u w:val="single" w:color="auto"/>
          <w:color w:val="auto"/>
        </w:rPr>
        <w:t xml:space="preserve">Compensation. </w:t>
      </w:r>
      <w:r>
        <w:rPr>
          <w:rFonts w:ascii="Arial" w:cs="Arial" w:eastAsia="Arial" w:hAnsi="Arial"/>
          <w:sz w:val="15"/>
          <w:szCs w:val="15"/>
          <w:color w:val="auto"/>
        </w:rPr>
        <w:t>The Company agrees to compensate you as follows:</w:t>
      </w:r>
    </w:p>
    <w:p>
      <w:pPr>
        <w:spacing w:after="0" w:line="163" w:lineRule="exact"/>
        <w:rPr>
          <w:sz w:val="20"/>
          <w:szCs w:val="20"/>
          <w:color w:val="auto"/>
        </w:rPr>
      </w:pPr>
    </w:p>
    <w:p>
      <w:pPr>
        <w:jc w:val="both"/>
        <w:ind w:firstLine="4"/>
        <w:spacing w:after="0" w:line="208" w:lineRule="auto"/>
        <w:tabs>
          <w:tab w:leader="none" w:pos="36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agrees to pay you on a salary basis for services performed based on an annual rate of one hundred and ninety-two thousand dollars ($192,000.00), payable in arrears in equal monthly installments on the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46" w:lineRule="exact"/>
        <w:rPr>
          <w:rFonts w:ascii="Arial" w:cs="Arial" w:eastAsia="Arial" w:hAnsi="Arial"/>
          <w:sz w:val="17"/>
          <w:szCs w:val="17"/>
          <w:color w:val="auto"/>
        </w:rPr>
      </w:pPr>
    </w:p>
    <w:p>
      <w:pPr>
        <w:jc w:val="both"/>
        <w:ind w:firstLine="4"/>
        <w:spacing w:after="0" w:line="225" w:lineRule="auto"/>
        <w:tabs>
          <w:tab w:leader="none" w:pos="367" w:val="left"/>
        </w:tabs>
        <w:numPr>
          <w:ilvl w:val="0"/>
          <w:numId w:val="77"/>
        </w:numPr>
        <w:rPr>
          <w:rFonts w:ascii="Arial" w:cs="Arial" w:eastAsia="Arial" w:hAnsi="Arial"/>
          <w:sz w:val="17"/>
          <w:szCs w:val="17"/>
          <w:color w:val="auto"/>
        </w:rPr>
      </w:pPr>
      <w:r>
        <w:rPr>
          <w:rFonts w:ascii="Arial" w:cs="Arial" w:eastAsia="Arial" w:hAnsi="Arial"/>
          <w:sz w:val="17"/>
          <w:szCs w:val="17"/>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45" w:lineRule="exact"/>
        <w:rPr>
          <w:rFonts w:ascii="Arial" w:cs="Arial" w:eastAsia="Arial" w:hAnsi="Arial"/>
          <w:sz w:val="17"/>
          <w:szCs w:val="17"/>
          <w:color w:val="auto"/>
        </w:rPr>
      </w:pPr>
    </w:p>
    <w:p>
      <w:pPr>
        <w:jc w:val="both"/>
        <w:ind w:firstLine="4"/>
        <w:spacing w:after="0" w:line="239" w:lineRule="auto"/>
        <w:tabs>
          <w:tab w:leader="none" w:pos="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46" w:lineRule="exact"/>
        <w:rPr>
          <w:rFonts w:ascii="Arial" w:cs="Arial" w:eastAsia="Arial" w:hAnsi="Arial"/>
          <w:sz w:val="16"/>
          <w:szCs w:val="16"/>
          <w:color w:val="auto"/>
        </w:rPr>
      </w:pPr>
    </w:p>
    <w:p>
      <w:pPr>
        <w:jc w:val="both"/>
        <w:ind w:firstLine="4"/>
        <w:spacing w:after="0" w:line="239" w:lineRule="auto"/>
        <w:tabs>
          <w:tab w:leader="none" w:pos="391" w:val="left"/>
        </w:tabs>
        <w:numPr>
          <w:ilvl w:val="0"/>
          <w:numId w:val="77"/>
        </w:numPr>
        <w:rPr>
          <w:rFonts w:ascii="Arial" w:cs="Arial" w:eastAsia="Arial" w:hAnsi="Arial"/>
          <w:sz w:val="16"/>
          <w:szCs w:val="16"/>
          <w:color w:val="auto"/>
        </w:rPr>
      </w:pPr>
      <w:r>
        <w:rPr>
          <w:rFonts w:ascii="Arial" w:cs="Arial" w:eastAsia="Arial" w:hAnsi="Arial"/>
          <w:sz w:val="16"/>
          <w:szCs w:val="16"/>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80"/>
          </w:cols>
          <w:pgMar w:left="300" w:top="1440" w:right="319" w:bottom="1440" w:gutter="0" w:footer="0" w:header="0"/>
        </w:sectPr>
      </w:pPr>
    </w:p>
    <w:bookmarkStart w:id="153" w:name="page154"/>
    <w:bookmarkEnd w:id="153"/>
    <w:p>
      <w:pPr>
        <w:spacing w:after="0" w:line="75" w:lineRule="exact"/>
        <w:rPr>
          <w:sz w:val="20"/>
          <w:szCs w:val="20"/>
          <w:color w:val="auto"/>
        </w:rPr>
      </w:pPr>
    </w:p>
    <w:p>
      <w:pPr>
        <w:ind w:left="-4" w:firstLine="4"/>
        <w:spacing w:after="0" w:line="235" w:lineRule="auto"/>
        <w:tabs>
          <w:tab w:leader="none" w:pos="367"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as set forth in Section 2, the Company shall not be liable to you for any expense incurred by you unless you receive the Company's prior written consent to reimburse you for such expense.</w:t>
      </w:r>
    </w:p>
    <w:p>
      <w:pPr>
        <w:spacing w:after="0" w:line="144" w:lineRule="exact"/>
        <w:rPr>
          <w:rFonts w:ascii="Arial" w:cs="Arial" w:eastAsia="Arial" w:hAnsi="Arial"/>
          <w:sz w:val="17"/>
          <w:szCs w:val="17"/>
          <w:color w:val="auto"/>
        </w:rPr>
      </w:pPr>
    </w:p>
    <w:p>
      <w:pPr>
        <w:jc w:val="both"/>
        <w:ind w:left="-4" w:firstLine="68"/>
        <w:spacing w:after="0" w:line="221" w:lineRule="auto"/>
        <w:tabs>
          <w:tab w:leader="none" w:pos="565"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Additional Payments</w:t>
      </w:r>
      <w:r>
        <w:rPr>
          <w:rFonts w:ascii="Arial" w:cs="Arial" w:eastAsia="Arial" w:hAnsi="Arial"/>
          <w:sz w:val="17"/>
          <w:szCs w:val="17"/>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44" w:lineRule="exact"/>
        <w:rPr>
          <w:sz w:val="20"/>
          <w:szCs w:val="20"/>
          <w:color w:val="auto"/>
        </w:rPr>
      </w:pPr>
    </w:p>
    <w:p>
      <w:pPr>
        <w:jc w:val="both"/>
        <w:ind w:left="-4" w:firstLine="4"/>
        <w:spacing w:after="0" w:line="239" w:lineRule="auto"/>
        <w:tabs>
          <w:tab w:leader="none" w:pos="29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Employment at Will</w:t>
      </w:r>
      <w:r>
        <w:rPr>
          <w:rFonts w:ascii="Arial" w:cs="Arial" w:eastAsia="Arial" w:hAnsi="Arial"/>
          <w:sz w:val="16"/>
          <w:szCs w:val="16"/>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46" w:lineRule="exact"/>
        <w:rPr>
          <w:rFonts w:ascii="Arial" w:cs="Arial" w:eastAsia="Arial" w:hAnsi="Arial"/>
          <w:sz w:val="16"/>
          <w:szCs w:val="16"/>
          <w:color w:val="auto"/>
        </w:rPr>
      </w:pPr>
    </w:p>
    <w:p>
      <w:pPr>
        <w:jc w:val="both"/>
        <w:ind w:left="-4" w:firstLine="4"/>
        <w:spacing w:after="0" w:line="228" w:lineRule="auto"/>
        <w:tabs>
          <w:tab w:leader="none" w:pos="364"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46" w:lineRule="exact"/>
        <w:rPr>
          <w:rFonts w:ascii="Arial" w:cs="Arial" w:eastAsia="Arial" w:hAnsi="Arial"/>
          <w:sz w:val="16"/>
          <w:szCs w:val="16"/>
          <w:color w:val="auto"/>
        </w:rPr>
      </w:pPr>
    </w:p>
    <w:p>
      <w:pPr>
        <w:jc w:val="both"/>
        <w:ind w:left="-4" w:firstLine="4"/>
        <w:spacing w:after="0" w:line="225" w:lineRule="auto"/>
        <w:tabs>
          <w:tab w:leader="none" w:pos="29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Discoveries and Improvements</w:t>
      </w:r>
      <w:r>
        <w:rPr>
          <w:rFonts w:ascii="Arial" w:cs="Arial" w:eastAsia="Arial" w:hAnsi="Arial"/>
          <w:sz w:val="16"/>
          <w:szCs w:val="16"/>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76"/>
          </w:cols>
          <w:pgMar w:left="304" w:top="1440" w:right="319" w:bottom="1440" w:gutter="0" w:footer="0" w:header="0"/>
        </w:sectPr>
      </w:pPr>
    </w:p>
    <w:bookmarkStart w:id="154" w:name="page155"/>
    <w:bookmarkEnd w:id="154"/>
    <w:p>
      <w:pPr>
        <w:spacing w:after="0" w:line="75" w:lineRule="exact"/>
        <w:rPr>
          <w:sz w:val="20"/>
          <w:szCs w:val="20"/>
          <w:color w:val="auto"/>
        </w:rPr>
      </w:pPr>
    </w:p>
    <w:p>
      <w:pPr>
        <w:jc w:val="both"/>
        <w:ind w:left="-4" w:firstLine="4"/>
        <w:spacing w:after="0" w:line="254" w:lineRule="auto"/>
        <w:tabs>
          <w:tab w:leader="none" w:pos="31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Publication</w:t>
      </w:r>
      <w:r>
        <w:rPr>
          <w:rFonts w:ascii="Arial" w:cs="Arial" w:eastAsia="Arial" w:hAnsi="Arial"/>
          <w:sz w:val="15"/>
          <w:szCs w:val="15"/>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34" w:lineRule="exact"/>
        <w:rPr>
          <w:rFonts w:ascii="Arial" w:cs="Arial" w:eastAsia="Arial" w:hAnsi="Arial"/>
          <w:sz w:val="15"/>
          <w:szCs w:val="15"/>
          <w:color w:val="auto"/>
        </w:rPr>
      </w:pPr>
    </w:p>
    <w:p>
      <w:pPr>
        <w:jc w:val="both"/>
        <w:ind w:left="-4" w:firstLine="4"/>
        <w:spacing w:after="0" w:line="239" w:lineRule="auto"/>
        <w:tabs>
          <w:tab w:leader="none" w:pos="29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46" w:lineRule="exact"/>
        <w:rPr>
          <w:rFonts w:ascii="Arial" w:cs="Arial" w:eastAsia="Arial" w:hAnsi="Arial"/>
          <w:sz w:val="16"/>
          <w:szCs w:val="16"/>
          <w:color w:val="auto"/>
        </w:rPr>
      </w:pPr>
    </w:p>
    <w:p>
      <w:pPr>
        <w:jc w:val="both"/>
        <w:ind w:left="-4" w:firstLine="4"/>
        <w:spacing w:after="0" w:line="223" w:lineRule="auto"/>
        <w:tabs>
          <w:tab w:leader="none" w:pos="29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Competition</w:t>
      </w:r>
      <w:r>
        <w:rPr>
          <w:rFonts w:ascii="Arial" w:cs="Arial" w:eastAsia="Arial" w:hAnsi="Arial"/>
          <w:sz w:val="16"/>
          <w:szCs w:val="16"/>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55" w:lineRule="exact"/>
        <w:rPr>
          <w:rFonts w:ascii="Arial" w:cs="Arial" w:eastAsia="Arial" w:hAnsi="Arial"/>
          <w:sz w:val="16"/>
          <w:szCs w:val="16"/>
          <w:color w:val="auto"/>
        </w:rPr>
      </w:pPr>
    </w:p>
    <w:p>
      <w:pPr>
        <w:jc w:val="both"/>
        <w:ind w:left="-4" w:firstLine="4"/>
        <w:spacing w:after="0" w:line="221" w:lineRule="auto"/>
        <w:tabs>
          <w:tab w:leader="none" w:pos="322"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Conflicting Contracts</w:t>
      </w:r>
      <w:r>
        <w:rPr>
          <w:rFonts w:ascii="Arial" w:cs="Arial" w:eastAsia="Arial" w:hAnsi="Arial"/>
          <w:sz w:val="17"/>
          <w:szCs w:val="17"/>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44" w:lineRule="exact"/>
        <w:rPr>
          <w:rFonts w:ascii="Arial" w:cs="Arial" w:eastAsia="Arial" w:hAnsi="Arial"/>
          <w:sz w:val="17"/>
          <w:szCs w:val="17"/>
          <w:color w:val="auto"/>
        </w:rPr>
      </w:pPr>
    </w:p>
    <w:p>
      <w:pPr>
        <w:ind w:left="376" w:hanging="376"/>
        <w:spacing w:after="0"/>
        <w:tabs>
          <w:tab w:leader="none" w:pos="37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Solicitation</w:t>
      </w:r>
      <w:r>
        <w:rPr>
          <w:rFonts w:ascii="Arial" w:cs="Arial" w:eastAsia="Arial" w:hAnsi="Arial"/>
          <w:sz w:val="17"/>
          <w:szCs w:val="17"/>
          <w:color w:val="auto"/>
        </w:rPr>
        <w:t>. After you cease to be employed by the Company (or a Company affiliate):</w:t>
      </w:r>
    </w:p>
    <w:p>
      <w:pPr>
        <w:sectPr>
          <w:pgSz w:w="11900" w:h="16838" w:orient="portrait"/>
          <w:cols w:equalWidth="0" w:num="1">
            <w:col w:w="11276"/>
          </w:cols>
          <w:pgMar w:left="304" w:top="1440" w:right="319" w:bottom="1440" w:gutter="0" w:footer="0" w:header="0"/>
        </w:sectPr>
      </w:pPr>
    </w:p>
    <w:bookmarkStart w:id="155" w:name="page156"/>
    <w:bookmarkEnd w:id="155"/>
    <w:p>
      <w:pPr>
        <w:spacing w:after="0" w:line="265" w:lineRule="exact"/>
        <w:rPr>
          <w:sz w:val="20"/>
          <w:szCs w:val="20"/>
          <w:color w:val="auto"/>
        </w:rPr>
      </w:pPr>
    </w:p>
    <w:p>
      <w:pPr>
        <w:jc w:val="both"/>
        <w:ind w:left="-4" w:firstLine="4"/>
        <w:spacing w:after="0" w:line="231" w:lineRule="auto"/>
        <w:tabs>
          <w:tab w:leader="none" w:pos="3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47" w:lineRule="exact"/>
        <w:rPr>
          <w:rFonts w:ascii="Arial" w:cs="Arial" w:eastAsia="Arial" w:hAnsi="Arial"/>
          <w:sz w:val="16"/>
          <w:szCs w:val="16"/>
          <w:color w:val="auto"/>
        </w:rPr>
      </w:pPr>
    </w:p>
    <w:p>
      <w:pPr>
        <w:ind w:left="356" w:hanging="356"/>
        <w:spacing w:after="0"/>
        <w:tabs>
          <w:tab w:leader="none" w:pos="356" w:val="left"/>
        </w:tabs>
        <w:numPr>
          <w:ilvl w:val="0"/>
          <w:numId w:val="81"/>
        </w:numPr>
        <w:rPr>
          <w:rFonts w:ascii="Arial" w:cs="Arial" w:eastAsia="Arial" w:hAnsi="Arial"/>
          <w:sz w:val="15"/>
          <w:szCs w:val="15"/>
          <w:color w:val="auto"/>
        </w:rPr>
      </w:pPr>
      <w:r>
        <w:rPr>
          <w:rFonts w:ascii="Arial" w:cs="Arial" w:eastAsia="Arial" w:hAnsi="Arial"/>
          <w:sz w:val="15"/>
          <w:szCs w:val="15"/>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4" w:firstLine="4"/>
        <w:spacing w:after="0" w:line="225" w:lineRule="auto"/>
        <w:tabs>
          <w:tab w:leader="none" w:pos="39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Return of Documents</w:t>
      </w:r>
      <w:r>
        <w:rPr>
          <w:rFonts w:ascii="Arial" w:cs="Arial" w:eastAsia="Arial" w:hAnsi="Arial"/>
          <w:sz w:val="17"/>
          <w:szCs w:val="17"/>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45" w:lineRule="exact"/>
        <w:rPr>
          <w:rFonts w:ascii="Arial" w:cs="Arial" w:eastAsia="Arial" w:hAnsi="Arial"/>
          <w:sz w:val="17"/>
          <w:szCs w:val="17"/>
          <w:color w:val="auto"/>
        </w:rPr>
      </w:pPr>
    </w:p>
    <w:p>
      <w:pPr>
        <w:jc w:val="both"/>
        <w:ind w:left="-4" w:firstLine="4"/>
        <w:spacing w:after="0" w:line="231" w:lineRule="auto"/>
        <w:tabs>
          <w:tab w:leader="none" w:pos="48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47" w:lineRule="exact"/>
        <w:rPr>
          <w:rFonts w:ascii="Arial" w:cs="Arial" w:eastAsia="Arial" w:hAnsi="Arial"/>
          <w:sz w:val="16"/>
          <w:szCs w:val="16"/>
          <w:color w:val="auto"/>
        </w:rPr>
      </w:pPr>
    </w:p>
    <w:p>
      <w:pPr>
        <w:jc w:val="both"/>
        <w:ind w:left="-4" w:firstLine="4"/>
        <w:spacing w:after="0" w:line="215" w:lineRule="auto"/>
        <w:tabs>
          <w:tab w:leader="none" w:pos="38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Best Efforts and Conflicts of Interest</w:t>
      </w:r>
      <w:r>
        <w:rPr>
          <w:rFonts w:ascii="Arial" w:cs="Arial" w:eastAsia="Arial" w:hAnsi="Arial"/>
          <w:sz w:val="17"/>
          <w:szCs w:val="17"/>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44" w:lineRule="exact"/>
        <w:rPr>
          <w:rFonts w:ascii="Arial" w:cs="Arial" w:eastAsia="Arial" w:hAnsi="Arial"/>
          <w:sz w:val="17"/>
          <w:szCs w:val="17"/>
          <w:color w:val="auto"/>
        </w:rPr>
      </w:pPr>
    </w:p>
    <w:p>
      <w:pPr>
        <w:jc w:val="both"/>
        <w:ind w:left="-4" w:firstLine="4"/>
        <w:spacing w:after="0" w:line="225" w:lineRule="auto"/>
        <w:tabs>
          <w:tab w:leader="none" w:pos="259"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Standards of Business Conduct and Ethics.</w:t>
      </w:r>
      <w:r>
        <w:rPr>
          <w:rFonts w:ascii="Arial" w:cs="Arial" w:eastAsia="Arial" w:hAnsi="Arial"/>
          <w:sz w:val="17"/>
          <w:szCs w:val="17"/>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76"/>
          </w:cols>
          <w:pgMar w:left="304" w:top="1440" w:right="319" w:bottom="1440" w:gutter="0" w:footer="0" w:header="0"/>
        </w:sectPr>
      </w:pPr>
    </w:p>
    <w:bookmarkStart w:id="156" w:name="page157"/>
    <w:bookmarkEnd w:id="156"/>
    <w:p>
      <w:pPr>
        <w:spacing w:after="0" w:line="75" w:lineRule="exact"/>
        <w:rPr>
          <w:sz w:val="20"/>
          <w:szCs w:val="20"/>
          <w:color w:val="auto"/>
        </w:rPr>
      </w:pPr>
    </w:p>
    <w:p>
      <w:pPr>
        <w:ind w:firstLine="4"/>
        <w:spacing w:after="0" w:line="235" w:lineRule="auto"/>
        <w:tabs>
          <w:tab w:leader="none" w:pos="422"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Debarment</w:t>
      </w:r>
      <w:r>
        <w:rPr>
          <w:rFonts w:ascii="Arial" w:cs="Arial" w:eastAsia="Arial" w:hAnsi="Arial"/>
          <w:sz w:val="17"/>
          <w:szCs w:val="17"/>
          <w:color w:val="auto"/>
        </w:rPr>
        <w:t>. You represent and warrant that you have not been debarred and will notify the Company immediately if you are debarred, pursuant to subsection 306(a) or 306(b) of the Federal Food, Drug, and Cosmetic Act.</w:t>
      </w:r>
    </w:p>
    <w:p>
      <w:pPr>
        <w:spacing w:after="0" w:line="144" w:lineRule="exact"/>
        <w:rPr>
          <w:rFonts w:ascii="Arial" w:cs="Arial" w:eastAsia="Arial" w:hAnsi="Arial"/>
          <w:sz w:val="17"/>
          <w:szCs w:val="17"/>
          <w:color w:val="auto"/>
        </w:rPr>
      </w:pPr>
    </w:p>
    <w:p>
      <w:pPr>
        <w:ind w:firstLine="4"/>
        <w:spacing w:after="0" w:line="235" w:lineRule="auto"/>
        <w:tabs>
          <w:tab w:leader="none" w:pos="432"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The waiver by either party of any provision of this Agreement shall not operate or be construed as a waiver of any subsequent breach.</w:t>
      </w:r>
    </w:p>
    <w:p>
      <w:pPr>
        <w:spacing w:after="0" w:line="163" w:lineRule="exact"/>
        <w:rPr>
          <w:sz w:val="20"/>
          <w:szCs w:val="20"/>
          <w:color w:val="auto"/>
        </w:rPr>
      </w:pPr>
    </w:p>
    <w:p>
      <w:pPr>
        <w:ind w:firstLine="4"/>
        <w:spacing w:after="0" w:line="235" w:lineRule="auto"/>
        <w:tabs>
          <w:tab w:leader="none" w:pos="379"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44" w:lineRule="exact"/>
        <w:rPr>
          <w:rFonts w:ascii="Arial" w:cs="Arial" w:eastAsia="Arial" w:hAnsi="Arial"/>
          <w:sz w:val="17"/>
          <w:szCs w:val="17"/>
          <w:color w:val="auto"/>
        </w:rPr>
      </w:pPr>
    </w:p>
    <w:p>
      <w:pPr>
        <w:ind w:firstLine="4"/>
        <w:spacing w:after="0" w:line="235" w:lineRule="auto"/>
        <w:tabs>
          <w:tab w:leader="none" w:pos="45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Governance</w:t>
      </w:r>
      <w:r>
        <w:rPr>
          <w:rFonts w:ascii="Arial" w:cs="Arial" w:eastAsia="Arial" w:hAnsi="Arial"/>
          <w:sz w:val="17"/>
          <w:szCs w:val="17"/>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44" w:lineRule="exact"/>
        <w:rPr>
          <w:rFonts w:ascii="Arial" w:cs="Arial" w:eastAsia="Arial" w:hAnsi="Arial"/>
          <w:sz w:val="17"/>
          <w:szCs w:val="17"/>
          <w:color w:val="auto"/>
        </w:rPr>
      </w:pPr>
    </w:p>
    <w:p>
      <w:pPr>
        <w:ind w:firstLine="4"/>
        <w:spacing w:after="0" w:line="235" w:lineRule="auto"/>
        <w:tabs>
          <w:tab w:leader="none" w:pos="40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44" w:lineRule="exact"/>
        <w:rPr>
          <w:rFonts w:ascii="Arial" w:cs="Arial" w:eastAsia="Arial" w:hAnsi="Arial"/>
          <w:sz w:val="17"/>
          <w:szCs w:val="17"/>
          <w:color w:val="auto"/>
        </w:rPr>
      </w:pPr>
    </w:p>
    <w:p>
      <w:pPr>
        <w:ind w:left="380" w:hanging="376"/>
        <w:spacing w:after="0"/>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Notwithstanding any termination of your employment, this Agreement shall survive and remain in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w:t>
      </w:r>
    </w:p>
    <w:p>
      <w:pPr>
        <w:ind w:firstLine="506"/>
        <w:spacing w:after="0" w:line="226" w:lineRule="auto"/>
        <w:rPr>
          <w:sz w:val="20"/>
          <w:szCs w:val="20"/>
          <w:color w:val="auto"/>
        </w:rPr>
      </w:pPr>
      <w:r>
        <w:rPr>
          <w:rFonts w:ascii="Arial" w:cs="Arial" w:eastAsia="Arial" w:hAnsi="Arial"/>
          <w:sz w:val="17"/>
          <w:szCs w:val="17"/>
          <w:color w:val="auto"/>
        </w:rPr>
        <w:t>This letter agreement may be signed in one or more counterparts, each of which shall be an original and all of which will constitute one and the same instrument.</w:t>
      </w:r>
    </w:p>
    <w:p>
      <w:pPr>
        <w:sectPr>
          <w:pgSz w:w="11900" w:h="16838" w:orient="portrait"/>
          <w:cols w:equalWidth="0" w:num="1">
            <w:col w:w="11280"/>
          </w:cols>
          <w:pgMar w:left="300" w:top="1440" w:right="319" w:bottom="1440" w:gutter="0" w:footer="0" w:header="0"/>
        </w:sectPr>
      </w:pPr>
    </w:p>
    <w:bookmarkStart w:id="157" w:name="page158"/>
    <w:bookmarkEnd w:id="157"/>
    <w:p>
      <w:pPr>
        <w:spacing w:after="0" w:line="123" w:lineRule="exact"/>
        <w:rPr>
          <w:sz w:val="20"/>
          <w:szCs w:val="20"/>
          <w:color w:val="auto"/>
        </w:rPr>
      </w:pPr>
    </w:p>
    <w:p>
      <w:pPr>
        <w:ind w:left="6380"/>
        <w:spacing w:after="0"/>
        <w:rPr>
          <w:sz w:val="20"/>
          <w:szCs w:val="20"/>
          <w:color w:val="auto"/>
        </w:rPr>
      </w:pPr>
      <w:r>
        <w:rPr>
          <w:rFonts w:ascii="Arial" w:cs="Arial" w:eastAsia="Arial" w:hAnsi="Arial"/>
          <w:sz w:val="14"/>
          <w:szCs w:val="14"/>
          <w:color w:val="auto"/>
        </w:rPr>
        <w:t>Sincerely yours,</w:t>
      </w:r>
    </w:p>
    <w:p>
      <w:pPr>
        <w:spacing w:after="0" w:line="139" w:lineRule="exact"/>
        <w:rPr>
          <w:sz w:val="20"/>
          <w:szCs w:val="20"/>
          <w:color w:val="auto"/>
        </w:rPr>
      </w:pPr>
    </w:p>
    <w:p>
      <w:pPr>
        <w:jc w:val="right"/>
        <w:ind w:right="499"/>
        <w:spacing w:after="0"/>
        <w:rPr>
          <w:sz w:val="20"/>
          <w:szCs w:val="20"/>
          <w:color w:val="auto"/>
        </w:rPr>
      </w:pPr>
      <w:r>
        <w:rPr>
          <w:rFonts w:ascii="Arial" w:cs="Arial" w:eastAsia="Arial" w:hAnsi="Arial"/>
          <w:sz w:val="17"/>
          <w:szCs w:val="17"/>
          <w:color w:val="auto"/>
        </w:rPr>
        <w:t>CUMBERLAND PHARMACEUTICALS INC.</w:t>
      </w:r>
    </w:p>
    <w:p>
      <w:pPr>
        <w:spacing w:after="0" w:line="232" w:lineRule="exact"/>
        <w:rPr>
          <w:sz w:val="20"/>
          <w:szCs w:val="20"/>
          <w:color w:val="auto"/>
        </w:rPr>
      </w:pPr>
    </w:p>
    <w:p>
      <w:pPr>
        <w:ind w:left="6380"/>
        <w:spacing w:after="0"/>
        <w:rPr>
          <w:sz w:val="20"/>
          <w:szCs w:val="20"/>
          <w:color w:val="auto"/>
        </w:rPr>
      </w:pPr>
      <w:r>
        <w:rPr>
          <w:rFonts w:ascii="Arial" w:cs="Arial" w:eastAsia="Arial" w:hAnsi="Arial"/>
          <w:sz w:val="14"/>
          <w:szCs w:val="14"/>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11430</wp:posOffset>
            </wp:positionV>
            <wp:extent cx="310578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3105785" cy="6985"/>
                    </a:xfrm>
                    <a:prstGeom prst="rect">
                      <a:avLst/>
                    </a:prstGeom>
                    <a:noFill/>
                  </pic:spPr>
                </pic:pic>
              </a:graphicData>
            </a:graphic>
          </wp:anchor>
        </w:drawing>
      </w:r>
    </w:p>
    <w:p>
      <w:pPr>
        <w:spacing w:after="0" w:line="3" w:lineRule="exact"/>
        <w:rPr>
          <w:sz w:val="20"/>
          <w:szCs w:val="20"/>
          <w:color w:val="auto"/>
        </w:rPr>
      </w:pPr>
    </w:p>
    <w:p>
      <w:pPr>
        <w:ind w:left="6380"/>
        <w:spacing w:after="0"/>
        <w:tabs>
          <w:tab w:leader="none" w:pos="6820" w:val="left"/>
        </w:tabs>
        <w:rPr>
          <w:sz w:val="20"/>
          <w:szCs w:val="20"/>
          <w:color w:val="auto"/>
        </w:rPr>
      </w:pPr>
      <w:r>
        <w:rPr>
          <w:rFonts w:ascii="Arial" w:cs="Arial" w:eastAsia="Arial" w:hAnsi="Arial"/>
          <w:sz w:val="17"/>
          <w:szCs w:val="17"/>
          <w:color w:val="auto"/>
        </w:rPr>
        <w:t>By:</w:t>
        <w:tab/>
        <w:t>A.J. Kazimi</w:t>
      </w:r>
    </w:p>
    <w:p>
      <w:pPr>
        <w:spacing w:after="0" w:line="21"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Accepted as to all terms and conditions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as of the 7th of March, 2022:</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442468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4424680" cy="698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John Hamm</w:t>
      </w:r>
    </w:p>
    <w:p>
      <w:pPr>
        <w:sectPr>
          <w:pgSz w:w="11900" w:h="16838" w:orient="portrait"/>
          <w:cols w:equalWidth="0" w:num="1">
            <w:col w:w="10139"/>
          </w:cols>
          <w:pgMar w:left="320" w:top="1440" w:right="1440" w:bottom="1440" w:gutter="0" w:footer="0" w:header="0"/>
        </w:sectPr>
      </w:pPr>
    </w:p>
    <w:bookmarkStart w:id="158" w:name="page159"/>
    <w:bookmarkEnd w:id="158"/>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10.15</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Mr. James Herman</w:t>
      </w:r>
    </w:p>
    <w:p>
      <w:pPr>
        <w:spacing w:after="0" w:line="207" w:lineRule="auto"/>
        <w:rPr>
          <w:sz w:val="20"/>
          <w:szCs w:val="20"/>
          <w:color w:val="auto"/>
        </w:rPr>
      </w:pPr>
      <w:r>
        <w:rPr>
          <w:rFonts w:ascii="Arial" w:cs="Arial" w:eastAsia="Arial" w:hAnsi="Arial"/>
          <w:sz w:val="17"/>
          <w:szCs w:val="17"/>
          <w:color w:val="auto"/>
        </w:rPr>
        <w:t>2525 West End Avenue, Suite 950</w:t>
      </w:r>
    </w:p>
    <w:p>
      <w:pPr>
        <w:spacing w:after="0" w:line="207" w:lineRule="auto"/>
        <w:rPr>
          <w:sz w:val="20"/>
          <w:szCs w:val="20"/>
          <w:color w:val="auto"/>
        </w:rPr>
      </w:pPr>
      <w:r>
        <w:rPr>
          <w:rFonts w:ascii="Arial" w:cs="Arial" w:eastAsia="Arial" w:hAnsi="Arial"/>
          <w:sz w:val="17"/>
          <w:szCs w:val="17"/>
          <w:color w:val="auto"/>
        </w:rPr>
        <w:t>Nashville, TN 37203</w:t>
      </w:r>
    </w:p>
    <w:p>
      <w:pPr>
        <w:ind w:right="1100"/>
        <w:spacing w:after="0" w:line="431" w:lineRule="auto"/>
        <w:rPr>
          <w:sz w:val="20"/>
          <w:szCs w:val="20"/>
          <w:color w:val="auto"/>
        </w:rPr>
      </w:pPr>
      <w:r>
        <w:rPr>
          <w:rFonts w:ascii="Arial" w:cs="Arial" w:eastAsia="Arial" w:hAnsi="Arial"/>
          <w:sz w:val="17"/>
          <w:szCs w:val="17"/>
          <w:color w:val="auto"/>
        </w:rPr>
        <w:t>Re: Employment of James Herman as Executive Vice President, National Accounts and Chief Compliance Officer Cumberland Pharmaceuticals Inc. Dear John,</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Effective January 1, 2022,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u w:val="single" w:color="auto"/>
          <w:color w:val="auto"/>
        </w:rPr>
        <w:t xml:space="preserve">Compensation. </w:t>
      </w:r>
      <w:r>
        <w:rPr>
          <w:rFonts w:ascii="Arial" w:cs="Arial" w:eastAsia="Arial" w:hAnsi="Arial"/>
          <w:sz w:val="15"/>
          <w:szCs w:val="15"/>
          <w:color w:val="auto"/>
        </w:rPr>
        <w:t>The Company agrees to compensate you as follows:</w:t>
      </w:r>
    </w:p>
    <w:p>
      <w:pPr>
        <w:spacing w:after="0" w:line="163" w:lineRule="exact"/>
        <w:rPr>
          <w:sz w:val="20"/>
          <w:szCs w:val="20"/>
          <w:color w:val="auto"/>
        </w:rPr>
      </w:pPr>
    </w:p>
    <w:p>
      <w:pPr>
        <w:jc w:val="both"/>
        <w:ind w:firstLine="4"/>
        <w:spacing w:after="0" w:line="208" w:lineRule="auto"/>
        <w:tabs>
          <w:tab w:leader="none" w:pos="36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agrees to pay you on a salary basis for services performed based on an annual rate of two hundred and ninety-two thousand dollars ($292,000.00), payable in arrears in equal monthly installments on the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46" w:lineRule="exact"/>
        <w:rPr>
          <w:rFonts w:ascii="Arial" w:cs="Arial" w:eastAsia="Arial" w:hAnsi="Arial"/>
          <w:sz w:val="17"/>
          <w:szCs w:val="17"/>
          <w:color w:val="auto"/>
        </w:rPr>
      </w:pPr>
    </w:p>
    <w:p>
      <w:pPr>
        <w:jc w:val="both"/>
        <w:ind w:firstLine="4"/>
        <w:spacing w:after="0" w:line="225" w:lineRule="auto"/>
        <w:tabs>
          <w:tab w:leader="none" w:pos="367" w:val="left"/>
        </w:tabs>
        <w:numPr>
          <w:ilvl w:val="0"/>
          <w:numId w:val="85"/>
        </w:numPr>
        <w:rPr>
          <w:rFonts w:ascii="Arial" w:cs="Arial" w:eastAsia="Arial" w:hAnsi="Arial"/>
          <w:sz w:val="17"/>
          <w:szCs w:val="17"/>
          <w:color w:val="auto"/>
        </w:rPr>
      </w:pPr>
      <w:r>
        <w:rPr>
          <w:rFonts w:ascii="Arial" w:cs="Arial" w:eastAsia="Arial" w:hAnsi="Arial"/>
          <w:sz w:val="17"/>
          <w:szCs w:val="17"/>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45" w:lineRule="exact"/>
        <w:rPr>
          <w:rFonts w:ascii="Arial" w:cs="Arial" w:eastAsia="Arial" w:hAnsi="Arial"/>
          <w:sz w:val="17"/>
          <w:szCs w:val="17"/>
          <w:color w:val="auto"/>
        </w:rPr>
      </w:pPr>
    </w:p>
    <w:p>
      <w:pPr>
        <w:jc w:val="both"/>
        <w:ind w:firstLine="4"/>
        <w:spacing w:after="0" w:line="239" w:lineRule="auto"/>
        <w:tabs>
          <w:tab w:leader="none" w:pos="3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46" w:lineRule="exact"/>
        <w:rPr>
          <w:rFonts w:ascii="Arial" w:cs="Arial" w:eastAsia="Arial" w:hAnsi="Arial"/>
          <w:sz w:val="16"/>
          <w:szCs w:val="16"/>
          <w:color w:val="auto"/>
        </w:rPr>
      </w:pPr>
    </w:p>
    <w:p>
      <w:pPr>
        <w:jc w:val="both"/>
        <w:ind w:firstLine="4"/>
        <w:spacing w:after="0" w:line="239" w:lineRule="auto"/>
        <w:tabs>
          <w:tab w:leader="none" w:pos="391" w:val="left"/>
        </w:tabs>
        <w:numPr>
          <w:ilvl w:val="0"/>
          <w:numId w:val="85"/>
        </w:numPr>
        <w:rPr>
          <w:rFonts w:ascii="Arial" w:cs="Arial" w:eastAsia="Arial" w:hAnsi="Arial"/>
          <w:sz w:val="16"/>
          <w:szCs w:val="16"/>
          <w:color w:val="auto"/>
        </w:rPr>
      </w:pPr>
      <w:r>
        <w:rPr>
          <w:rFonts w:ascii="Arial" w:cs="Arial" w:eastAsia="Arial" w:hAnsi="Arial"/>
          <w:sz w:val="16"/>
          <w:szCs w:val="16"/>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80"/>
          </w:cols>
          <w:pgMar w:left="300" w:top="1440" w:right="319" w:bottom="1440" w:gutter="0" w:footer="0" w:header="0"/>
        </w:sectPr>
      </w:pPr>
    </w:p>
    <w:bookmarkStart w:id="159" w:name="page160"/>
    <w:bookmarkEnd w:id="159"/>
    <w:p>
      <w:pPr>
        <w:spacing w:after="0" w:line="75" w:lineRule="exact"/>
        <w:rPr>
          <w:sz w:val="20"/>
          <w:szCs w:val="20"/>
          <w:color w:val="auto"/>
        </w:rPr>
      </w:pPr>
    </w:p>
    <w:p>
      <w:pPr>
        <w:ind w:left="-4" w:firstLine="4"/>
        <w:spacing w:after="0" w:line="235" w:lineRule="auto"/>
        <w:tabs>
          <w:tab w:leader="none" w:pos="367" w:val="left"/>
        </w:tabs>
        <w:numPr>
          <w:ilvl w:val="0"/>
          <w:numId w:val="86"/>
        </w:numPr>
        <w:rPr>
          <w:rFonts w:ascii="Arial" w:cs="Arial" w:eastAsia="Arial" w:hAnsi="Arial"/>
          <w:sz w:val="17"/>
          <w:szCs w:val="17"/>
          <w:color w:val="auto"/>
        </w:rPr>
      </w:pPr>
      <w:r>
        <w:rPr>
          <w:rFonts w:ascii="Arial" w:cs="Arial" w:eastAsia="Arial" w:hAnsi="Arial"/>
          <w:sz w:val="17"/>
          <w:szCs w:val="17"/>
          <w:color w:val="auto"/>
        </w:rPr>
        <w:t>Except as set forth in Section 2, the Company shall not be liable to you for any expense incurred by you unless you receive the Company's prior written consent to reimburse you for such expense.</w:t>
      </w:r>
    </w:p>
    <w:p>
      <w:pPr>
        <w:spacing w:after="0" w:line="144" w:lineRule="exact"/>
        <w:rPr>
          <w:rFonts w:ascii="Arial" w:cs="Arial" w:eastAsia="Arial" w:hAnsi="Arial"/>
          <w:sz w:val="17"/>
          <w:szCs w:val="17"/>
          <w:color w:val="auto"/>
        </w:rPr>
      </w:pPr>
    </w:p>
    <w:p>
      <w:pPr>
        <w:jc w:val="both"/>
        <w:ind w:left="-4" w:firstLine="68"/>
        <w:spacing w:after="0" w:line="221" w:lineRule="auto"/>
        <w:tabs>
          <w:tab w:leader="none" w:pos="565"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Additional Payments</w:t>
      </w:r>
      <w:r>
        <w:rPr>
          <w:rFonts w:ascii="Arial" w:cs="Arial" w:eastAsia="Arial" w:hAnsi="Arial"/>
          <w:sz w:val="17"/>
          <w:szCs w:val="17"/>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44" w:lineRule="exact"/>
        <w:rPr>
          <w:sz w:val="20"/>
          <w:szCs w:val="20"/>
          <w:color w:val="auto"/>
        </w:rPr>
      </w:pPr>
    </w:p>
    <w:p>
      <w:pPr>
        <w:jc w:val="both"/>
        <w:ind w:left="-4" w:firstLine="4"/>
        <w:spacing w:after="0" w:line="239"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Employment at Will</w:t>
      </w:r>
      <w:r>
        <w:rPr>
          <w:rFonts w:ascii="Arial" w:cs="Arial" w:eastAsia="Arial" w:hAnsi="Arial"/>
          <w:sz w:val="16"/>
          <w:szCs w:val="16"/>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46" w:lineRule="exact"/>
        <w:rPr>
          <w:rFonts w:ascii="Arial" w:cs="Arial" w:eastAsia="Arial" w:hAnsi="Arial"/>
          <w:sz w:val="16"/>
          <w:szCs w:val="16"/>
          <w:color w:val="auto"/>
        </w:rPr>
      </w:pPr>
    </w:p>
    <w:p>
      <w:pPr>
        <w:jc w:val="both"/>
        <w:ind w:left="-4" w:firstLine="4"/>
        <w:spacing w:after="0" w:line="228" w:lineRule="auto"/>
        <w:tabs>
          <w:tab w:leader="none" w:pos="36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46" w:lineRule="exact"/>
        <w:rPr>
          <w:rFonts w:ascii="Arial" w:cs="Arial" w:eastAsia="Arial" w:hAnsi="Arial"/>
          <w:sz w:val="16"/>
          <w:szCs w:val="16"/>
          <w:color w:val="auto"/>
        </w:rPr>
      </w:pPr>
    </w:p>
    <w:p>
      <w:pPr>
        <w:jc w:val="both"/>
        <w:ind w:left="-4" w:firstLine="4"/>
        <w:spacing w:after="0" w:line="225"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Discoveries and Improvements</w:t>
      </w:r>
      <w:r>
        <w:rPr>
          <w:rFonts w:ascii="Arial" w:cs="Arial" w:eastAsia="Arial" w:hAnsi="Arial"/>
          <w:sz w:val="16"/>
          <w:szCs w:val="16"/>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76"/>
          </w:cols>
          <w:pgMar w:left="304" w:top="1440" w:right="319" w:bottom="1440" w:gutter="0" w:footer="0" w:header="0"/>
        </w:sectPr>
      </w:pPr>
    </w:p>
    <w:bookmarkStart w:id="160" w:name="page161"/>
    <w:bookmarkEnd w:id="160"/>
    <w:p>
      <w:pPr>
        <w:spacing w:after="0" w:line="75" w:lineRule="exact"/>
        <w:rPr>
          <w:sz w:val="20"/>
          <w:szCs w:val="20"/>
          <w:color w:val="auto"/>
        </w:rPr>
      </w:pPr>
    </w:p>
    <w:p>
      <w:pPr>
        <w:jc w:val="both"/>
        <w:ind w:left="-4" w:firstLine="4"/>
        <w:spacing w:after="0" w:line="254" w:lineRule="auto"/>
        <w:tabs>
          <w:tab w:leader="none" w:pos="312"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Publication</w:t>
      </w:r>
      <w:r>
        <w:rPr>
          <w:rFonts w:ascii="Arial" w:cs="Arial" w:eastAsia="Arial" w:hAnsi="Arial"/>
          <w:sz w:val="15"/>
          <w:szCs w:val="15"/>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34" w:lineRule="exact"/>
        <w:rPr>
          <w:rFonts w:ascii="Arial" w:cs="Arial" w:eastAsia="Arial" w:hAnsi="Arial"/>
          <w:sz w:val="15"/>
          <w:szCs w:val="15"/>
          <w:color w:val="auto"/>
        </w:rPr>
      </w:pPr>
    </w:p>
    <w:p>
      <w:pPr>
        <w:jc w:val="both"/>
        <w:ind w:left="-4" w:firstLine="4"/>
        <w:spacing w:after="0" w:line="239" w:lineRule="auto"/>
        <w:tabs>
          <w:tab w:leader="none" w:pos="29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46" w:lineRule="exact"/>
        <w:rPr>
          <w:rFonts w:ascii="Arial" w:cs="Arial" w:eastAsia="Arial" w:hAnsi="Arial"/>
          <w:sz w:val="16"/>
          <w:szCs w:val="16"/>
          <w:color w:val="auto"/>
        </w:rPr>
      </w:pPr>
    </w:p>
    <w:p>
      <w:pPr>
        <w:jc w:val="both"/>
        <w:ind w:left="-4" w:firstLine="4"/>
        <w:spacing w:after="0" w:line="223" w:lineRule="auto"/>
        <w:tabs>
          <w:tab w:leader="none" w:pos="29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Competition</w:t>
      </w:r>
      <w:r>
        <w:rPr>
          <w:rFonts w:ascii="Arial" w:cs="Arial" w:eastAsia="Arial" w:hAnsi="Arial"/>
          <w:sz w:val="16"/>
          <w:szCs w:val="16"/>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55" w:lineRule="exact"/>
        <w:rPr>
          <w:rFonts w:ascii="Arial" w:cs="Arial" w:eastAsia="Arial" w:hAnsi="Arial"/>
          <w:sz w:val="16"/>
          <w:szCs w:val="16"/>
          <w:color w:val="auto"/>
        </w:rPr>
      </w:pPr>
    </w:p>
    <w:p>
      <w:pPr>
        <w:jc w:val="both"/>
        <w:ind w:left="-4" w:firstLine="4"/>
        <w:spacing w:after="0" w:line="221" w:lineRule="auto"/>
        <w:tabs>
          <w:tab w:leader="none" w:pos="322"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Conflicting Contracts</w:t>
      </w:r>
      <w:r>
        <w:rPr>
          <w:rFonts w:ascii="Arial" w:cs="Arial" w:eastAsia="Arial" w:hAnsi="Arial"/>
          <w:sz w:val="17"/>
          <w:szCs w:val="17"/>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44" w:lineRule="exact"/>
        <w:rPr>
          <w:rFonts w:ascii="Arial" w:cs="Arial" w:eastAsia="Arial" w:hAnsi="Arial"/>
          <w:sz w:val="17"/>
          <w:szCs w:val="17"/>
          <w:color w:val="auto"/>
        </w:rPr>
      </w:pPr>
    </w:p>
    <w:p>
      <w:pPr>
        <w:ind w:left="376" w:hanging="376"/>
        <w:spacing w:after="0"/>
        <w:tabs>
          <w:tab w:leader="none" w:pos="37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Solicitation</w:t>
      </w:r>
      <w:r>
        <w:rPr>
          <w:rFonts w:ascii="Arial" w:cs="Arial" w:eastAsia="Arial" w:hAnsi="Arial"/>
          <w:sz w:val="17"/>
          <w:szCs w:val="17"/>
          <w:color w:val="auto"/>
        </w:rPr>
        <w:t>. After you cease to be employed by the Company (or a Company affiliate):</w:t>
      </w:r>
    </w:p>
    <w:p>
      <w:pPr>
        <w:sectPr>
          <w:pgSz w:w="11900" w:h="16838" w:orient="portrait"/>
          <w:cols w:equalWidth="0" w:num="1">
            <w:col w:w="11276"/>
          </w:cols>
          <w:pgMar w:left="304" w:top="1440" w:right="319" w:bottom="1440" w:gutter="0" w:footer="0" w:header="0"/>
        </w:sectPr>
      </w:pPr>
    </w:p>
    <w:bookmarkStart w:id="161" w:name="page162"/>
    <w:bookmarkEnd w:id="161"/>
    <w:p>
      <w:pPr>
        <w:spacing w:after="0" w:line="264" w:lineRule="exact"/>
        <w:rPr>
          <w:sz w:val="20"/>
          <w:szCs w:val="20"/>
          <w:color w:val="auto"/>
        </w:rPr>
      </w:pPr>
    </w:p>
    <w:p>
      <w:pPr>
        <w:jc w:val="both"/>
        <w:ind w:left="-4" w:firstLine="4"/>
        <w:spacing w:after="0" w:line="231" w:lineRule="auto"/>
        <w:tabs>
          <w:tab w:leader="none" w:pos="384" w:val="left"/>
        </w:tabs>
        <w:numPr>
          <w:ilvl w:val="0"/>
          <w:numId w:val="89"/>
        </w:numPr>
        <w:rPr>
          <w:rFonts w:ascii="Arial" w:cs="Arial" w:eastAsia="Arial" w:hAnsi="Arial"/>
          <w:sz w:val="16"/>
          <w:szCs w:val="16"/>
          <w:color w:val="auto"/>
        </w:rPr>
      </w:pPr>
      <w:r>
        <w:rPr>
          <w:rFonts w:ascii="Arial" w:cs="Arial" w:eastAsia="Arial" w:hAnsi="Arial"/>
          <w:sz w:val="16"/>
          <w:szCs w:val="16"/>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47" w:lineRule="exact"/>
        <w:rPr>
          <w:rFonts w:ascii="Arial" w:cs="Arial" w:eastAsia="Arial" w:hAnsi="Arial"/>
          <w:sz w:val="16"/>
          <w:szCs w:val="16"/>
          <w:color w:val="auto"/>
        </w:rPr>
      </w:pPr>
    </w:p>
    <w:p>
      <w:pPr>
        <w:ind w:left="356" w:hanging="356"/>
        <w:spacing w:after="0"/>
        <w:tabs>
          <w:tab w:leader="none" w:pos="356" w:val="left"/>
        </w:tabs>
        <w:numPr>
          <w:ilvl w:val="0"/>
          <w:numId w:val="89"/>
        </w:numPr>
        <w:rPr>
          <w:rFonts w:ascii="Arial" w:cs="Arial" w:eastAsia="Arial" w:hAnsi="Arial"/>
          <w:sz w:val="15"/>
          <w:szCs w:val="15"/>
          <w:color w:val="auto"/>
        </w:rPr>
      </w:pPr>
      <w:r>
        <w:rPr>
          <w:rFonts w:ascii="Arial" w:cs="Arial" w:eastAsia="Arial" w:hAnsi="Arial"/>
          <w:sz w:val="15"/>
          <w:szCs w:val="15"/>
          <w:color w:val="auto"/>
        </w:rPr>
        <w:t>You agree not to solicit, recruit, hire, or assist in the hiring of any employee of the Company to work for you or another person, firm, corporation, or business.</w:t>
      </w:r>
    </w:p>
    <w:p>
      <w:pPr>
        <w:spacing w:after="0" w:line="186" w:lineRule="exact"/>
        <w:rPr>
          <w:sz w:val="20"/>
          <w:szCs w:val="20"/>
          <w:color w:val="auto"/>
        </w:rPr>
      </w:pPr>
    </w:p>
    <w:p>
      <w:pPr>
        <w:jc w:val="both"/>
        <w:ind w:left="-4" w:firstLine="4"/>
        <w:spacing w:after="0" w:line="225" w:lineRule="auto"/>
        <w:tabs>
          <w:tab w:leader="none" w:pos="39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Return of Documents</w:t>
      </w:r>
      <w:r>
        <w:rPr>
          <w:rFonts w:ascii="Arial" w:cs="Arial" w:eastAsia="Arial" w:hAnsi="Arial"/>
          <w:sz w:val="17"/>
          <w:szCs w:val="17"/>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45" w:lineRule="exact"/>
        <w:rPr>
          <w:rFonts w:ascii="Arial" w:cs="Arial" w:eastAsia="Arial" w:hAnsi="Arial"/>
          <w:sz w:val="17"/>
          <w:szCs w:val="17"/>
          <w:color w:val="auto"/>
        </w:rPr>
      </w:pPr>
    </w:p>
    <w:p>
      <w:pPr>
        <w:jc w:val="both"/>
        <w:ind w:left="-4" w:firstLine="4"/>
        <w:spacing w:after="0" w:line="231" w:lineRule="auto"/>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47" w:lineRule="exact"/>
        <w:rPr>
          <w:rFonts w:ascii="Arial" w:cs="Arial" w:eastAsia="Arial" w:hAnsi="Arial"/>
          <w:sz w:val="16"/>
          <w:szCs w:val="16"/>
          <w:color w:val="auto"/>
        </w:rPr>
      </w:pPr>
    </w:p>
    <w:p>
      <w:pPr>
        <w:jc w:val="both"/>
        <w:ind w:left="-4" w:firstLine="4"/>
        <w:spacing w:after="0" w:line="215" w:lineRule="auto"/>
        <w:tabs>
          <w:tab w:leader="none" w:pos="38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Best Efforts and Conflicts of Interest</w:t>
      </w:r>
      <w:r>
        <w:rPr>
          <w:rFonts w:ascii="Arial" w:cs="Arial" w:eastAsia="Arial" w:hAnsi="Arial"/>
          <w:sz w:val="17"/>
          <w:szCs w:val="17"/>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44" w:lineRule="exact"/>
        <w:rPr>
          <w:rFonts w:ascii="Arial" w:cs="Arial" w:eastAsia="Arial" w:hAnsi="Arial"/>
          <w:sz w:val="17"/>
          <w:szCs w:val="17"/>
          <w:color w:val="auto"/>
        </w:rPr>
      </w:pPr>
    </w:p>
    <w:p>
      <w:pPr>
        <w:jc w:val="both"/>
        <w:ind w:left="-4" w:firstLine="4"/>
        <w:spacing w:after="0" w:line="225" w:lineRule="auto"/>
        <w:tabs>
          <w:tab w:leader="none" w:pos="259"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Standards of Business Conduct and Ethics.</w:t>
      </w:r>
      <w:r>
        <w:rPr>
          <w:rFonts w:ascii="Arial" w:cs="Arial" w:eastAsia="Arial" w:hAnsi="Arial"/>
          <w:sz w:val="17"/>
          <w:szCs w:val="17"/>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ectPr>
          <w:pgSz w:w="11900" w:h="16838" w:orient="portrait"/>
          <w:cols w:equalWidth="0" w:num="1">
            <w:col w:w="11276"/>
          </w:cols>
          <w:pgMar w:left="304" w:top="1440" w:right="319" w:bottom="1440" w:gutter="0" w:footer="0" w:header="0"/>
        </w:sectPr>
      </w:pPr>
    </w:p>
    <w:bookmarkStart w:id="162" w:name="page163"/>
    <w:bookmarkEnd w:id="162"/>
    <w:p>
      <w:pPr>
        <w:spacing w:after="0" w:line="75" w:lineRule="exact"/>
        <w:rPr>
          <w:sz w:val="20"/>
          <w:szCs w:val="20"/>
          <w:color w:val="auto"/>
        </w:rPr>
      </w:pPr>
    </w:p>
    <w:p>
      <w:pPr>
        <w:ind w:firstLine="4"/>
        <w:spacing w:after="0" w:line="235" w:lineRule="auto"/>
        <w:tabs>
          <w:tab w:leader="none" w:pos="42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Debarment</w:t>
      </w:r>
      <w:r>
        <w:rPr>
          <w:rFonts w:ascii="Arial" w:cs="Arial" w:eastAsia="Arial" w:hAnsi="Arial"/>
          <w:sz w:val="17"/>
          <w:szCs w:val="17"/>
          <w:color w:val="auto"/>
        </w:rPr>
        <w:t>. You represent and warrant that you have not been debarred and will notify the Company immediately if you are debarred, pursuant to subsection 306(a) or 306(b) of the Federal Food, Drug, and Cosmetic Act.</w:t>
      </w:r>
    </w:p>
    <w:p>
      <w:pPr>
        <w:spacing w:after="0" w:line="144" w:lineRule="exact"/>
        <w:rPr>
          <w:rFonts w:ascii="Arial" w:cs="Arial" w:eastAsia="Arial" w:hAnsi="Arial"/>
          <w:sz w:val="17"/>
          <w:szCs w:val="17"/>
          <w:color w:val="auto"/>
        </w:rPr>
      </w:pPr>
    </w:p>
    <w:p>
      <w:pPr>
        <w:ind w:firstLine="4"/>
        <w:spacing w:after="0" w:line="235" w:lineRule="auto"/>
        <w:tabs>
          <w:tab w:leader="none" w:pos="43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u w:val="single" w:color="auto"/>
          <w:color w:val="auto"/>
        </w:rPr>
        <w:t>Waiver</w:t>
      </w:r>
      <w:r>
        <w:rPr>
          <w:rFonts w:ascii="Arial" w:cs="Arial" w:eastAsia="Arial" w:hAnsi="Arial"/>
          <w:sz w:val="15"/>
          <w:szCs w:val="15"/>
          <w:color w:val="auto"/>
        </w:rPr>
        <w:t>. The waiver by either party of any provision of this Agreement shall not operate or be construed as a waiver of any subsequent breach.</w:t>
      </w:r>
    </w:p>
    <w:p>
      <w:pPr>
        <w:spacing w:after="0" w:line="163" w:lineRule="exact"/>
        <w:rPr>
          <w:sz w:val="20"/>
          <w:szCs w:val="20"/>
          <w:color w:val="auto"/>
        </w:rPr>
      </w:pPr>
    </w:p>
    <w:p>
      <w:pPr>
        <w:ind w:firstLine="4"/>
        <w:spacing w:after="0" w:line="235" w:lineRule="auto"/>
        <w:tabs>
          <w:tab w:leader="none" w:pos="379"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44" w:lineRule="exact"/>
        <w:rPr>
          <w:rFonts w:ascii="Arial" w:cs="Arial" w:eastAsia="Arial" w:hAnsi="Arial"/>
          <w:sz w:val="17"/>
          <w:szCs w:val="17"/>
          <w:color w:val="auto"/>
        </w:rPr>
      </w:pPr>
    </w:p>
    <w:p>
      <w:pPr>
        <w:ind w:firstLine="4"/>
        <w:spacing w:after="0" w:line="235" w:lineRule="auto"/>
        <w:tabs>
          <w:tab w:leader="none" w:pos="453"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Governance</w:t>
      </w:r>
      <w:r>
        <w:rPr>
          <w:rFonts w:ascii="Arial" w:cs="Arial" w:eastAsia="Arial" w:hAnsi="Arial"/>
          <w:sz w:val="17"/>
          <w:szCs w:val="17"/>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44" w:lineRule="exact"/>
        <w:rPr>
          <w:rFonts w:ascii="Arial" w:cs="Arial" w:eastAsia="Arial" w:hAnsi="Arial"/>
          <w:sz w:val="17"/>
          <w:szCs w:val="17"/>
          <w:color w:val="auto"/>
        </w:rPr>
      </w:pPr>
    </w:p>
    <w:p>
      <w:pPr>
        <w:ind w:firstLine="4"/>
        <w:spacing w:after="0" w:line="235" w:lineRule="auto"/>
        <w:tabs>
          <w:tab w:leader="none" w:pos="40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44" w:lineRule="exact"/>
        <w:rPr>
          <w:rFonts w:ascii="Arial" w:cs="Arial" w:eastAsia="Arial" w:hAnsi="Arial"/>
          <w:sz w:val="17"/>
          <w:szCs w:val="17"/>
          <w:color w:val="auto"/>
        </w:rPr>
      </w:pPr>
    </w:p>
    <w:p>
      <w:pPr>
        <w:ind w:left="380" w:hanging="376"/>
        <w:spacing w:after="0"/>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1" w:lineRule="exact"/>
        <w:rPr>
          <w:rFonts w:ascii="Arial" w:cs="Arial" w:eastAsia="Arial" w:hAnsi="Arial"/>
          <w:sz w:val="17"/>
          <w:szCs w:val="17"/>
          <w:color w:val="auto"/>
        </w:rPr>
      </w:pPr>
    </w:p>
    <w:p>
      <w:pPr>
        <w:ind w:left="5540" w:hanging="128"/>
        <w:spacing w:after="0"/>
        <w:tabs>
          <w:tab w:leader="none" w:pos="55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 # #</w:t>
      </w:r>
    </w:p>
    <w:p>
      <w:pPr>
        <w:sectPr>
          <w:pgSz w:w="11900" w:h="16838" w:orient="portrait"/>
          <w:cols w:equalWidth="0" w:num="1">
            <w:col w:w="11280"/>
          </w:cols>
          <w:pgMar w:left="300" w:top="1440" w:right="319" w:bottom="1440" w:gutter="0" w:footer="0" w:header="0"/>
        </w:sectPr>
      </w:pPr>
    </w:p>
    <w:bookmarkStart w:id="163" w:name="page164"/>
    <w:bookmarkEnd w:id="163"/>
    <w:p>
      <w:pPr>
        <w:spacing w:after="0" w:line="200" w:lineRule="exact"/>
        <w:rPr>
          <w:sz w:val="20"/>
          <w:szCs w:val="20"/>
          <w:color w:val="auto"/>
        </w:rPr>
      </w:pPr>
    </w:p>
    <w:p>
      <w:pPr>
        <w:spacing w:after="0" w:line="254" w:lineRule="exact"/>
        <w:rPr>
          <w:sz w:val="20"/>
          <w:szCs w:val="20"/>
          <w:color w:val="auto"/>
        </w:rPr>
      </w:pPr>
    </w:p>
    <w:p>
      <w:pPr>
        <w:ind w:firstLine="506"/>
        <w:spacing w:after="0" w:line="235" w:lineRule="auto"/>
        <w:rPr>
          <w:sz w:val="20"/>
          <w:szCs w:val="20"/>
          <w:color w:val="auto"/>
        </w:rPr>
      </w:pPr>
      <w:r>
        <w:rPr>
          <w:rFonts w:ascii="Arial" w:cs="Arial" w:eastAsia="Arial" w:hAnsi="Arial"/>
          <w:sz w:val="17"/>
          <w:szCs w:val="17"/>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372"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Sincerely yours,</w:t>
      </w:r>
    </w:p>
    <w:p>
      <w:pPr>
        <w:spacing w:after="0" w:line="1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CUMBERLAND PHARMACEUTICALS INC.</w:t>
      </w:r>
    </w:p>
    <w:p>
      <w:pPr>
        <w:spacing w:after="0" w:line="18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13970</wp:posOffset>
            </wp:positionV>
            <wp:extent cx="310578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3105785" cy="6985"/>
                    </a:xfrm>
                    <a:prstGeom prst="rect">
                      <a:avLst/>
                    </a:prstGeom>
                    <a:noFill/>
                  </pic:spPr>
                </pic:pic>
              </a:graphicData>
            </a:graphic>
          </wp:anchor>
        </w:drawing>
      </w:r>
    </w:p>
    <w:p>
      <w:pPr>
        <w:spacing w:after="0" w:line="6"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7"/>
          <w:szCs w:val="17"/>
          <w:color w:val="auto"/>
        </w:rPr>
        <w:t>By:</w:t>
        <w:tab/>
        <w:t>A.J. Kazimi</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Accepted as to all terms and conditions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of the 7th of March, 2022:</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James L.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442468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4424680" cy="698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James L. Herman</w:t>
      </w:r>
    </w:p>
    <w:p>
      <w:pPr>
        <w:sectPr>
          <w:pgSz w:w="11900" w:h="16838" w:orient="portrait"/>
          <w:cols w:equalWidth="0" w:num="1">
            <w:col w:w="11280"/>
          </w:cols>
          <w:pgMar w:left="300" w:top="1440" w:right="319" w:bottom="1440"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300355</wp:posOffset>
            </wp:positionH>
            <wp:positionV relativeFrom="page">
              <wp:posOffset>303530</wp:posOffset>
            </wp:positionV>
            <wp:extent cx="7061835" cy="10300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061835" cy="1030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300355</wp:posOffset>
            </wp:positionH>
            <wp:positionV relativeFrom="page">
              <wp:posOffset>88900</wp:posOffset>
            </wp:positionV>
            <wp:extent cx="7061835"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06183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300355</wp:posOffset>
            </wp:positionH>
            <wp:positionV relativeFrom="page">
              <wp:posOffset>88900</wp:posOffset>
            </wp:positionV>
            <wp:extent cx="7061835"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06183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068185" cy="53181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068185" cy="5318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300355</wp:posOffset>
            </wp:positionH>
            <wp:positionV relativeFrom="page">
              <wp:posOffset>423545</wp:posOffset>
            </wp:positionV>
            <wp:extent cx="7061835" cy="1018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06183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068185" cy="82092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068185" cy="820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302895</wp:posOffset>
            </wp:positionV>
            <wp:extent cx="7082155" cy="10301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301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3378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06920" cy="533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584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06920"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78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106920" cy="547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85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06920" cy="548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423545</wp:posOffset>
            </wp:positionV>
            <wp:extent cx="7082155" cy="1018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423545</wp:posOffset>
            </wp:positionV>
            <wp:extent cx="7082155" cy="1018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423545</wp:posOffset>
            </wp:positionV>
            <wp:extent cx="7082155" cy="1018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423545</wp:posOffset>
            </wp:positionV>
            <wp:extent cx="7082155" cy="1018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423545</wp:posOffset>
            </wp:positionV>
            <wp:extent cx="7082155" cy="1018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8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7106920" cy="549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8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7106920" cy="549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300355</wp:posOffset>
            </wp:positionH>
            <wp:positionV relativeFrom="page">
              <wp:posOffset>423545</wp:posOffset>
            </wp:positionV>
            <wp:extent cx="7103745" cy="1018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10374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300355</wp:posOffset>
            </wp:positionH>
            <wp:positionV relativeFrom="page">
              <wp:posOffset>88900</wp:posOffset>
            </wp:positionV>
            <wp:extent cx="7103745" cy="10515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10374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300355</wp:posOffset>
            </wp:positionH>
            <wp:positionV relativeFrom="page">
              <wp:posOffset>88900</wp:posOffset>
            </wp:positionV>
            <wp:extent cx="7103745" cy="10515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10374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584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7106920"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584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7106920"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5528310</wp:posOffset>
            </wp:positionV>
            <wp:extent cx="7106920"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710692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78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7106920" cy="547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423545</wp:posOffset>
            </wp:positionV>
            <wp:extent cx="7082155" cy="1018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82155" cy="105156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70821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787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710692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5554980</wp:posOffset>
            </wp:positionV>
            <wp:extent cx="7106920" cy="19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710692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921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710692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78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7106920" cy="547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717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7106920" cy="547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7068820" cy="10515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54717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7106920" cy="547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5534660</wp:posOffset>
            </wp:positionV>
            <wp:extent cx="7106920"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710692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423545</wp:posOffset>
            </wp:positionV>
            <wp:extent cx="7068820" cy="1018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706882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88900</wp:posOffset>
            </wp:positionV>
            <wp:extent cx="7106920" cy="82226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7106920" cy="822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2" w:name="page283"/>
    <w:bookmarkEnd w:id="282"/>
    <w:p>
      <w:pPr>
        <w:jc w:val="right"/>
        <w:spacing w:after="0"/>
        <w:rPr>
          <w:sz w:val="20"/>
          <w:szCs w:val="20"/>
          <w:color w:val="auto"/>
        </w:rPr>
      </w:pPr>
      <w:r>
        <w:rPr>
          <w:rFonts w:ascii="Arial" w:cs="Arial" w:eastAsia="Arial" w:hAnsi="Arial"/>
          <w:sz w:val="17"/>
          <w:szCs w:val="17"/>
          <w:color w:val="auto"/>
        </w:rPr>
        <w:t>Exhibit 23.1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Cumberland Pharmaceuticals Inc.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We hereby consent to the incorporation by reference in the Registration Statements on Form S-3 (No. 333-251308) and Form S-8 (No. 333-164376) of Cumberland Pharmaceuticals Inc. of our report dated March 20, 2020, (except for the effects of presenting discontinued operations discussed in Note 19, as to which the date is December 10, 2020), relating to the consolidated financial statements and schedule, which appears in this Form 10-K.</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/s/ BDO USA, LLP</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March 11, 2022</w:t>
      </w:r>
    </w:p>
    <w:p>
      <w:pPr>
        <w:sectPr>
          <w:pgSz w:w="11900" w:h="16838" w:orient="portrait"/>
          <w:cols w:equalWidth="0" w:num="1">
            <w:col w:w="11280"/>
          </w:cols>
          <w:pgMar w:left="300" w:top="513" w:right="319" w:bottom="1440" w:gutter="0" w:footer="0" w:header="0"/>
        </w:sectPr>
      </w:pPr>
    </w:p>
    <w:bookmarkStart w:id="283" w:name="page284"/>
    <w:bookmarkEnd w:id="283"/>
    <w:p>
      <w:pPr>
        <w:jc w:val="right"/>
        <w:spacing w:after="0"/>
        <w:rPr>
          <w:sz w:val="20"/>
          <w:szCs w:val="20"/>
          <w:color w:val="auto"/>
        </w:rPr>
      </w:pPr>
      <w:r>
        <w:rPr>
          <w:rFonts w:ascii="Arial" w:cs="Arial" w:eastAsia="Arial" w:hAnsi="Arial"/>
          <w:sz w:val="17"/>
          <w:szCs w:val="17"/>
          <w:color w:val="auto"/>
        </w:rPr>
        <w:t>Exhibit 23.2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37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consent to the incorporation by reference in the registration statement of Cumberland Pharmaceuticals Inc. (Company) on Form S-3 (No. 333-251308) and Form S-8 (No. 333-164376) of our report dated March 11, 2022, on our audits of the consolidated financial statements of the Company as of December 31, 2021 and 2020, and for each of the two years in the period ended December 31, 2021, which report is included in this Annual Report on Form 10-K.</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/s/ BKD, LLP</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March 11, 2022</w:t>
      </w:r>
    </w:p>
    <w:p>
      <w:pPr>
        <w:sectPr>
          <w:pgSz w:w="11900" w:h="16838" w:orient="portrait"/>
          <w:cols w:equalWidth="0" w:num="1">
            <w:col w:w="11280"/>
          </w:cols>
          <w:pgMar w:left="300" w:top="513" w:right="319" w:bottom="1440" w:gutter="0" w:footer="0" w:header="0"/>
        </w:sectPr>
      </w:pPr>
    </w:p>
    <w:bookmarkStart w:id="284" w:name="page285"/>
    <w:bookmarkEnd w:id="284"/>
    <w:p>
      <w:pPr>
        <w:jc w:val="right"/>
        <w:spacing w:after="0"/>
        <w:rPr>
          <w:sz w:val="20"/>
          <w:szCs w:val="20"/>
          <w:color w:val="auto"/>
        </w:rPr>
      </w:pPr>
      <w:r>
        <w:rPr>
          <w:rFonts w:ascii="Arial" w:cs="Arial" w:eastAsia="Arial" w:hAnsi="Arial"/>
          <w:sz w:val="14"/>
          <w:szCs w:val="14"/>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I, A.J. Kazimi, certify that:</w:t>
      </w:r>
    </w:p>
    <w:p>
      <w:pPr>
        <w:spacing w:after="0" w:line="39" w:lineRule="exact"/>
        <w:rPr>
          <w:sz w:val="20"/>
          <w:szCs w:val="20"/>
          <w:color w:val="auto"/>
        </w:rPr>
      </w:pPr>
    </w:p>
    <w:p>
      <w:pPr>
        <w:ind w:left="720" w:hanging="667"/>
        <w:spacing w:after="0"/>
        <w:tabs>
          <w:tab w:leader="none" w:pos="7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 have reviewed this Form 10-K of Cumberland Pharmaceuticals Inc.;</w:t>
      </w:r>
    </w:p>
    <w:p>
      <w:pPr>
        <w:spacing w:after="0" w:line="123" w:lineRule="exact"/>
        <w:rPr>
          <w:rFonts w:ascii="Arial" w:cs="Arial" w:eastAsia="Arial" w:hAnsi="Arial"/>
          <w:sz w:val="14"/>
          <w:szCs w:val="14"/>
          <w:color w:val="auto"/>
        </w:rPr>
      </w:pPr>
    </w:p>
    <w:p>
      <w:pPr>
        <w:ind w:left="720" w:right="600" w:hanging="667"/>
        <w:spacing w:after="0" w:line="235" w:lineRule="auto"/>
        <w:tabs>
          <w:tab w:leader="none" w:pos="7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left="720" w:right="60" w:hanging="667"/>
        <w:spacing w:after="0" w:line="235" w:lineRule="auto"/>
        <w:tabs>
          <w:tab w:leader="none" w:pos="7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4"/>
          <w:szCs w:val="14"/>
          <w:color w:val="auto"/>
        </w:rPr>
      </w:pPr>
    </w:p>
    <w:p>
      <w:pPr>
        <w:ind w:left="720" w:right="240" w:hanging="667"/>
        <w:spacing w:after="0" w:line="235" w:lineRule="auto"/>
        <w:tabs>
          <w:tab w:leader="none" w:pos="7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Arial" w:cs="Arial" w:eastAsia="Arial" w:hAnsi="Arial"/>
          <w:sz w:val="14"/>
          <w:szCs w:val="14"/>
          <w:color w:val="auto"/>
        </w:rPr>
      </w:pPr>
    </w:p>
    <w:p>
      <w:pPr>
        <w:ind w:left="440" w:hanging="260"/>
        <w:spacing w:after="0" w:line="279" w:lineRule="auto"/>
        <w:tabs>
          <w:tab w:leader="none" w:pos="432" w:val="left"/>
        </w:tabs>
        <w:numPr>
          <w:ilvl w:val="1"/>
          <w:numId w:val="9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40" w:hanging="260"/>
        <w:spacing w:after="0" w:line="270" w:lineRule="auto"/>
        <w:tabs>
          <w:tab w:leader="none" w:pos="440" w:val="left"/>
        </w:tabs>
        <w:numPr>
          <w:ilvl w:val="1"/>
          <w:numId w:val="9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40" w:hanging="260"/>
        <w:spacing w:after="0" w:line="251" w:lineRule="auto"/>
        <w:tabs>
          <w:tab w:leader="none" w:pos="432" w:val="left"/>
        </w:tabs>
        <w:numPr>
          <w:ilvl w:val="1"/>
          <w:numId w:val="9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40" w:hanging="260"/>
        <w:spacing w:after="0"/>
        <w:tabs>
          <w:tab w:leader="none" w:pos="440" w:val="left"/>
        </w:tabs>
        <w:numPr>
          <w:ilvl w:val="1"/>
          <w:numId w:val="9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1080" w:right="280" w:hanging="886"/>
        <w:spacing w:after="0" w:line="235" w:lineRule="auto"/>
        <w:tabs>
          <w:tab w:leader="none" w:pos="827" w:val="left"/>
        </w:tabs>
        <w:numPr>
          <w:ilvl w:val="1"/>
          <w:numId w:val="9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2" w:lineRule="exact"/>
        <w:rPr>
          <w:rFonts w:ascii="Arial" w:cs="Arial" w:eastAsia="Arial" w:hAnsi="Arial"/>
          <w:sz w:val="14"/>
          <w:szCs w:val="14"/>
          <w:color w:val="auto"/>
        </w:rPr>
      </w:pPr>
    </w:p>
    <w:p>
      <w:pPr>
        <w:ind w:left="420" w:hanging="240"/>
        <w:spacing w:after="0"/>
        <w:tabs>
          <w:tab w:leader="none" w:pos="4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 record, process, summarize and report financial information; and</w:t>
      </w:r>
    </w:p>
    <w:p>
      <w:pPr>
        <w:spacing w:after="0" w:line="8"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13"/>
          <w:szCs w:val="13"/>
          <w:color w:val="auto"/>
        </w:rPr>
        <w:t>b.</w:t>
        <w:tab/>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79"/>
        </w:trPr>
        <w:tc>
          <w:tcPr>
            <w:tcW w:w="3220" w:type="dxa"/>
            <w:vAlign w:val="bottom"/>
          </w:tcPr>
          <w:p>
            <w:pPr>
              <w:spacing w:after="0"/>
              <w:rPr>
                <w:sz w:val="20"/>
                <w:szCs w:val="20"/>
                <w:color w:val="auto"/>
              </w:rPr>
            </w:pPr>
            <w:r>
              <w:rPr>
                <w:rFonts w:ascii="Arial" w:cs="Arial" w:eastAsia="Arial" w:hAnsi="Arial"/>
                <w:sz w:val="14"/>
                <w:szCs w:val="14"/>
                <w:color w:val="auto"/>
              </w:rPr>
              <w:t>March 11, 2022</w:t>
            </w:r>
          </w:p>
        </w:tc>
        <w:tc>
          <w:tcPr>
            <w:tcW w:w="2840" w:type="dxa"/>
            <w:vAlign w:val="bottom"/>
          </w:tcPr>
          <w:p>
            <w:pPr>
              <w:ind w:left="2340"/>
              <w:spacing w:after="0"/>
              <w:rPr>
                <w:sz w:val="20"/>
                <w:szCs w:val="20"/>
                <w:color w:val="auto"/>
              </w:rPr>
            </w:pPr>
            <w:r>
              <w:rPr>
                <w:rFonts w:ascii="Arial" w:cs="Arial" w:eastAsia="Arial" w:hAnsi="Arial"/>
                <w:sz w:val="14"/>
                <w:szCs w:val="14"/>
                <w:color w:val="auto"/>
              </w:rPr>
              <w:t>By:</w:t>
            </w:r>
          </w:p>
        </w:tc>
        <w:tc>
          <w:tcPr>
            <w:tcW w:w="4960" w:type="dxa"/>
            <w:vAlign w:val="bottom"/>
            <w:gridSpan w:val="2"/>
          </w:tcPr>
          <w:p>
            <w:pPr>
              <w:ind w:left="280"/>
              <w:spacing w:after="0"/>
              <w:rPr>
                <w:sz w:val="20"/>
                <w:szCs w:val="20"/>
                <w:color w:val="auto"/>
              </w:rPr>
            </w:pPr>
            <w:r>
              <w:rPr>
                <w:rFonts w:ascii="Arial" w:cs="Arial" w:eastAsia="Arial" w:hAnsi="Arial"/>
                <w:sz w:val="14"/>
                <w:szCs w:val="14"/>
                <w:color w:val="auto"/>
              </w:rPr>
              <w:t>/s/ A.J. Kazimi</w:t>
            </w:r>
          </w:p>
        </w:tc>
      </w:tr>
      <w:tr>
        <w:trPr>
          <w:trHeight w:val="170"/>
        </w:trPr>
        <w:tc>
          <w:tcPr>
            <w:tcW w:w="3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w w:val="90"/>
              </w:rPr>
              <w:t>A.J.</w:t>
            </w:r>
          </w:p>
        </w:tc>
        <w:tc>
          <w:tcPr>
            <w:tcW w:w="4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Kazimi</w:t>
            </w:r>
          </w:p>
        </w:tc>
      </w:tr>
      <w:tr>
        <w:trPr>
          <w:trHeight w:val="179"/>
        </w:trPr>
        <w:tc>
          <w:tcPr>
            <w:tcW w:w="3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960" w:type="dxa"/>
            <w:vAlign w:val="bottom"/>
            <w:gridSpan w:val="2"/>
          </w:tcPr>
          <w:p>
            <w:pPr>
              <w:ind w:left="28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80"/>
          </w:cols>
          <w:pgMar w:left="300" w:top="726" w:right="3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4"/>
          <w:szCs w:val="14"/>
          <w:b w:val="1"/>
          <w:bCs w:val="1"/>
          <w:color w:val="auto"/>
        </w:rPr>
        <w:t>Exhibit 31.2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I, John M. Hamm, certify that:</w:t>
      </w:r>
    </w:p>
    <w:p>
      <w:pPr>
        <w:spacing w:after="0" w:line="39" w:lineRule="exact"/>
        <w:rPr>
          <w:sz w:val="20"/>
          <w:szCs w:val="20"/>
          <w:color w:val="auto"/>
        </w:rPr>
      </w:pPr>
    </w:p>
    <w:p>
      <w:pPr>
        <w:ind w:left="720" w:hanging="667"/>
        <w:spacing w:after="0"/>
        <w:tabs>
          <w:tab w:leader="none" w:pos="7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 have reviewed this Form 10-K of Cumberland Pharmaceuticals Inc.;</w:t>
      </w:r>
    </w:p>
    <w:p>
      <w:pPr>
        <w:spacing w:after="0" w:line="123" w:lineRule="exact"/>
        <w:rPr>
          <w:rFonts w:ascii="Arial" w:cs="Arial" w:eastAsia="Arial" w:hAnsi="Arial"/>
          <w:sz w:val="14"/>
          <w:szCs w:val="14"/>
          <w:color w:val="auto"/>
        </w:rPr>
      </w:pPr>
    </w:p>
    <w:p>
      <w:pPr>
        <w:ind w:left="720" w:right="600" w:hanging="667"/>
        <w:spacing w:after="0" w:line="235" w:lineRule="auto"/>
        <w:tabs>
          <w:tab w:leader="none" w:pos="7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4"/>
          <w:szCs w:val="14"/>
          <w:color w:val="auto"/>
        </w:rPr>
      </w:pPr>
    </w:p>
    <w:p>
      <w:pPr>
        <w:ind w:left="720" w:right="60" w:hanging="667"/>
        <w:spacing w:after="0" w:line="235" w:lineRule="auto"/>
        <w:tabs>
          <w:tab w:leader="none" w:pos="7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720" w:right="240" w:hanging="667"/>
        <w:spacing w:after="0" w:line="235" w:lineRule="auto"/>
        <w:tabs>
          <w:tab w:leader="none" w:pos="7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Arial" w:cs="Arial" w:eastAsia="Arial" w:hAnsi="Arial"/>
          <w:sz w:val="14"/>
          <w:szCs w:val="14"/>
          <w:color w:val="auto"/>
        </w:rPr>
      </w:pPr>
    </w:p>
    <w:p>
      <w:pPr>
        <w:ind w:left="440" w:hanging="260"/>
        <w:spacing w:after="0" w:line="279" w:lineRule="auto"/>
        <w:tabs>
          <w:tab w:leader="none" w:pos="432" w:val="left"/>
        </w:tabs>
        <w:numPr>
          <w:ilvl w:val="1"/>
          <w:numId w:val="9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40" w:hanging="260"/>
        <w:spacing w:after="0" w:line="270" w:lineRule="auto"/>
        <w:tabs>
          <w:tab w:leader="none" w:pos="440" w:val="left"/>
        </w:tabs>
        <w:numPr>
          <w:ilvl w:val="1"/>
          <w:numId w:val="9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40" w:hanging="260"/>
        <w:spacing w:after="0" w:line="251" w:lineRule="auto"/>
        <w:tabs>
          <w:tab w:leader="none" w:pos="432" w:val="left"/>
        </w:tabs>
        <w:numPr>
          <w:ilvl w:val="1"/>
          <w:numId w:val="9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40" w:hanging="260"/>
        <w:spacing w:after="0"/>
        <w:tabs>
          <w:tab w:leader="none" w:pos="4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1080" w:right="280" w:hanging="886"/>
        <w:spacing w:after="0" w:line="235" w:lineRule="auto"/>
        <w:tabs>
          <w:tab w:leader="none" w:pos="827" w:val="left"/>
        </w:tabs>
        <w:numPr>
          <w:ilvl w:val="1"/>
          <w:numId w:val="9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rFonts w:ascii="Arial" w:cs="Arial" w:eastAsia="Arial" w:hAnsi="Arial"/>
          <w:sz w:val="14"/>
          <w:szCs w:val="14"/>
          <w:color w:val="auto"/>
        </w:rPr>
      </w:pPr>
    </w:p>
    <w:p>
      <w:pPr>
        <w:ind w:left="440" w:hanging="260"/>
        <w:spacing w:after="0" w:line="259" w:lineRule="auto"/>
        <w:tabs>
          <w:tab w:leader="none" w:pos="4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80"/>
        <w:spacing w:after="0"/>
        <w:tabs>
          <w:tab w:leader="none" w:pos="420" w:val="left"/>
        </w:tabs>
        <w:rPr>
          <w:sz w:val="20"/>
          <w:szCs w:val="20"/>
          <w:color w:val="auto"/>
        </w:rPr>
      </w:pPr>
      <w:r>
        <w:rPr>
          <w:rFonts w:ascii="Arial" w:cs="Arial" w:eastAsia="Arial" w:hAnsi="Arial"/>
          <w:sz w:val="13"/>
          <w:szCs w:val="13"/>
          <w:color w:val="auto"/>
        </w:rPr>
        <w:t>b.</w:t>
        <w:tab/>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79"/>
        </w:trPr>
        <w:tc>
          <w:tcPr>
            <w:tcW w:w="3220" w:type="dxa"/>
            <w:vAlign w:val="bottom"/>
          </w:tcPr>
          <w:p>
            <w:pPr>
              <w:spacing w:after="0"/>
              <w:rPr>
                <w:sz w:val="20"/>
                <w:szCs w:val="20"/>
                <w:color w:val="auto"/>
              </w:rPr>
            </w:pPr>
            <w:r>
              <w:rPr>
                <w:rFonts w:ascii="Arial" w:cs="Arial" w:eastAsia="Arial" w:hAnsi="Arial"/>
                <w:sz w:val="14"/>
                <w:szCs w:val="14"/>
                <w:color w:val="auto"/>
              </w:rPr>
              <w:t>March 11, 2022</w:t>
            </w:r>
          </w:p>
        </w:tc>
        <w:tc>
          <w:tcPr>
            <w:tcW w:w="2800" w:type="dxa"/>
            <w:vAlign w:val="bottom"/>
          </w:tcPr>
          <w:p>
            <w:pPr>
              <w:ind w:left="2320"/>
              <w:spacing w:after="0"/>
              <w:rPr>
                <w:sz w:val="20"/>
                <w:szCs w:val="20"/>
                <w:color w:val="auto"/>
              </w:rPr>
            </w:pPr>
            <w:r>
              <w:rPr>
                <w:rFonts w:ascii="Arial" w:cs="Arial" w:eastAsia="Arial" w:hAnsi="Arial"/>
                <w:sz w:val="14"/>
                <w:szCs w:val="14"/>
                <w:color w:val="auto"/>
              </w:rPr>
              <w:t>By:</w:t>
            </w:r>
          </w:p>
        </w:tc>
        <w:tc>
          <w:tcPr>
            <w:tcW w:w="4980" w:type="dxa"/>
            <w:vAlign w:val="bottom"/>
            <w:gridSpan w:val="2"/>
          </w:tcPr>
          <w:p>
            <w:pPr>
              <w:ind w:left="300"/>
              <w:spacing w:after="0"/>
              <w:rPr>
                <w:sz w:val="20"/>
                <w:szCs w:val="20"/>
                <w:color w:val="auto"/>
              </w:rPr>
            </w:pPr>
            <w:r>
              <w:rPr>
                <w:rFonts w:ascii="Arial" w:cs="Arial" w:eastAsia="Arial" w:hAnsi="Arial"/>
                <w:sz w:val="14"/>
                <w:szCs w:val="14"/>
                <w:color w:val="auto"/>
              </w:rPr>
              <w:t>/s/ John M. Hamm</w:t>
            </w:r>
          </w:p>
        </w:tc>
      </w:tr>
      <w:tr>
        <w:trPr>
          <w:trHeight w:val="170"/>
        </w:trPr>
        <w:tc>
          <w:tcPr>
            <w:tcW w:w="3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w w:val="72"/>
              </w:rPr>
              <w:t>John</w:t>
            </w:r>
          </w:p>
        </w:tc>
        <w:tc>
          <w:tcPr>
            <w:tcW w:w="44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M. Hamm</w:t>
            </w:r>
          </w:p>
        </w:tc>
      </w:tr>
      <w:tr>
        <w:trPr>
          <w:trHeight w:val="179"/>
        </w:trPr>
        <w:tc>
          <w:tcPr>
            <w:tcW w:w="3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980" w:type="dxa"/>
            <w:vAlign w:val="bottom"/>
            <w:gridSpan w:val="2"/>
          </w:tcPr>
          <w:p>
            <w:pPr>
              <w:ind w:left="300"/>
              <w:spacing w:after="0"/>
              <w:rPr>
                <w:sz w:val="20"/>
                <w:szCs w:val="20"/>
                <w:color w:val="auto"/>
              </w:rPr>
            </w:pPr>
            <w:r>
              <w:rPr>
                <w:rFonts w:ascii="Arial" w:cs="Arial" w:eastAsia="Arial" w:hAnsi="Arial"/>
                <w:sz w:val="14"/>
                <w:szCs w:val="14"/>
                <w:color w:val="auto"/>
              </w:rPr>
              <w:t>Senior Director and Chief Financial Officer</w:t>
            </w:r>
          </w:p>
        </w:tc>
      </w:tr>
    </w:tbl>
    <w:p>
      <w:pPr>
        <w:sectPr>
          <w:pgSz w:w="11900" w:h="16838" w:orient="portrait"/>
          <w:cols w:equalWidth="0" w:num="1">
            <w:col w:w="11280"/>
          </w:cols>
          <w:pgMar w:left="300" w:top="842" w:right="3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4"/>
          <w:szCs w:val="14"/>
          <w:b w:val="1"/>
          <w:bCs w:val="1"/>
          <w:color w:val="auto"/>
        </w:rPr>
        <w:t>Exhibit 32.1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Annual Report of Cumberland Pharmaceuticals Inc. (the “Company”) on Form 10-K for the fiscal year ended December 31, 2021, as filed with the Securities and Exchange Commission on the date hereof (the “Report”), I, A.J. Kazimi, Chief Executive Officer, and Michael P. Bonner, Senior Director and Chief Financial Officer, of the Company, certify, pursuant to Section 906 of the Sarbanes-Oxley Act of 2002 (18 U.S.C. section 1350), that, based on my knowledge:</w:t>
      </w:r>
    </w:p>
    <w:p>
      <w:pPr>
        <w:spacing w:after="0" w:line="89" w:lineRule="exact"/>
        <w:rPr>
          <w:sz w:val="20"/>
          <w:szCs w:val="20"/>
          <w:color w:val="auto"/>
        </w:rPr>
      </w:pPr>
    </w:p>
    <w:p>
      <w:pPr>
        <w:ind w:left="140" w:hanging="136"/>
        <w:spacing w:after="0"/>
        <w:tabs>
          <w:tab w:leader="none" w:pos="1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23" w:lineRule="exact"/>
        <w:rPr>
          <w:rFonts w:ascii="Arial" w:cs="Arial" w:eastAsia="Arial" w:hAnsi="Arial"/>
          <w:sz w:val="14"/>
          <w:szCs w:val="14"/>
          <w:color w:val="auto"/>
        </w:rPr>
      </w:pPr>
    </w:p>
    <w:p>
      <w:pPr>
        <w:ind w:left="140" w:hanging="136"/>
        <w:spacing w:after="0"/>
        <w:tabs>
          <w:tab w:leader="none" w:pos="1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11430</wp:posOffset>
            </wp:positionV>
            <wp:extent cx="264414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Arial" w:cs="Arial" w:eastAsia="Arial" w:hAnsi="Arial"/>
          <w:sz w:val="14"/>
          <w:szCs w:val="14"/>
          <w:color w:val="auto"/>
        </w:rPr>
        <w:t>A.J. Kazimi</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Chief Executive Officer</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March 11, 2022</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 John M.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11430</wp:posOffset>
            </wp:positionV>
            <wp:extent cx="264414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Arial" w:cs="Arial" w:eastAsia="Arial" w:hAnsi="Arial"/>
          <w:sz w:val="14"/>
          <w:szCs w:val="14"/>
          <w:color w:val="auto"/>
        </w:rPr>
        <w:t>John M. Hamm</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4"/>
          <w:szCs w:val="14"/>
          <w:color w:val="auto"/>
        </w:rPr>
        <w:t>Senior Director and Chief Financial Officer</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March 11, 2022</w:t>
      </w:r>
    </w:p>
    <w:sectPr>
      <w:pgSz w:w="11900" w:h="16838" w:orient="portrait"/>
      <w:cols w:equalWidth="0" w:num="1">
        <w:col w:w="11280"/>
      </w:cols>
      <w:pgMar w:left="300" w:top="7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1."/>
      <w:numFmt w:val="decimal"/>
      <w:start w:val="4"/>
    </w:lvl>
  </w:abstractNum>
  <w:abstractNum w:abstractNumId="35">
    <w:nsid w:val="1381823A"/>
    <w:multiLevelType w:val="hybridMultilevel"/>
    <w:lvl w:ilvl="0">
      <w:lvlJc w:val="left"/>
      <w:lvlText w:val="%1."/>
      <w:numFmt w:val="lowerLetter"/>
      <w:start w:val="1"/>
    </w:lvl>
  </w:abstractNum>
  <w:abstractNum w:abstractNumId="36">
    <w:nsid w:val="5DB70AE5"/>
    <w:multiLevelType w:val="hybridMultilevel"/>
    <w:lvl w:ilvl="0">
      <w:lvlJc w:val="left"/>
      <w:lvlText w:val="%1"/>
      <w:numFmt w:val="decimal"/>
      <w:start w:val="2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1)"/>
      <w:numFmt w:val="lowerLetter"/>
      <w:start w:val="3"/>
    </w:lvl>
  </w:abstractNum>
  <w:abstractNum w:abstractNumId="45">
    <w:nsid w:val="168E121F"/>
    <w:multiLevelType w:val="hybridMultilevel"/>
    <w:lvl w:ilvl="0">
      <w:lvlJc w:val="left"/>
      <w:lvlText w:val="(%1)"/>
      <w:numFmt w:val="lowerLetter"/>
      <w:start w:val="5"/>
    </w:lvl>
  </w:abstractNum>
  <w:abstractNum w:abstractNumId="46">
    <w:nsid w:val="1EBA5D23"/>
    <w:multiLevelType w:val="hybridMultilevel"/>
    <w:lvl w:ilvl="0">
      <w:lvlJc w:val="left"/>
      <w:lvlText w:val="(%1)"/>
      <w:numFmt w:val="lowerLetter"/>
      <w:start w:val="6"/>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57"/>
    </w:lvl>
  </w:abstractNum>
  <w:abstractNum w:abstractNumId="49">
    <w:nsid w:val="540A471C"/>
    <w:multiLevelType w:val="hybridMultilevel"/>
    <w:lvl w:ilvl="0">
      <w:lvlJc w:val="left"/>
      <w:lvlText w:val="(%1)"/>
      <w:numFmt w:val="decimal"/>
      <w:start w:val="16"/>
    </w:lvl>
  </w:abstractNum>
  <w:abstractNum w:abstractNumId="50">
    <w:nsid w:val="7BD3EE7B"/>
    <w:multiLevelType w:val="hybridMultilevel"/>
    <w:lvl w:ilvl="0">
      <w:lvlJc w:val="left"/>
      <w:lvlText w:val="(%1)"/>
      <w:numFmt w:val="decimal"/>
      <w:start w:val="19"/>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1)"/>
      <w:numFmt w:val="lowerLetter"/>
      <w:start w:val="1"/>
    </w:lvl>
  </w:abstractNum>
  <w:abstractNum w:abstractNumId="53">
    <w:nsid w:val="BF72B14"/>
    <w:multiLevelType w:val="hybridMultilevel"/>
    <w:lvl w:ilvl="0">
      <w:lvlJc w:val="left"/>
      <w:lvlText w:val="(%1)"/>
      <w:numFmt w:val="lowerLetter"/>
      <w:start w:val="5"/>
    </w:lvl>
    <w:lvl w:ilvl="1">
      <w:lvlJc w:val="left"/>
      <w:lvlText w:val="%2."/>
      <w:numFmt w:val="decimal"/>
      <w:start w:val="2"/>
    </w:lvl>
  </w:abstractNum>
  <w:abstractNum w:abstractNumId="54">
    <w:nsid w:val="11447B73"/>
    <w:multiLevelType w:val="hybridMultilevel"/>
    <w:lvl w:ilvl="0">
      <w:lvlJc w:val="left"/>
      <w:lvlText w:val="%1."/>
      <w:numFmt w:val="decimal"/>
      <w:start w:val="3"/>
    </w:lvl>
  </w:abstractNum>
  <w:abstractNum w:abstractNumId="55">
    <w:nsid w:val="42963E5A"/>
    <w:multiLevelType w:val="hybridMultilevel"/>
    <w:lvl w:ilvl="0">
      <w:lvlJc w:val="left"/>
      <w:lvlText w:val="%1."/>
      <w:numFmt w:val="decimal"/>
      <w:start w:val="6"/>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decimal"/>
      <w:start w:val="11"/>
    </w:lvl>
  </w:abstractNum>
  <w:abstractNum w:abstractNumId="58">
    <w:nsid w:val="1A32234B"/>
    <w:multiLevelType w:val="hybridMultilevel"/>
    <w:lvl w:ilvl="0">
      <w:lvlJc w:val="left"/>
      <w:lvlText w:val="%1."/>
      <w:numFmt w:val="decimal"/>
      <w:start w:val="15"/>
    </w:lvl>
  </w:abstractNum>
  <w:abstractNum w:abstractNumId="59">
    <w:nsid w:val="3B0FD379"/>
    <w:multiLevelType w:val="hybridMultilevel"/>
    <w:lvl w:ilvl="0">
      <w:lvlJc w:val="left"/>
      <w:lvlText w:val="%1."/>
      <w:numFmt w:val="decimal"/>
      <w:start w:val="18"/>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1)"/>
      <w:numFmt w:val="lowerLetter"/>
      <w:start w:val="5"/>
    </w:lvl>
    <w:lvl w:ilvl="1">
      <w:lvlJc w:val="left"/>
      <w:lvlText w:val="%2."/>
      <w:numFmt w:val="decimal"/>
      <w:start w:val="2"/>
    </w:lvl>
  </w:abstractNum>
  <w:abstractNum w:abstractNumId="62">
    <w:nsid w:val="60B6DF70"/>
    <w:multiLevelType w:val="hybridMultilevel"/>
    <w:lvl w:ilvl="0">
      <w:lvlJc w:val="left"/>
      <w:lvlText w:val="%1."/>
      <w:numFmt w:val="decimal"/>
      <w:start w:val="3"/>
    </w:lvl>
  </w:abstractNum>
  <w:abstractNum w:abstractNumId="63">
    <w:nsid w:val="6A5EE64"/>
    <w:multiLevelType w:val="hybridMultilevel"/>
    <w:lvl w:ilvl="0">
      <w:lvlJc w:val="left"/>
      <w:lvlText w:val="%1."/>
      <w:numFmt w:val="decimal"/>
      <w:start w:val="6"/>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decimal"/>
      <w:start w:val="11"/>
    </w:lvl>
  </w:abstractNum>
  <w:abstractNum w:abstractNumId="66">
    <w:nsid w:val="1A27709E"/>
    <w:multiLevelType w:val="hybridMultilevel"/>
    <w:lvl w:ilvl="0">
      <w:lvlJc w:val="left"/>
      <w:lvlText w:val="%1."/>
      <w:numFmt w:val="decimal"/>
      <w:start w:val="15"/>
    </w:lvl>
  </w:abstractNum>
  <w:abstractNum w:abstractNumId="67">
    <w:nsid w:val="71EA1109"/>
    <w:multiLevelType w:val="hybridMultilevel"/>
    <w:lvl w:ilvl="0">
      <w:lvlJc w:val="left"/>
      <w:lvlText w:val="%1."/>
      <w:numFmt w:val="decimal"/>
      <w:start w:val="18"/>
    </w:lvl>
    <w:lvl w:ilvl="1">
      <w:lvlJc w:val="left"/>
      <w:lvlText w:val="#"/>
      <w:numFmt w:val="bullet"/>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5"/>
    </w:lvl>
    <w:lvl w:ilvl="1">
      <w:lvlJc w:val="left"/>
      <w:lvlText w:val="%2."/>
      <w:numFmt w:val="decimal"/>
      <w:start w:val="2"/>
    </w:lvl>
  </w:abstractNum>
  <w:abstractNum w:abstractNumId="70">
    <w:nsid w:val="6EB5BD4"/>
    <w:multiLevelType w:val="hybridMultilevel"/>
    <w:lvl w:ilvl="0">
      <w:lvlJc w:val="left"/>
      <w:lvlText w:val="%1."/>
      <w:numFmt w:val="decimal"/>
      <w:start w:val="3"/>
    </w:lvl>
  </w:abstractNum>
  <w:abstractNum w:abstractNumId="71">
    <w:nsid w:val="6F6DD9AC"/>
    <w:multiLevelType w:val="hybridMultilevel"/>
    <w:lvl w:ilvl="0">
      <w:lvlJc w:val="left"/>
      <w:lvlText w:val="%1."/>
      <w:numFmt w:val="decimal"/>
      <w:start w:val="6"/>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decimal"/>
      <w:start w:val="11"/>
    </w:lvl>
  </w:abstractNum>
  <w:abstractNum w:abstractNumId="74">
    <w:nsid w:val="76272110"/>
    <w:multiLevelType w:val="hybridMultilevel"/>
    <w:lvl w:ilvl="0">
      <w:lvlJc w:val="left"/>
      <w:lvlText w:val="%1."/>
      <w:numFmt w:val="decimal"/>
      <w:start w:val="15"/>
    </w:lvl>
  </w:abstractNum>
  <w:abstractNum w:abstractNumId="75">
    <w:nsid w:val="4C04A8AF"/>
    <w:multiLevelType w:val="hybridMultilevel"/>
    <w:lvl w:ilvl="0">
      <w:lvlJc w:val="left"/>
      <w:lvlText w:val="%1."/>
      <w:numFmt w:val="decimal"/>
      <w:start w:val="18"/>
    </w:lvl>
    <w:lvl w:ilvl="1">
      <w:lvlJc w:val="left"/>
      <w:lvlText w:val="#"/>
      <w:numFmt w:val="bullet"/>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5"/>
    </w:lvl>
    <w:lvl w:ilvl="1">
      <w:lvlJc w:val="left"/>
      <w:lvlText w:val="%2."/>
      <w:numFmt w:val="decimal"/>
      <w:start w:val="2"/>
    </w:lvl>
  </w:abstractNum>
  <w:abstractNum w:abstractNumId="78">
    <w:nsid w:val="3222E7CD"/>
    <w:multiLevelType w:val="hybridMultilevel"/>
    <w:lvl w:ilvl="0">
      <w:lvlJc w:val="left"/>
      <w:lvlText w:val="%1."/>
      <w:numFmt w:val="decimal"/>
      <w:start w:val="3"/>
    </w:lvl>
  </w:abstractNum>
  <w:abstractNum w:abstractNumId="79">
    <w:nsid w:val="74DE0EE3"/>
    <w:multiLevelType w:val="hybridMultilevel"/>
    <w:lvl w:ilvl="0">
      <w:lvlJc w:val="left"/>
      <w:lvlText w:val="%1."/>
      <w:numFmt w:val="decimal"/>
      <w:start w:val="6"/>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decimal"/>
      <w:start w:val="11"/>
    </w:lvl>
  </w:abstractNum>
  <w:abstractNum w:abstractNumId="82">
    <w:nsid w:val="46B7D447"/>
    <w:multiLevelType w:val="hybridMultilevel"/>
    <w:lvl w:ilvl="0">
      <w:lvlJc w:val="left"/>
      <w:lvlText w:val="%1."/>
      <w:numFmt w:val="decimal"/>
      <w:start w:val="15"/>
    </w:lvl>
  </w:abstractNum>
  <w:abstractNum w:abstractNumId="83">
    <w:nsid w:val="4A2AC315"/>
    <w:multiLevelType w:val="hybridMultilevel"/>
    <w:lvl w:ilvl="0">
      <w:lvlJc w:val="left"/>
      <w:lvlText w:val="%1."/>
      <w:numFmt w:val="decimal"/>
      <w:start w:val="18"/>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5"/>
    </w:lvl>
    <w:lvl w:ilvl="1">
      <w:lvlJc w:val="left"/>
      <w:lvlText w:val="%2."/>
      <w:numFmt w:val="decimal"/>
      <w:start w:val="2"/>
    </w:lvl>
  </w:abstractNum>
  <w:abstractNum w:abstractNumId="86">
    <w:nsid w:val="CC1016F"/>
    <w:multiLevelType w:val="hybridMultilevel"/>
    <w:lvl w:ilvl="0">
      <w:lvlJc w:val="left"/>
      <w:lvlText w:val="%1."/>
      <w:numFmt w:val="decimal"/>
      <w:start w:val="3"/>
    </w:lvl>
  </w:abstractNum>
  <w:abstractNum w:abstractNumId="87">
    <w:nsid w:val="43F18422"/>
    <w:multiLevelType w:val="hybridMultilevel"/>
    <w:lvl w:ilvl="0">
      <w:lvlJc w:val="left"/>
      <w:lvlText w:val="%1."/>
      <w:numFmt w:val="decimal"/>
      <w:start w:val="6"/>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decimal"/>
      <w:start w:val="11"/>
    </w:lvl>
  </w:abstractNum>
  <w:abstractNum w:abstractNumId="90">
    <w:nsid w:val="7F01579B"/>
    <w:multiLevelType w:val="hybridMultilevel"/>
    <w:lvl w:ilvl="0">
      <w:lvlJc w:val="left"/>
      <w:lvlText w:val="%1."/>
      <w:numFmt w:val="decimal"/>
      <w:start w:val="15"/>
    </w:lvl>
  </w:abstractNum>
  <w:abstractNum w:abstractNumId="91">
    <w:nsid w:val="49DA307D"/>
    <w:multiLevelType w:val="hybridMultilevel"/>
    <w:lvl w:ilvl="0">
      <w:lvlJc w:val="left"/>
      <w:lvlText w:val="%1."/>
      <w:numFmt w:val="decimal"/>
      <w:start w:val="18"/>
    </w:lvl>
    <w:lvl w:ilvl="1">
      <w:lvlJc w:val="left"/>
      <w:lvlText w:val="#"/>
      <w:numFmt w:val="bullet"/>
      <w:start w:val="1"/>
    </w:lvl>
  </w:abstractNum>
  <w:abstractNum w:abstractNumId="92">
    <w:nsid w:val="7055A5F5"/>
    <w:multiLevelType w:val="hybridMultilevel"/>
    <w:lvl w:ilvl="0">
      <w:lvlJc w:val="left"/>
      <w:lvlText w:val="%1."/>
      <w:numFmt w:val="decimal"/>
      <w:start w:val="1"/>
    </w:lvl>
    <w:lvl w:ilvl="1">
      <w:lvlJc w:val="left"/>
      <w:lvlText w:val="%2."/>
      <w:numFmt w:val="lowerLetter"/>
      <w:start w:val="1"/>
    </w:lvl>
  </w:abstractNum>
  <w:abstractNum w:abstractNumId="93">
    <w:nsid w:val="5FB8370B"/>
    <w:multiLevelType w:val="hybridMultilevel"/>
    <w:lvl w:ilvl="0">
      <w:lvlJc w:val="left"/>
      <w:lvlText w:val="%1"/>
      <w:numFmt w:val="lowerLetter"/>
      <w:start w:val="1"/>
    </w:lvl>
    <w:lvl w:ilvl="1">
      <w:lvlJc w:val="left"/>
      <w:lvlText w:val="%2."/>
      <w:numFmt w:val="decimal"/>
      <w:start w:val="5"/>
    </w:lvl>
  </w:abstractNum>
  <w:abstractNum w:abstractNumId="94">
    <w:nsid w:val="50801EE1"/>
    <w:multiLevelType w:val="hybridMultilevel"/>
    <w:lvl w:ilvl="0">
      <w:lvlJc w:val="left"/>
      <w:lvlText w:val="%1."/>
      <w:numFmt w:val="lowerLetter"/>
      <w:start w:val="1"/>
    </w:lvl>
    <w:lvl w:ilvl="1">
      <w:lvlJc w:val="left"/>
      <w:lvlText w:val="%2"/>
      <w:numFmt w:val="decimal"/>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lowerLetter"/>
      <w:start w:val="1"/>
    </w:lvl>
    <w:lvl w:ilvl="1">
      <w:lvlJc w:val="left"/>
      <w:lvlText w:val="%2."/>
      <w:numFmt w:val="decimal"/>
      <w:start w:val="5"/>
    </w:lvl>
  </w:abstractNum>
  <w:abstractNum w:abstractNumId="97">
    <w:nsid w:val="6AA78F7F"/>
    <w:multiLevelType w:val="hybridMultilevel"/>
    <w:lvl w:ilvl="0">
      <w:lvlJc w:val="left"/>
      <w:lvlText w:val="%1."/>
      <w:numFmt w:val="lowerLetter"/>
      <w:start w:val="1"/>
    </w:lvl>
    <w:lvl w:ilvl="1">
      <w:lvlJc w:val="left"/>
      <w:lvlText w:val="%2"/>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5" Type="http://schemas.openxmlformats.org/officeDocument/2006/relationships/image" Target="media/image83.png"/><Relationship Id="rId108" Type="http://schemas.openxmlformats.org/officeDocument/2006/relationships/image" Target="media/image84.png"/><Relationship Id="rId118" Type="http://schemas.openxmlformats.org/officeDocument/2006/relationships/image" Target="media/image85.png"/><Relationship Id="rId129" Type="http://schemas.openxmlformats.org/officeDocument/2006/relationships/image" Target="media/image86.png"/><Relationship Id="rId133"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jpeg"/><Relationship Id="rId194" Type="http://schemas.openxmlformats.org/officeDocument/2006/relationships/image" Target="media/image147.jpeg"/><Relationship Id="rId195" Type="http://schemas.openxmlformats.org/officeDocument/2006/relationships/image" Target="media/image148.jpeg"/><Relationship Id="rId196" Type="http://schemas.openxmlformats.org/officeDocument/2006/relationships/image" Target="media/image149.png"/><Relationship Id="rId197" Type="http://schemas.openxmlformats.org/officeDocument/2006/relationships/image" Target="media/image150.jpeg"/><Relationship Id="rId198" Type="http://schemas.openxmlformats.org/officeDocument/2006/relationships/image" Target="media/image151.png"/><Relationship Id="rId199" Type="http://schemas.openxmlformats.org/officeDocument/2006/relationships/image" Target="media/image152.jpeg"/><Relationship Id="rId200" Type="http://schemas.openxmlformats.org/officeDocument/2006/relationships/image" Target="media/image153.jpeg"/><Relationship Id="rId201" Type="http://schemas.openxmlformats.org/officeDocument/2006/relationships/image" Target="media/image154.jpeg"/><Relationship Id="rId202" Type="http://schemas.openxmlformats.org/officeDocument/2006/relationships/image" Target="media/image155.png"/><Relationship Id="rId203" Type="http://schemas.openxmlformats.org/officeDocument/2006/relationships/image" Target="media/image156.jpeg"/><Relationship Id="rId204" Type="http://schemas.openxmlformats.org/officeDocument/2006/relationships/image" Target="media/image157.jpeg"/><Relationship Id="rId205" Type="http://schemas.openxmlformats.org/officeDocument/2006/relationships/image" Target="media/image158.jpeg"/><Relationship Id="rId206" Type="http://schemas.openxmlformats.org/officeDocument/2006/relationships/image" Target="media/image159.png"/><Relationship Id="rId207" Type="http://schemas.openxmlformats.org/officeDocument/2006/relationships/image" Target="media/image160.jpeg"/><Relationship Id="rId208" Type="http://schemas.openxmlformats.org/officeDocument/2006/relationships/image" Target="media/image161.jpeg"/><Relationship Id="rId209" Type="http://schemas.openxmlformats.org/officeDocument/2006/relationships/image" Target="media/image162.jpeg"/><Relationship Id="rId210" Type="http://schemas.openxmlformats.org/officeDocument/2006/relationships/image" Target="media/image163.png"/><Relationship Id="rId211" Type="http://schemas.openxmlformats.org/officeDocument/2006/relationships/image" Target="media/image164.jpeg"/><Relationship Id="rId212" Type="http://schemas.openxmlformats.org/officeDocument/2006/relationships/image" Target="media/image165.jpeg"/><Relationship Id="rId213" Type="http://schemas.openxmlformats.org/officeDocument/2006/relationships/image" Target="media/image166.jpeg"/><Relationship Id="rId214" Type="http://schemas.openxmlformats.org/officeDocument/2006/relationships/image" Target="media/image167.png"/><Relationship Id="rId215" Type="http://schemas.openxmlformats.org/officeDocument/2006/relationships/image" Target="media/image168.jpeg"/><Relationship Id="rId216" Type="http://schemas.openxmlformats.org/officeDocument/2006/relationships/image" Target="media/image169.jpeg"/><Relationship Id="rId217" Type="http://schemas.openxmlformats.org/officeDocument/2006/relationships/image" Target="media/image170.jpeg"/><Relationship Id="rId218" Type="http://schemas.openxmlformats.org/officeDocument/2006/relationships/image" Target="media/image171.png"/><Relationship Id="rId219" Type="http://schemas.openxmlformats.org/officeDocument/2006/relationships/image" Target="media/image172.jpeg"/><Relationship Id="rId220" Type="http://schemas.openxmlformats.org/officeDocument/2006/relationships/image" Target="media/image173.jpeg"/><Relationship Id="rId221" Type="http://schemas.openxmlformats.org/officeDocument/2006/relationships/image" Target="media/image174.jpeg"/><Relationship Id="rId222" Type="http://schemas.openxmlformats.org/officeDocument/2006/relationships/image" Target="media/image175.png"/><Relationship Id="rId223" Type="http://schemas.openxmlformats.org/officeDocument/2006/relationships/image" Target="media/image176.jpeg"/><Relationship Id="rId224" Type="http://schemas.openxmlformats.org/officeDocument/2006/relationships/image" Target="media/image177.jpeg"/><Relationship Id="rId225" Type="http://schemas.openxmlformats.org/officeDocument/2006/relationships/image" Target="media/image178.jpeg"/><Relationship Id="rId226" Type="http://schemas.openxmlformats.org/officeDocument/2006/relationships/image" Target="media/image179.png"/><Relationship Id="rId227" Type="http://schemas.openxmlformats.org/officeDocument/2006/relationships/image" Target="media/image180.jpeg"/><Relationship Id="rId228" Type="http://schemas.openxmlformats.org/officeDocument/2006/relationships/image" Target="media/image181.jpeg"/><Relationship Id="rId229" Type="http://schemas.openxmlformats.org/officeDocument/2006/relationships/image" Target="media/image182.jpeg"/><Relationship Id="rId230" Type="http://schemas.openxmlformats.org/officeDocument/2006/relationships/image" Target="media/image183.png"/><Relationship Id="rId231" Type="http://schemas.openxmlformats.org/officeDocument/2006/relationships/image" Target="media/image184.jpeg"/><Relationship Id="rId232" Type="http://schemas.openxmlformats.org/officeDocument/2006/relationships/image" Target="media/image185.jpeg"/><Relationship Id="rId233" Type="http://schemas.openxmlformats.org/officeDocument/2006/relationships/image" Target="media/image186.jpeg"/><Relationship Id="rId234" Type="http://schemas.openxmlformats.org/officeDocument/2006/relationships/image" Target="media/image187.png"/><Relationship Id="rId235" Type="http://schemas.openxmlformats.org/officeDocument/2006/relationships/image" Target="media/image188.jpeg"/><Relationship Id="rId236" Type="http://schemas.openxmlformats.org/officeDocument/2006/relationships/image" Target="media/image189.jpeg"/><Relationship Id="rId237" Type="http://schemas.openxmlformats.org/officeDocument/2006/relationships/image" Target="media/image190.jpeg"/><Relationship Id="rId238" Type="http://schemas.openxmlformats.org/officeDocument/2006/relationships/image" Target="media/image191.png"/><Relationship Id="rId239" Type="http://schemas.openxmlformats.org/officeDocument/2006/relationships/image" Target="media/image192.jpeg"/><Relationship Id="rId240" Type="http://schemas.openxmlformats.org/officeDocument/2006/relationships/image" Target="media/image193.jpeg"/><Relationship Id="rId241" Type="http://schemas.openxmlformats.org/officeDocument/2006/relationships/image" Target="media/image194.jpeg"/><Relationship Id="rId242" Type="http://schemas.openxmlformats.org/officeDocument/2006/relationships/image" Target="media/image195.png"/><Relationship Id="rId243" Type="http://schemas.openxmlformats.org/officeDocument/2006/relationships/image" Target="media/image196.jpeg"/><Relationship Id="rId244" Type="http://schemas.openxmlformats.org/officeDocument/2006/relationships/image" Target="media/image197.jpeg"/><Relationship Id="rId245" Type="http://schemas.openxmlformats.org/officeDocument/2006/relationships/image" Target="media/image198.jpeg"/><Relationship Id="rId246" Type="http://schemas.openxmlformats.org/officeDocument/2006/relationships/image" Target="media/image199.png"/><Relationship Id="rId247" Type="http://schemas.openxmlformats.org/officeDocument/2006/relationships/image" Target="media/image200.jpeg"/><Relationship Id="rId248" Type="http://schemas.openxmlformats.org/officeDocument/2006/relationships/image" Target="media/image201.jpeg"/><Relationship Id="rId249" Type="http://schemas.openxmlformats.org/officeDocument/2006/relationships/image" Target="media/image202.jpeg"/><Relationship Id="rId250" Type="http://schemas.openxmlformats.org/officeDocument/2006/relationships/image" Target="media/image203.png"/><Relationship Id="rId251" Type="http://schemas.openxmlformats.org/officeDocument/2006/relationships/image" Target="media/image204.jpeg"/><Relationship Id="rId252" Type="http://schemas.openxmlformats.org/officeDocument/2006/relationships/image" Target="media/image205.jpeg"/><Relationship Id="rId253" Type="http://schemas.openxmlformats.org/officeDocument/2006/relationships/image" Target="media/image206.jpeg"/><Relationship Id="rId254" Type="http://schemas.openxmlformats.org/officeDocument/2006/relationships/image" Target="media/image207.png"/><Relationship Id="rId255" Type="http://schemas.openxmlformats.org/officeDocument/2006/relationships/image" Target="media/image208.jpeg"/><Relationship Id="rId256" Type="http://schemas.openxmlformats.org/officeDocument/2006/relationships/image" Target="media/image209.jpeg"/><Relationship Id="rId257" Type="http://schemas.openxmlformats.org/officeDocument/2006/relationships/image" Target="media/image210.jpeg"/><Relationship Id="rId258" Type="http://schemas.openxmlformats.org/officeDocument/2006/relationships/image" Target="media/image211.png"/><Relationship Id="rId259" Type="http://schemas.openxmlformats.org/officeDocument/2006/relationships/image" Target="media/image212.jpeg"/><Relationship Id="rId260" Type="http://schemas.openxmlformats.org/officeDocument/2006/relationships/image" Target="media/image213.jpeg"/><Relationship Id="rId261" Type="http://schemas.openxmlformats.org/officeDocument/2006/relationships/image" Target="media/image214.jpeg"/><Relationship Id="rId262" Type="http://schemas.openxmlformats.org/officeDocument/2006/relationships/image" Target="media/image215.png"/><Relationship Id="rId263" Type="http://schemas.openxmlformats.org/officeDocument/2006/relationships/image" Target="media/image216.jpeg"/><Relationship Id="rId264" Type="http://schemas.openxmlformats.org/officeDocument/2006/relationships/image" Target="media/image217.jpeg"/><Relationship Id="rId265" Type="http://schemas.openxmlformats.org/officeDocument/2006/relationships/image" Target="media/image218.jpeg"/><Relationship Id="rId266" Type="http://schemas.openxmlformats.org/officeDocument/2006/relationships/image" Target="media/image219.png"/><Relationship Id="rId267" Type="http://schemas.openxmlformats.org/officeDocument/2006/relationships/image" Target="media/image220.jpeg"/><Relationship Id="rId268" Type="http://schemas.openxmlformats.org/officeDocument/2006/relationships/image" Target="media/image221.jpeg"/><Relationship Id="rId269" Type="http://schemas.openxmlformats.org/officeDocument/2006/relationships/image" Target="media/image222.jpe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jpeg"/><Relationship Id="rId273" Type="http://schemas.openxmlformats.org/officeDocument/2006/relationships/image" Target="media/image226.jpeg"/><Relationship Id="rId274" Type="http://schemas.openxmlformats.org/officeDocument/2006/relationships/image" Target="media/image227.jpeg"/><Relationship Id="rId275" Type="http://schemas.openxmlformats.org/officeDocument/2006/relationships/image" Target="media/image228.png"/><Relationship Id="rId276" Type="http://schemas.openxmlformats.org/officeDocument/2006/relationships/image" Target="media/image229.jpeg"/><Relationship Id="rId277" Type="http://schemas.openxmlformats.org/officeDocument/2006/relationships/image" Target="media/image230.jpeg"/><Relationship Id="rId278" Type="http://schemas.openxmlformats.org/officeDocument/2006/relationships/image" Target="media/image231.jpe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jpeg"/><Relationship Id="rId282" Type="http://schemas.openxmlformats.org/officeDocument/2006/relationships/image" Target="media/image235.jpeg"/><Relationship Id="rId283" Type="http://schemas.openxmlformats.org/officeDocument/2006/relationships/image" Target="media/image236.jpeg"/><Relationship Id="rId284" Type="http://schemas.openxmlformats.org/officeDocument/2006/relationships/image" Target="media/image237.png"/><Relationship Id="rId285" Type="http://schemas.openxmlformats.org/officeDocument/2006/relationships/image" Target="media/image238.jpeg"/><Relationship Id="rId286" Type="http://schemas.openxmlformats.org/officeDocument/2006/relationships/image" Target="media/image239.jpeg"/><Relationship Id="rId287" Type="http://schemas.openxmlformats.org/officeDocument/2006/relationships/image" Target="media/image240.jpeg"/><Relationship Id="rId288" Type="http://schemas.openxmlformats.org/officeDocument/2006/relationships/image" Target="media/image241.png"/><Relationship Id="rId289" Type="http://schemas.openxmlformats.org/officeDocument/2006/relationships/image" Target="media/image242.jpeg"/><Relationship Id="rId290" Type="http://schemas.openxmlformats.org/officeDocument/2006/relationships/image" Target="media/image243.jpeg"/><Relationship Id="rId291" Type="http://schemas.openxmlformats.org/officeDocument/2006/relationships/image" Target="media/image244.jpeg"/><Relationship Id="rId292" Type="http://schemas.openxmlformats.org/officeDocument/2006/relationships/image" Target="media/image245.png"/><Relationship Id="rId293" Type="http://schemas.openxmlformats.org/officeDocument/2006/relationships/image" Target="media/image246.jpeg"/><Relationship Id="rId294" Type="http://schemas.openxmlformats.org/officeDocument/2006/relationships/image" Target="media/image247.jpeg"/><Relationship Id="rId295" Type="http://schemas.openxmlformats.org/officeDocument/2006/relationships/image" Target="media/image248.jpe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jpe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90" Type="http://schemas.openxmlformats.org/officeDocument/2006/relationships/hyperlink" Target="https://www.sec.gov/Archives/edgar/data/1087294/000119312517335943/d489256dex11.htm" TargetMode="External"/><Relationship Id="rId91" Type="http://schemas.openxmlformats.org/officeDocument/2006/relationships/hyperlink" Target="https://www.sec.gov/Archives/edgar/data/1087294/000162828021025612/ex12amendmentno1toatmsales.htm" TargetMode="External"/><Relationship Id="rId92" Type="http://schemas.openxmlformats.org/officeDocument/2006/relationships/hyperlink" Target="https://www.sec.gov/Archives/edgar/data/1087294/000162828022000440/finalforexecutionkkuscipde.htm" TargetMode="External"/><Relationship Id="rId93" Type="http://schemas.openxmlformats.org/officeDocument/2006/relationships/hyperlink" Target="http://www.sec.gov/Archives/edgar/data/1087294/000095012309023228/c0628619exv3w1.htm" TargetMode="External"/><Relationship Id="rId94" Type="http://schemas.openxmlformats.org/officeDocument/2006/relationships/hyperlink" Target="http://www.sec.gov/Archives/edgar/data/1087294/000095012309023228/c0628619exv3w2.htm" TargetMode="External"/><Relationship Id="rId96" Type="http://schemas.openxmlformats.org/officeDocument/2006/relationships/hyperlink" Target="http://www.sec.gov/Archives/edgar/data/1087294/000095014407007248/g06286a5exv4w1.htm" TargetMode="External"/><Relationship Id="rId97" Type="http://schemas.openxmlformats.org/officeDocument/2006/relationships/hyperlink" Target="http://www.sec.gov/Archives/edgar/data/1087294/000119312517372414/d489256dex42.htm" TargetMode="External"/><Relationship Id="rId98" Type="http://schemas.openxmlformats.org/officeDocument/2006/relationships/hyperlink" Target="http://www.sec.gov/Archives/edgar/data/1087294/000119312517335943/d489256dex42.htm" TargetMode="External"/><Relationship Id="rId99" Type="http://schemas.openxmlformats.org/officeDocument/2006/relationships/hyperlink" Target="http://www.sec.gov/Archives/edgar/data/1087294/000119312517335943/d489256dex43.htm" TargetMode="External"/><Relationship Id="rId100" Type="http://schemas.openxmlformats.org/officeDocument/2006/relationships/hyperlink" Target="http://www.sec.gov/Archives/edgar/data/1087294/000095014407004069/g06286exv4w5.htm" TargetMode="External"/><Relationship Id="rId101" Type="http://schemas.openxmlformats.org/officeDocument/2006/relationships/hyperlink" Target="http://www.sec.gov/Archives/edgar/data/1087294/000144530513000573/cpixexhibit461.htm" TargetMode="External"/><Relationship Id="rId102" Type="http://schemas.openxmlformats.org/officeDocument/2006/relationships/hyperlink" Target="http://www.sec.gov/Archives/edgar/data/1087294/000144530513000573/cpixexhibit462.htm" TargetMode="External"/><Relationship Id="rId103" Type="http://schemas.openxmlformats.org/officeDocument/2006/relationships/hyperlink" Target="http://www.sec.gov/Archives/edgar/data/1087294/000144530513000573/cpixexhibit47.htm" TargetMode="External"/><Relationship Id="rId104" Type="http://schemas.openxmlformats.org/officeDocument/2006/relationships/hyperlink" Target="http://www.sec.gov/Archives/edgar/data/1087294/000095012310026333/g22569exv4w8.htm" TargetMode="External"/><Relationship Id="rId105" Type="http://schemas.openxmlformats.org/officeDocument/2006/relationships/hyperlink" Target="http://www.sec.gov/Archives/edgar/data/1087294/000129993310003084/exhibit1.htm" TargetMode="External"/><Relationship Id="rId106" Type="http://schemas.openxmlformats.org/officeDocument/2006/relationships/hyperlink" Target="http://www.sec.gov/Archives/edgar/data/1087294/000108729413000004/exhibit1071amendmenttoexcl.htm" TargetMode="External"/><Relationship Id="rId107" Type="http://schemas.openxmlformats.org/officeDocument/2006/relationships/hyperlink" Target="http://www.sec.gov/Archives/edgar/data/1087294/000095014407006504/g06286a3exv10w10.htm" TargetMode="External"/><Relationship Id="rId109" Type="http://schemas.openxmlformats.org/officeDocument/2006/relationships/hyperlink" Target="http://www.sec.gov/Archives/edgar/data/1087294/000095014407004069/g06286exv10w17.htm" TargetMode="External"/><Relationship Id="rId110" Type="http://schemas.openxmlformats.org/officeDocument/2006/relationships/hyperlink" Target="http://www.sec.gov/Archives/edgar/data/1087294/000119312512107956/d293470ddef14a.htm" TargetMode="External"/><Relationship Id="rId111" Type="http://schemas.openxmlformats.org/officeDocument/2006/relationships/hyperlink" Target="http://www.sec.gov/Archives/edgar/data/1087294/000095014407004069/g06286exv10w20.htm" TargetMode="External"/><Relationship Id="rId112" Type="http://schemas.openxmlformats.org/officeDocument/2006/relationships/hyperlink" Target="http://www.sec.gov/Archives/edgar/data/1087294/000095014407006504/g06286a3exv10w21.htm" TargetMode="External"/><Relationship Id="rId113" Type="http://schemas.openxmlformats.org/officeDocument/2006/relationships/hyperlink" Target="http://www.sec.gov/Archives/edgar/data/1087294/000095014408004306/g06286b1exv10w21w1.htm" TargetMode="External"/><Relationship Id="rId114" Type="http://schemas.openxmlformats.org/officeDocument/2006/relationships/hyperlink" Target="http://www.sec.gov/Archives/edgar/data/1087294/000095012310050308/g23297exv10w21w2.htm" TargetMode="External"/><Relationship Id="rId115" Type="http://schemas.openxmlformats.org/officeDocument/2006/relationships/hyperlink" Target="http://www.sec.gov/Archives/edgar/data/1087294/000162828015008469/q3201510q.htm" TargetMode="External"/><Relationship Id="rId116" Type="http://schemas.openxmlformats.org/officeDocument/2006/relationships/hyperlink" Target="http://www.sec.gov/Archives/edgar/data/1087294/000095014407004069/g06286exv10w23.htm" TargetMode="External"/><Relationship Id="rId117" Type="http://schemas.openxmlformats.org/officeDocument/2006/relationships/hyperlink" Target="http://www.sec.gov/Archives/edgar/data/1087294/000095014407004069/g06286exv10w24.htm" TargetMode="External"/><Relationship Id="rId119" Type="http://schemas.openxmlformats.org/officeDocument/2006/relationships/hyperlink" Target="http://www.sec.gov/Archives/edgar/data/1087294/000095014408004306/g06286b1exv10w24w1.htm" TargetMode="External"/><Relationship Id="rId120" Type="http://schemas.openxmlformats.org/officeDocument/2006/relationships/hyperlink" Target="http://www.sec.gov/Archives/edgar/data/1087294/000119312512347942/d334181dex10241.htm" TargetMode="External"/><Relationship Id="rId121" Type="http://schemas.openxmlformats.org/officeDocument/2006/relationships/hyperlink" Target="http://www.sec.gov/Archives/edgar/data/1087294/000162828016012682/a2015-10kxexhibit1025gelli.htm" TargetMode="External"/><Relationship Id="rId122" Type="http://schemas.openxmlformats.org/officeDocument/2006/relationships/hyperlink" Target="http://www.sec.gov/Archives/edgar/data/1087294/000129993311003397/exhibit1.htm" TargetMode="External"/><Relationship Id="rId123" Type="http://schemas.openxmlformats.org/officeDocument/2006/relationships/hyperlink" Target="http://www.sec.gov/Archives/edgar/data/1087294/000119312512247355/d358671dex1030.htm" TargetMode="External"/><Relationship Id="rId124" Type="http://schemas.openxmlformats.org/officeDocument/2006/relationships/hyperlink" Target="http://www.sec.gov/Archives/edgar/data/1087294/000144530513000573/cpixexhibit1031-perrigoxpa.htm" TargetMode="External"/><Relationship Id="rId125" Type="http://schemas.openxmlformats.org/officeDocument/2006/relationships/hyperlink" Target="http://www.sec.gov/Archives/edgar/data/1087294/000144530513000573/cpixexhibit1032-perrigoxpa.htm" TargetMode="External"/><Relationship Id="rId126" Type="http://schemas.openxmlformats.org/officeDocument/2006/relationships/hyperlink" Target="http://www.sec.gov/Archives/edgar/data/1087294/000162828017011224/loanagreementexhibit1034.htm" TargetMode="External"/><Relationship Id="rId127" Type="http://schemas.openxmlformats.org/officeDocument/2006/relationships/hyperlink" Target="https://www.sec.gov/Archives/edgar/data/1087294/000162828020012738/exhibit101-amendment2l.htm" TargetMode="External"/><Relationship Id="rId128" Type="http://schemas.openxmlformats.org/officeDocument/2006/relationships/hyperlink" Target="https://www.sec.gov/Archives/edgar/data/1087294/000162828020012738/exhibit102-amendment2d.htm" TargetMode="External"/><Relationship Id="rId130" Type="http://schemas.openxmlformats.org/officeDocument/2006/relationships/hyperlink" Target="https://www.sec.gov/Archives/edgar/data/1087294/000162828020012738/exhibit103-form147_716ba.htm" TargetMode="External"/><Relationship Id="rId131" Type="http://schemas.openxmlformats.org/officeDocument/2006/relationships/hyperlink" Target="https://www.sec.gov/Archives/edgar/data/1087294/000162828020016446/a2020q3-exhibit101.htm" TargetMode="External"/><Relationship Id="rId132" Type="http://schemas.openxmlformats.org/officeDocument/2006/relationships/hyperlink" Target="https://www.sec.gov/Archives/edgar/data/1087294/000162828021023213/pinnaclelocrenewal4thloa.htm" TargetMode="External"/><Relationship Id="rId134" Type="http://schemas.openxmlformats.org/officeDocument/2006/relationships/hyperlink" Target="http://www.sec.gov/Archives/edgar/data/1087294/000095014407004069/g06286exv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2022-03-11T16:26:09Z</dcterms:created>
  <dcterms:modified xsi:type="dcterms:W3CDTF">2022-03-11T16:26:09Z</dcterms:modified>
</cp:coreProperties>
</file>