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10-K</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2020</w:t>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of</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47"/>
          <w:szCs w:val="47"/>
          <w:b w:val="1"/>
          <w:bCs w:val="1"/>
          <w:color w:val="auto"/>
        </w:rPr>
        <w:t>CUMBERLAND PHARMACEUTICALS INC.</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 Tennessee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IRS Employer Identification No. 62-1765329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001-33637</w:t>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2525 West End Avenue, Suite 950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Nashville, Tennessee 37203</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(615) 255-0068</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980" w:type="dxa"/>
            <w:vAlign w:val="bottom"/>
            <w:gridSpan w:val="5"/>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63"/>
        </w:trPr>
        <w:tc>
          <w:tcPr>
            <w:tcW w:w="35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Title of each class</w:t>
            </w:r>
          </w:p>
        </w:tc>
        <w:tc>
          <w:tcPr>
            <w:tcW w:w="48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20" w:type="dxa"/>
            <w:vAlign w:val="bottom"/>
          </w:tcPr>
          <w:p>
            <w:pPr>
              <w:spacing w:after="0"/>
              <w:rPr>
                <w:sz w:val="22"/>
                <w:szCs w:val="22"/>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3540" w:type="dxa"/>
            <w:vAlign w:val="bottom"/>
          </w:tcPr>
          <w:p>
            <w:pPr>
              <w:jc w:val="center"/>
              <w:ind w:left="390"/>
              <w:spacing w:after="0"/>
              <w:rPr>
                <w:sz w:val="20"/>
                <w:szCs w:val="20"/>
                <w:color w:val="auto"/>
              </w:rPr>
            </w:pPr>
            <w:r>
              <w:rPr>
                <w:rFonts w:ascii="Arial" w:cs="Arial" w:eastAsia="Arial" w:hAnsi="Arial"/>
                <w:sz w:val="18"/>
                <w:szCs w:val="18"/>
                <w:color w:val="auto"/>
                <w:w w:val="89"/>
              </w:rPr>
              <w:t>Common Stock, $0.00 par value per share</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CPIX</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u w:val="single" w:color="auto"/>
          <w:color w:val="auto"/>
        </w:rPr>
        <w:t>None</w:t>
      </w:r>
    </w:p>
    <w:p>
      <w:pPr>
        <w:spacing w:after="0" w:line="36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Cumberland Pharmaceuticals Inc. is not a well-known seasoned issuer, as defined in Rule 405 of the Securities Act.</w:t>
      </w:r>
    </w:p>
    <w:p>
      <w:pPr>
        <w:spacing w:after="0" w:line="33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Cumberland Pharmaceuticals Inc. is required to file reports pursuant to Section 13 or Section 15(d) of the Act. Cumberland Pharmaceuticals Inc.</w:t>
      </w:r>
    </w:p>
    <w:p>
      <w:pPr>
        <w:spacing w:after="0" w:line="46" w:lineRule="exact"/>
        <w:rPr>
          <w:sz w:val="24"/>
          <w:szCs w:val="24"/>
          <w:color w:val="auto"/>
        </w:rPr>
      </w:pPr>
    </w:p>
    <w:p>
      <w:pPr>
        <w:ind w:right="20" w:firstLine="8"/>
        <w:spacing w:after="0" w:line="26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filed all reports required to be filed by Section 13 or 15(d) of the Securities Exchange Act of 1934 during the preceding 12 months, and (2) has been subject to such filing requirements for the past 90 days.</w:t>
      </w:r>
    </w:p>
    <w:p>
      <w:pPr>
        <w:spacing w:after="0" w:line="320"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Cumberland Pharmaceuticals Inc. has submitted electronically and posted on its corporate Web site every Interactive Data File required to be submitted and posted pursuant to Rule 405 of Regulation S-T (§232.405 of this chapter) during the preceding 12 months.</w:t>
      </w:r>
    </w:p>
    <w:p>
      <w:pPr>
        <w:spacing w:after="0" w:line="305"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Cumberland Pharmaceuticals Inc. is a non-accelerated filer and a smaller reporting company as defined in Rule 12b-2 of the Exchange Act and is not a shell company.</w:t>
      </w:r>
    </w:p>
    <w:p>
      <w:pPr>
        <w:spacing w:after="0" w:line="305" w:lineRule="exact"/>
        <w:rPr>
          <w:sz w:val="24"/>
          <w:szCs w:val="24"/>
          <w:color w:val="auto"/>
        </w:rPr>
      </w:pPr>
    </w:p>
    <w:p>
      <w:pPr>
        <w:ind w:right="120" w:firstLine="648"/>
        <w:spacing w:after="0" w:line="263" w:lineRule="auto"/>
        <w:rPr>
          <w:sz w:val="20"/>
          <w:szCs w:val="20"/>
          <w:color w:val="auto"/>
        </w:rPr>
      </w:pPr>
      <w:r>
        <w:rPr>
          <w:rFonts w:ascii="Arial" w:cs="Arial" w:eastAsia="Arial" w:hAnsi="Arial"/>
          <w:sz w:val="18"/>
          <w:szCs w:val="18"/>
          <w:color w:val="auto"/>
        </w:rPr>
        <w:t>Cumberland Pharmaceuticals Inc. has not filed a report on and attestation to its management's assessment of the effectiveness of its internal control over financial reporting under Section 404(b) of the Sarbanes-Oxley Act by the registered public accounting firm that prepared and issued its audit report.</w:t>
      </w:r>
    </w:p>
    <w:p>
      <w:pPr>
        <w:spacing w:after="0" w:line="319"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The aggregate market value of common stock held by non-affiliates as of June 30, 2020 was $30,639,333. The number of shares of the registrant’s Common Stock, no par value, outstanding as of March 8, 2021 was 14,920,655.</w:t>
      </w:r>
    </w:p>
    <w:p>
      <w:pPr>
        <w:spacing w:after="0" w:line="27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firstLine="324"/>
        <w:spacing w:after="0" w:line="250" w:lineRule="auto"/>
        <w:rPr>
          <w:sz w:val="20"/>
          <w:szCs w:val="20"/>
          <w:color w:val="auto"/>
        </w:rPr>
      </w:pPr>
      <w:r>
        <w:rPr>
          <w:rFonts w:ascii="Arial" w:cs="Arial" w:eastAsia="Arial" w:hAnsi="Arial"/>
          <w:sz w:val="18"/>
          <w:szCs w:val="18"/>
          <w:color w:val="auto"/>
        </w:rPr>
        <w:t>Certain information required in Part III of Form 10-K is incorporated by reference from the registrant’s Proxy Statement for its 2021 annual meeting of shareholders.</w:t>
      </w:r>
    </w:p>
    <w:p>
      <w:pPr>
        <w:spacing w:after="0" w:line="1" w:lineRule="exact"/>
        <w:rPr>
          <w:sz w:val="24"/>
          <w:szCs w:val="24"/>
          <w:color w:val="auto"/>
        </w:rPr>
      </w:pPr>
    </w:p>
    <w:p>
      <w:pPr>
        <w:ind w:left="90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w:t>
              </w:r>
            </w:hyperlink>
          </w:p>
        </w:tc>
        <w:tc>
          <w:tcPr>
            <w:tcW w:w="960" w:type="dxa"/>
            <w:vAlign w:val="bottom"/>
            <w:tcBorders>
              <w:top w:val="single" w:sz="8" w:color="auto"/>
            </w:tcBorders>
          </w:tcPr>
          <w:p>
            <w:pPr>
              <w:jc w:val="center"/>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1</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Business</w:t>
              </w:r>
            </w:hyperlink>
          </w:p>
        </w:tc>
        <w:tc>
          <w:tcPr>
            <w:tcW w:w="96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1A: Risk Factors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33</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1B: Unresolved Staff Comments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57</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2: Properties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3: Legal Proceedings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4. Mine Safety Disclosures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PART II</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20" w:type="dxa"/>
            <w:vAlign w:val="bottom"/>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5: Market for Registrant’s Common Equity, Related Stockholder Matters and Issuer Purchases of Equity</w:t>
              </w:r>
            </w:hyperlink>
          </w:p>
        </w:tc>
        <w:tc>
          <w:tcPr>
            <w:tcW w:w="960" w:type="dxa"/>
            <w:vAlign w:val="bottom"/>
            <w:vMerge w:val="restart"/>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3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w:anchor="page59">
              <w:r>
                <w:rPr>
                  <w:rFonts w:ascii="Arial" w:cs="Arial" w:eastAsia="Arial" w:hAnsi="Arial"/>
                  <w:sz w:val="18"/>
                  <w:szCs w:val="18"/>
                  <w:color w:val="0000FF"/>
                  <w:w w:val="88"/>
                </w:rPr>
                <w:t>Securities</w:t>
              </w:r>
            </w:hyperlink>
          </w:p>
        </w:tc>
        <w:tc>
          <w:tcPr>
            <w:tcW w:w="7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6: Selected Financial Data</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59</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7: Management’s Discussion and Analysis of Financial Condition and Results of Operations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60</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7A: Quantitative and Qualitative Disclosures About Market Risk</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74</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8: Financial Statements and Supplementary Data</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74</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9: Changes in and Disagreements with Accountants on Accounting and Financial Disclosure</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74</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9A: Controls and Procedures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74</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9B: Other Information</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75</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PART III</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76</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PART IV</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77</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15: Exhibits, Financial Statement Schedules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77</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20" w:type="dxa"/>
            <w:vAlign w:val="bottom"/>
            <w:gridSpan w:val="3"/>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16: Form 10-K Summary</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82</w:t>
              </w:r>
            </w:hyperlink>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SIGNATURES</w:t>
              </w:r>
            </w:hyperlink>
          </w:p>
        </w:tc>
        <w:tc>
          <w:tcPr>
            <w:tcW w:w="96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82</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1"/>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Cumberland Pharmaceuticals Inc. (“Cumberland,” the “Company,” or as used in the context of “we,” “us,” or “our”), is a specialty pharmaceutical company focused on the acquisition, development and commercialization of branded prescription products. Our primary target markets are hospital acute care, gastroenterology and rheumatology. These medical specialties are characterized by relatively concentrated prescriber bases that we believe can be penetrated effectively by small, targeted sales forces. Cumberland is dedicated to providing innovative products that improve the quality of care for patients and address poorly met medical needs. We promote our approved products through our hospital and field sales forces in the United States and are establishing a network of international partners to register and provide our medicines to patients in their countries.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FDA approved brands include:</w:t>
      </w:r>
    </w:p>
    <w:p>
      <w:pPr>
        <w:spacing w:after="0" w:line="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89" w:lineRule="exact"/>
        <w:rPr>
          <w:rFonts w:ascii="Arial" w:cs="Arial" w:eastAsia="Arial" w:hAnsi="Arial"/>
          <w:sz w:val="18"/>
          <w:szCs w:val="18"/>
          <w:color w:val="auto"/>
        </w:rPr>
      </w:pPr>
    </w:p>
    <w:p>
      <w:pPr>
        <w:ind w:left="660" w:right="20" w:hanging="328"/>
        <w:spacing w:after="0" w:line="22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 related duodenal</w:t>
      </w:r>
      <w:r>
        <w:rPr>
          <w:rFonts w:ascii="Arial" w:cs="Arial" w:eastAsia="Arial" w:hAnsi="Arial"/>
          <w:sz w:val="18"/>
          <w:szCs w:val="18"/>
          <w:b w:val="1"/>
          <w:bCs w:val="1"/>
          <w:color w:val="auto"/>
        </w:rPr>
        <w:t xml:space="preserve"> </w:t>
      </w:r>
      <w:r>
        <w:rPr>
          <w:rFonts w:ascii="Arial" w:cs="Arial" w:eastAsia="Arial" w:hAnsi="Arial"/>
          <w:sz w:val="18"/>
          <w:szCs w:val="18"/>
          <w:color w:val="auto"/>
        </w:rPr>
        <w:t>ulcer disease;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Vaprisol</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conivaptan</w:t>
      </w:r>
      <w:r>
        <w:rPr>
          <w:rFonts w:ascii="Arial" w:cs="Arial" w:eastAsia="Arial" w:hAnsi="Arial"/>
          <w:sz w:val="17"/>
          <w:szCs w:val="17"/>
          <w:color w:val="auto"/>
        </w:rPr>
        <w:t>) Injection, to raise serum sodium levels in hospitalized patients with euvolemic and hypervolemic hyponatremia;</w:t>
      </w:r>
    </w:p>
    <w:p>
      <w:pPr>
        <w:spacing w:after="0" w:line="111" w:lineRule="exact"/>
        <w:rPr>
          <w:rFonts w:ascii="Arial" w:cs="Arial" w:eastAsia="Arial" w:hAnsi="Arial"/>
          <w:sz w:val="17"/>
          <w:szCs w:val="17"/>
          <w:b w:val="1"/>
          <w:bCs w:val="1"/>
          <w:color w:val="auto"/>
        </w:rPr>
      </w:pPr>
    </w:p>
    <w:p>
      <w:pPr>
        <w:ind w:left="660" w:hanging="328"/>
        <w:spacing w:after="0" w:line="23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bacterial pneumonia, as well as complicated skin and skin structure infections; and</w:t>
      </w:r>
    </w:p>
    <w:p>
      <w:pPr>
        <w:spacing w:after="0" w:line="159" w:lineRule="exact"/>
        <w:rPr>
          <w:rFonts w:ascii="Arial" w:cs="Arial" w:eastAsia="Arial" w:hAnsi="Arial"/>
          <w:sz w:val="18"/>
          <w:szCs w:val="18"/>
          <w:color w:val="auto"/>
        </w:rPr>
      </w:pPr>
    </w:p>
    <w:p>
      <w:pPr>
        <w:ind w:left="660" w:right="180" w:hanging="328"/>
        <w:spacing w:after="0" w:line="22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 disabling</w:t>
      </w:r>
      <w:r>
        <w:rPr>
          <w:rFonts w:ascii="Arial" w:cs="Arial" w:eastAsia="Arial" w:hAnsi="Arial"/>
          <w:sz w:val="18"/>
          <w:szCs w:val="18"/>
          <w:b w:val="1"/>
          <w:bCs w:val="1"/>
          <w:color w:val="auto"/>
        </w:rPr>
        <w:t xml:space="preserve"> </w:t>
      </w:r>
      <w:r>
        <w:rPr>
          <w:rFonts w:ascii="Arial" w:cs="Arial" w:eastAsia="Arial" w:hAnsi="Arial"/>
          <w:sz w:val="18"/>
          <w:szCs w:val="18"/>
          <w:color w:val="auto"/>
        </w:rPr>
        <w:t>psoriasis.</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these commercial brands, we have Phase II clinical programs underway evaluating our ifetroban product candidates in patients with cardiomyopathy associated with Duchenne Muscular Dystrophy (“DMD”), a degenerative disease, Systemic Sclerosis (“SSc”), a deadly autoimmune condition, and Aspirin-Exacerbated Respiratory Disease ("AERD"), a severe form of asthma.</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Cumberland has built core competencies in both product development and commercial capabilities. We have established the capabilities needed to acquire, develop and commercialize branded pharmaceuticals in the U.S. and believe we can leverage this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product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Cumberland's growth strategy involves maximizing the potential of our existing brands, while continuing to build a portfolio of differentiated products. We currently feature seven FDA products approved for sale in the United States. Through our international partners, we are working to bring our medicines to patients in their countries. We also look for opportunities to expand our products into additional patient populations through clinical trials, through new presentations, and through our support for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and unmet medical needs.</w:t>
      </w:r>
    </w:p>
    <w:p>
      <w:pPr>
        <w:spacing w:after="0" w:line="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were incorporated in 1999 and have been headquartered in Nashville, Tennessee since inception. During 2009, we completed an initial public offering of our common shares and listing on the Nasdaq stock exchange. Our website address is </w:t>
      </w:r>
      <w:r>
        <w:rPr>
          <w:rFonts w:ascii="Arial" w:cs="Arial" w:eastAsia="Arial" w:hAnsi="Arial"/>
          <w:sz w:val="18"/>
          <w:szCs w:val="18"/>
          <w:i w:val="1"/>
          <w:iCs w:val="1"/>
          <w:color w:val="auto"/>
        </w:rPr>
        <w:t>www.cumberlandpharma.com</w:t>
      </w:r>
      <w:r>
        <w:rPr>
          <w:rFonts w:ascii="Arial" w:cs="Arial" w:eastAsia="Arial" w:hAnsi="Arial"/>
          <w:sz w:val="18"/>
          <w:szCs w:val="18"/>
          <w:color w:val="auto"/>
        </w:rPr>
        <w:t xml:space="preserve">. We make available through our website our Annual Reports on Form 10-K, Quarterly Reports on Form 10-Q, Current Reports on Form 8-K and all material press releases, other filings and amendments to those reports as soon as reasonably practicable after their filing with the U.S. Securities and Exchange Commission, (“SEC”). These filings are also available to the public at </w:t>
      </w:r>
      <w:r>
        <w:rPr>
          <w:rFonts w:ascii="Arial" w:cs="Arial" w:eastAsia="Arial" w:hAnsi="Arial"/>
          <w:sz w:val="18"/>
          <w:szCs w:val="18"/>
          <w:i w:val="1"/>
          <w:iCs w:val="1"/>
          <w:color w:val="auto"/>
        </w:rPr>
        <w:t>www.sec.gov.</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 The Company managed through the COVID-19 pandemic during 2020, continuing to operate our business - keeping facilities open and our organization intact. We also maintained our ongoing compliance with the many laws and regulations that apply to us as a publicly traded, pharmaceutical company.</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Throughout the pandemic, Cumberland faced the same headwinds affecting other companies that rely on hospital admissions and patient visits to drive revenue. Our business and our clinical studies were impacted as less patients sought elective surgeries and our access to medical facilities was substantially limited. During 2020, we carefully monitored our supply chain during the pandemic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51"/>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Our key products include:</w:t>
            </w: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38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Products</w:t>
            </w:r>
          </w:p>
        </w:tc>
        <w:tc>
          <w:tcPr>
            <w:tcW w:w="120" w:type="dxa"/>
            <w:vAlign w:val="bottom"/>
          </w:tcPr>
          <w:p>
            <w:pPr>
              <w:spacing w:after="0"/>
              <w:rPr>
                <w:sz w:val="24"/>
                <w:szCs w:val="24"/>
                <w:color w:val="auto"/>
              </w:rPr>
            </w:pPr>
          </w:p>
        </w:tc>
        <w:tc>
          <w:tcPr>
            <w:tcW w:w="572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Indication</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65"/>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Acetadote</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Acetaminophen Poisoning</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Caldolor</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Pain and Fever</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30"/>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Kristalose</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Chronic and Acute Constipation</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Omeclamox</w:t>
            </w:r>
            <w:r>
              <w:rPr>
                <w:rFonts w:ascii="Arial" w:cs="Arial" w:eastAsia="Arial" w:hAnsi="Arial"/>
                <w:sz w:val="23"/>
                <w:szCs w:val="23"/>
                <w:color w:val="auto"/>
                <w:vertAlign w:val="superscript"/>
              </w:rPr>
              <w:t>®</w:t>
            </w:r>
            <w:r>
              <w:rPr>
                <w:rFonts w:ascii="Arial" w:cs="Arial" w:eastAsia="Arial" w:hAnsi="Arial"/>
                <w:sz w:val="18"/>
                <w:szCs w:val="18"/>
                <w:color w:val="auto"/>
              </w:rPr>
              <w:t>-Pak</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H. pylori infection and related Duodenal Ulcer disease</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Vaprisol</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Euvolemic and Hypervolemic Hyponatremia</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30"/>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Vibativ</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Serious bacterial infections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304"/>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RediTrex</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Arthritis and psoriasis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Approved</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color w:val="auto"/>
          <w:vertAlign w:val="superscript"/>
        </w:rPr>
        <w:t>®</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Acetadote is an intravenous formulation of N-acetylcysteine, indicated for the treatment of the liver toxicity associated with acetaminophen poisoning. Acetadote has been available in the United States since Cumberland's 2004 introduction of the product through our hospital sales force. Acetadote is typically used in hospital emergency departments to prevent or lessen potential liver damage resulting from an overdose of acetaminophen, a common ingredient in many over-the-counter and prescription pain relieving and fever-reducing products. Acetaminophen overdose continues to be a leading cause of poisonings reported by hospital emergency departments in the United States, and Acetadote has become a standard of care for treating this potentially life-threatening condition.</w:t>
      </w:r>
    </w:p>
    <w:p>
      <w:pPr>
        <w:spacing w:after="0" w:line="1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Acetadote received U.S. Food and Drug Administration ("FDA") approval as an orphan drug, which provided seven years of marketing exclusivity from the date of approval. In connection with the FDA's approval of Acetadote, we committed to certain post-marketing activities for the product. Completion of our first Phase IV commitment resulted in the FDA's 2006 approval of expanded labeling for the product for use in pediatric patients. Completion of our second Phase IV commitment resulted in further revised labeling for the product with FDA approval of additional safety data in 2008. Completion of our third and final Phase IV commitment in 2010 culminated in the FDA’s approval of a new formulation for the product. The next generation formulation, contains no ethylene diamine tetracetic acid ("EDTA") or other stabilization agent, chelating agent or preservative. In early 2011, Cumberland introduced this new Acetadote formulation replacing the original form of the product which we no longer manufacture.</w:t>
      </w:r>
    </w:p>
    <w:p>
      <w:pPr>
        <w:spacing w:after="0" w:line="9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June 2013, the FDA approved updated labeling for Acetadote revising the product's indication and providing new dosing guidance for specific patient populations. As a result, dosing guidance is now included for patients weighing over 100 kg, and new language has been added to alert health care providers that, in certain clinical situations, therapy should be extended for some patients.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Beginning in 2012, the United States Patent and Trademark Office (the "USPTO") issued us a series of patents associated with our Acetadote product. These patents are discussed in Part I, Item I, "</w:t>
      </w:r>
      <w:r>
        <w:rPr>
          <w:rFonts w:ascii="Arial" w:cs="Arial" w:eastAsia="Arial" w:hAnsi="Arial"/>
          <w:sz w:val="17"/>
          <w:szCs w:val="17"/>
          <w:i w:val="1"/>
          <w:iCs w:val="1"/>
          <w:color w:val="auto"/>
        </w:rPr>
        <w:t>Business - Trademarks and Patents</w:t>
      </w:r>
      <w:r>
        <w:rPr>
          <w:rFonts w:ascii="Arial" w:cs="Arial" w:eastAsia="Arial" w:hAnsi="Arial"/>
          <w:sz w:val="17"/>
          <w:szCs w:val="17"/>
          <w:color w:val="auto"/>
        </w:rPr>
        <w:t>" of this Form 10-K. On November 8, 2012, we learned that the FDA approved an abbreviated new drug application (ANDA) filed by InnoPharma, Inc. and referencing Acetadote. That product, with the old formulation containing EDTA, was subsequently introduced by APP, a division of Fresenius Kabi USA, at the end of 2012.</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early 2013, we entered into an agreement with Perrigo Company resulting in the distribution of our Authorized Generic acetylcysteine injection (our "Authorized Generic") product. Both Acetadote and our Authorized Generic utilize the new, EDTA-free formulation which accounted for continued significant market share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2015, an Illinois judge issued a final ruling in favor of Cumberland Pharmaceuticals Inc. in a patent case associated with Acetadote. By ruling in Cumberland's favor, the court upheld the validity of the patent which encompasses our EDTA-Free formulation and has a term until August 2025. The court also granted a permanent injunction preventing challengers from marketing a generic version of our proprietary Acetadote product formulation before the expiration of Cumberland’s patent in August 2025.</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26, 2017, an Appeals Court affirmed the District Court ruling in the Company's favor upholding Cumberland's Acetadote patent and expressly rejected the validity challenge.</w:t>
      </w:r>
    </w:p>
    <w:p>
      <w:pPr>
        <w:spacing w:after="0" w:line="103" w:lineRule="exact"/>
        <w:rPr>
          <w:sz w:val="20"/>
          <w:szCs w:val="20"/>
          <w:color w:val="auto"/>
        </w:rPr>
      </w:pPr>
    </w:p>
    <w:p>
      <w:pPr>
        <w:ind w:right="1860" w:firstLine="324"/>
        <w:spacing w:after="0" w:line="364" w:lineRule="auto"/>
        <w:rPr>
          <w:sz w:val="20"/>
          <w:szCs w:val="20"/>
          <w:color w:val="auto"/>
        </w:rPr>
      </w:pPr>
      <w:r>
        <w:rPr>
          <w:rFonts w:ascii="Arial" w:cs="Arial" w:eastAsia="Arial" w:hAnsi="Arial"/>
          <w:sz w:val="18"/>
          <w:szCs w:val="18"/>
          <w:color w:val="auto"/>
        </w:rPr>
        <w:t xml:space="preserve">During 2020 we continued to distribute our Acetadote brand and, through Perrigo Company, our Authorized Generic product. </w:t>
      </w:r>
      <w:r>
        <w:rPr>
          <w:rFonts w:ascii="Arial" w:cs="Arial" w:eastAsia="Arial" w:hAnsi="Arial"/>
          <w:sz w:val="18"/>
          <w:szCs w:val="18"/>
          <w:b w:val="1"/>
          <w:bCs w:val="1"/>
          <w:i w:val="1"/>
          <w:iCs w:val="1"/>
          <w:color w:val="auto"/>
        </w:rPr>
        <w:t>Caldolor</w:t>
      </w:r>
      <w:r>
        <w:rPr>
          <w:rFonts w:ascii="Arial" w:cs="Arial" w:eastAsia="Arial" w:hAnsi="Arial"/>
          <w:sz w:val="23"/>
          <w:szCs w:val="23"/>
          <w:color w:val="auto"/>
          <w:vertAlign w:val="superscript"/>
        </w:rPr>
        <w:t>®</w:t>
      </w:r>
    </w:p>
    <w:p>
      <w:pPr>
        <w:jc w:val="both"/>
        <w:ind w:firstLine="324"/>
        <w:spacing w:after="0" w:line="275" w:lineRule="auto"/>
        <w:rPr>
          <w:sz w:val="20"/>
          <w:szCs w:val="20"/>
          <w:color w:val="auto"/>
        </w:rPr>
      </w:pPr>
      <w:r>
        <w:rPr>
          <w:rFonts w:ascii="Arial" w:cs="Arial" w:eastAsia="Arial" w:hAnsi="Arial"/>
          <w:sz w:val="17"/>
          <w:szCs w:val="17"/>
          <w:color w:val="auto"/>
        </w:rPr>
        <w:t>Caldolor, our intravenous formulation of ibuprofen, was the first injectable product approved in the U.S. for the treatment of both pain and fever. We conducted a series of clinical studies in over nine hundred adult patients to develop the data to support our FDA submission for the product's registration. The FDA approved Caldolor for marketing in the United States in 2009 following a priority review. A non-steroidal anti-inflammatory drug ("NSAID"), the product was indicated for use in adults as a sole treatment for the management of mild to moderate pain and for the management of moderate to severe pain as an adjunct to opioid analgesics. It was also the first FDA approved intravenous therapy for treating fever.</w:t>
      </w:r>
    </w:p>
    <w:p>
      <w:pPr>
        <w:spacing w:after="0" w:line="10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late 2009, we launched Caldolor and stocked the product at major wholesalers serving hospitals nationwide. We initially worked to establish a core group of medical facilities approving and purchasing the product and then focused on building more sales volume and treating a broader range of patients within those stocked facilities. We promote Caldolor in the United States through our dedicated hospital sales force.</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completed a series of Phase IV studies to gather additional data to support our Caldolor product. Those clinical trials involved another 1,000 patients, adult and pediatric patients. These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2015 we received FDA approval for the use of Caldolor in pediatric patients six months of age and older. Caldolor is the first and only injectable non-steroidal anti-inflammatory drug approved for use in children. We then initiated a study to collect data on the use of Caldolor in children ranging in age from birth up to six months of age. Enrollment in that study was completed in 2019.</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early 2018, we completed and filed the application for FDA approval of a next generation Caldolor product featuring an improved presentation and formulation. In April 2018, the FDA determined that the application was complete and notified us of their acceptance of the submission for review. There were then a number of communications with questions addressed through multiple amendments that were submitted to the application.</w:t>
      </w:r>
    </w:p>
    <w:p>
      <w:pPr>
        <w:spacing w:after="0" w:line="9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January 2019, the FDA approved the application for our next generation Caldolor product. The new, premixed presentation provides healthcare professionals a formulation that is easy to administer, helping manage the treatment of patient pain and fever, while reducing opioid consumption. It is provided in a pre-mixed bag containing 800 mg of ibuprofen in a 200 mL patented low sodium formulation for injection that is ready to use.</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It is the first and only FDA-approved pre-mixed bag of ibuprofen. Caldolor is still available as an 800 mg/8mL single–dose vial for dilution in addition to the ready-to-use bag.</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2019, we began initial shipments of this next generation Caldolor product to select customers. During the third and fourth quarters of 2019, there was a growing demand for the new product from these select accounts. In January 2020, we initiated a full-scale launch of this ready-to-use product. Unfortunately, the launch was impacted by the COVID-19 pandemic and postponement of elective surgeries. Nonetheless, we do expect an improved performance of the product after the pandemic abates as more accounts gain access to the new presentation.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we distributed both the vial and the ready-to-use premixed bag presentations of Caldolor.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Kristalose</w:t>
      </w:r>
      <w:r>
        <w:rPr>
          <w:rFonts w:ascii="Arial" w:cs="Arial" w:eastAsia="Arial" w:hAnsi="Arial"/>
          <w:sz w:val="23"/>
          <w:szCs w:val="23"/>
          <w:color w:val="auto"/>
          <w:vertAlign w:val="superscript"/>
        </w:rPr>
        <w:t>®</w:t>
      </w:r>
    </w:p>
    <w:p>
      <w:pPr>
        <w:spacing w:after="0" w:line="9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Kristalose is a prescription laxative administered orally for the treatment of acute and chronic constipation. An innovative, dry powder crystalline formulation of lactulose, Kristalose is designed to enhance patient acceptance and compliance. Kristalose is the only prescription laxative available in pre-measured powder packets.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Kristalose dissolves easily in four ounces of water, offering patients a virtually taste-free, grit-free and essentially calorie-free alternative to lactulose syrups. We conducted a preference study which indicated that seventy-seven percent of patients surveyed prefer the taste, consistency and portability of Kristalose over similar products in syrup forms.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acquired exclusive U.S. commercialization rights to Kristalose in 2006, assembled a dedicated field sales force and re-launched it in September 2006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late 2011, through a series of transactions, we entered into an agreement to acquire assets associated with the Kristalose brand including the Kristalose trademark and the FDA registration.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Using preference data as a cornerstone of our marketing efforts, we repositioned the brand in early 2014. The marketing strategy included an enhanced patient coupon program and expanded managed care coverage for the product.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added a co-promotion partner to provide support for the brand in 2017. Poly Pharmaceuticals is promoting Kristalose to physician targets not covered by our field sales forces. In 2018, we added another partner, Foxland Pharmaceuticals, Inc., who is repackaging Kristalose and featuring it with additional new physician targets.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2020 we continued to support Kristalose through our field sales force as well as our partnerships with Poly Pharmaceuticals and Foxland Pharmaceuticals, Inc.</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Omeclamox</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-Pak</w:t>
      </w:r>
    </w:p>
    <w:p>
      <w:pPr>
        <w:spacing w:after="0" w:line="1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ulcers of the gastrointestinal tract are caused by an infection from the Helicobacter pylori (“H. pylori”) bacterium. Omeclamox-Pak is a branded prescription product used for the treatment of these infections and the related duodenal ulcer disease. This innovative product combines three well-known and widely prescribed medications: omeprazole, clarithromycin, and amoxicillin.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Omeclamox-Pak was the first FDA approved triple therapy combination medication to contain omeprazole as the proton pump inhibitor, which works to decrease the amount of acid the stomach produces. Clarithromycin and amoxicillin are both antibiotic agents which hinder the growth of the H. pylori bacteria.</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Interaction of these agents allows the stomach lining to heal effectively. The medications are packaged together on convenient daily dosing cards, making it simple to follow the twice a day dosing before meals.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there are competing combination products, Omeclamox-Pak is one of the few actively marketed brands for this condition. In addition, compared to the competitors, Omeclamox-Pak involves the lowest pill burden and fewest days of therapy. Our involvement with Omeclamox-Pak began in October 2013, through a co-promotion agreement with Pernix Therapeutics ("Pernix").</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November 2015, Cumberland entered into an exclusive license and supply agreement with Gastro-Entero Logic, LLC (“GEL”), assumed full commercial responsibility for Omeclamox-Pak in the United States, and concluded our agreements with Pernix. Cumberland became responsible for the distribution, national accounts and all sales promotion of Omeclamox-Pak under the GEL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2018, we completed an agreement with GEL to acquire all remaining assets associated with Omeclamox-Pak including the product’s FDA approval as well as the domestic and international trademarks. The closing of this transaction ended Cumberland’s payments of royalties and manufacturing fees to GEL, and we assumed responsibility for the maintenance of the product’s FDA approval and for the oversight of the product’s manufacturing and packaging.</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field sales force has promoted Omeclamox-Pak to the gastroenterology market segment, which accounts for the largest component of the prescriber base for this product. We supplemented this personal promotion through telemarketing campaigns to expand the support and use of the product. We have also established a series of contracts to provide managed care coverage for Omeclamox-Pak.</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packager for Omeclamox-Pak encountered financial difficulties in 2020 due to the impact of COVID-19, and their operations are currently suspended. We are awaiting resumption of those operations, while also exploring other alternatives to restart the product’s packaging. We have notified the FDA that the product is currently not available.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color w:val="auto"/>
          <w:vertAlign w:val="superscript"/>
        </w:rPr>
        <w:t>®</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early 2014, we entered into an agreement with Astellas Pharma US, Inc. ("Astellas") to acquire Vaprisol, including certain product rights, intellectual property and related assets. Vaprisol is a prescription brand indicated to raise serum sodium levels in hospitalized patients with euvolemic and hypervolemic hyponatremia. The product was developed and registered by Astellas. It is one of two branded prescription products indicated for the treatment of hyponatremia, and the only intravenously administered branded treatment.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Vaprisol is supported by our hospital sales division. Demand for the product increased during the 2020 pandemic, and we worked to ensure availability of the product to hospitals and clinics during the health care crisis.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November 2018, the Company announced an agreement with Theravance Biopharma ("Theravance") to acquire the Vibativ assets from Theravance and assume global responsibility for the brand including the related marketing, distribution, manufacturing and regulatory activities.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after the closing, we initiated shipments of Vibativ, assumed responsibility for the supply chain and distribution of the product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transitioned the brand's responsibilites from Theravance to Cumberland. Vibativ is supported by our hospital sales division.</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2020, demand for the product grew, and it was used to treat pneumonia resulting from secondary bacterial infections in hospitalized COVID-19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RediTrex</w:t>
      </w:r>
      <w:r>
        <w:rPr>
          <w:rFonts w:ascii="Arial" w:cs="Arial" w:eastAsia="Arial" w:hAnsi="Arial"/>
          <w:sz w:val="23"/>
          <w:szCs w:val="23"/>
          <w:b w:val="1"/>
          <w:bCs w:val="1"/>
          <w:i w:val="1"/>
          <w:iCs w:val="1"/>
          <w:color w:val="auto"/>
          <w:vertAlign w:val="superscript"/>
        </w:rPr>
        <w:t>®</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2016, we announced an agreement with Nordic Group B.V. to commercialize their methotrexate product line in the United States. This new line of injectable products is designed for treating patients with arthritis and psoriasis. Cumberland is responsible for the registration and commercialization of these products while Nordic will manage the product supply. Nordic has registered and is selling their methotrexate products in several European countries.</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late 2018, we completed the submission and filed with the FDA a New Drug Application for our methotrexate products. In December 2019, we received FDA approval for RediTrex and began planning for a launch of this product line. In November 2020, we provided initial shipments of RediTrex to select accounts and began preparing for a national launch in the second half of 2021, once product supplies are assured and market conditions return to normal.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4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development pipeline includes a series of product candidates in Phase II development. During 2020, enrollment in our studies significantly slowed during the pandemic, due to trial suspensions and the decrease in eligible patient admissions to medical centers across the country. We look forward to an improvement as the pandemic subsides and centers begin to reopen with a return of patients eligible for our trials.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programs include the evaluation of ifetroban in the following areas: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Aspirin-Exacerbated Respiratory Disease ("AERD")</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completed the manufacturing and initiated clinical development of an oral formulation of ifetroban under the brand name Boxaban. We are evaluating this candidate for patients suffering from Aspirin-Exacerbated Respiratory Disease ("AERD"), also known as Samter’s Triad, a chronic medical condition that consists of three clinical features: asthma, sinus disease with nasal polyposis and sensitivity to aspirin. AERD is characterized by sharp increases in inflammatory mediators and platelet activity within the respiratory system. Approximately one in twenty asthmatic adults in the U.S. suffer from AERD and awareness of the disease is growing within the medical community. There is no U.S. approved pharmaceutical treatment for AERD.</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completed an initial Phase II clinical study to evaluate the safety and tolerability of Boxaban in AERD patients. The multicenter study involved sixteen patients at several U.S. medical centers led by the Scripps Research Institute. Results indicated that Boxaban was well tolerated with no safety concerns noted in patients with a history of AERD.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early 2017, the FDA cleared Cumberland’s IND application for the Company’s AERD clinical program. Following this clearance, we initiated a follow-on multicenter Phase II efficacy study to evaluate the efficacy of Boxaban in seventy-six patients with symptomatic AERD.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Sclerosis ("SSc")</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2016, we announced the addition of Vasculan to our pipeline. Through Cumberland's ifetroban program, Cumberland has initiated the clinical development of ifetroban oral capsules for the treatment of systemic sclerosis.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Systemic sclerosis ("SSc"), also called scleroderma, is a debilitating autoimmune disorder characterized by diffuse fibrosis of the skin and internal organs, as well as vascular dysfunction. Preclinical studies have shown that ifetroban prevents and can restore cardiac function in a preclinical model of pulmonary arterial hypertension.</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disease has a high morbidity and the highest case-specific mortality of any rheumatic disorder with 50% of patients dying or developing major internal organ complications within 3 years of diagnosis. Although several medications are used to treat the skin disease associated with SSc, there is no universally effective treatment to improve the function of affected internal organs such as the lungs, heart, and gastrointestinal 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FDA has cleared our IND application to evaluate the safety and efficacy of Vasculan in patients with SSc. As a result, we initiated a Phase II multicenter study in thirty-four SSc patients.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 ("DMD")</w:t>
      </w:r>
    </w:p>
    <w:p>
      <w:pPr>
        <w:spacing w:after="0" w:line="1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September 24, 2019, Cumberland announced an FDA Orphan Drug Grant funding for a new Phase II clinical program. The Company has initiated the clinical development of ifetroban for the treatment of cardiomyopathy associated with Duchenne Muscular Dystrophy (“DMD”). Based on preclinical findings, the FDA has cleared Cumberland’s application to study ifetroban in DMD patients, 7 years of age and older. In addition, Cumberland has been awarded just over $1 million in funding from the FDA through their Orphan Drug Grant program to support this Phase II DMD clinical study. It is the first DMD clinical study approved for FDA Orphan Product Development funding. During 2020 the FDA awarded a supplemental grant in support of the Phase II study.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Clinical Programs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also completed Phase II clinical programs with ifetroban in patients with Hepatorenal Syndrome (“HRS”) and patients with Portal</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Hypertension (“PH”). Additional pilot studies of ifetroban are underway including several investigator-initiated trials. We are awaiting further study results before deciding on the best path for approval for ifetroban, our first new chemical entity.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Hospital Product Candidate</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 reducing agent for use in the hospital setting.</w:t>
      </w:r>
    </w:p>
    <w:p>
      <w:pPr>
        <w:spacing w:after="0" w:line="116"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During 2017, we completed a Phase I study which defined the pharmacokinetic properties and provided a favorable safety profile for this new product candidate. The study results and a proposed clinical development plan were discussed with the FDA. A Phase II study has been initiated and and patient enrollment completed. We have completed the study report, filed it with the FDA and are now determining the next steps for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growth strategy involves maximizing the potential of our existing brands while continuing to build a portfolio of differentiated products. We currently market seven FDA approved products for sale in the United States. Through our international partners, we are working to bring our products to patients in their countries. We also look for opportunities to expand our products into additional patient populations through clinical trials, new indications, and select investigator-initiated studies. We actively pursue opportunities to acquire additional marketed products as well as late-stage development product candidates in our target medical specialties. Our clinical team is developing a pipeline of new product candidates to address unmet medical needs. Further, we are supplementing these activities with the early stage drug development activities at CET, our majority-owned subsidiary. Specifically, we are seeking long term sustainable growth by executing the following plans: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Support and expand the use of our marketed products. </w:t>
      </w:r>
      <w:r>
        <w:rPr>
          <w:rFonts w:ascii="Arial" w:cs="Arial" w:eastAsia="Arial" w:hAnsi="Arial"/>
          <w:sz w:val="17"/>
          <w:szCs w:val="17"/>
          <w:color w:val="auto"/>
        </w:rPr>
        <w:t>We continue to evaluate our products following their FDA approval to determine if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data could expand their market and use. We will continue to explore opportunities for label expansion to bring our products to new patient populations. As examples, we have secured pediatric approval, expanding the labeling for both our Acetadote and Caldolor brands.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Selectively add complementary brands. </w:t>
      </w:r>
      <w:r>
        <w:rPr>
          <w:rFonts w:ascii="Arial" w:cs="Arial" w:eastAsia="Arial" w:hAnsi="Arial"/>
          <w:sz w:val="18"/>
          <w:szCs w:val="18"/>
          <w:color w:val="auto"/>
        </w:rPr>
        <w:t>In addition to our product development activities, we are also seeking to acquire products or late-stage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represents the largest product acquisition we have completed.</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Progress clinical pipeline and incubate future product opportunities at CET. </w:t>
      </w:r>
      <w:r>
        <w:rPr>
          <w:rFonts w:ascii="Arial" w:cs="Arial" w:eastAsia="Arial" w:hAnsi="Arial"/>
          <w:sz w:val="17"/>
          <w:szCs w:val="17"/>
          <w:color w:val="auto"/>
        </w:rPr>
        <w:t>We believe it is important to build a pipeline of innovative new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Our ifetroban Phase II development programs represent the implementation of this strategy. At CET, we are supplementing our acquisition and late-stage development activities with the early-stage drug development activities. CET partners with universities and other research organizations to develop promising, early-stage product candidates, which Cumberland has the opportunity to further develop and commercialize.</w:t>
      </w:r>
    </w:p>
    <w:p>
      <w:pPr>
        <w:spacing w:after="0" w:line="9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Leverage our infrastructure through co-promotion partnerships. </w:t>
      </w:r>
      <w:r>
        <w:rPr>
          <w:rFonts w:ascii="Arial" w:cs="Arial" w:eastAsia="Arial" w:hAnsi="Arial"/>
          <w:sz w:val="16"/>
          <w:szCs w:val="16"/>
          <w:color w:val="auto"/>
        </w:rPr>
        <w:t>We believe that our commercial infrastructure can help drive prescription volume and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sales. We look for strategic partners that can complement our capabilities and enhance the opportunity for our brands. Our co-promotion partnership with Poly Pharmaceuticals, Inc. and Foxland Pharmaceuticals, Inc. allow us to expand the support for Kristalose across the United States.</w:t>
      </w:r>
    </w:p>
    <w:p>
      <w:pPr>
        <w:spacing w:after="0" w:line="7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Build an international contribution to our business. </w:t>
      </w:r>
      <w:r>
        <w:rPr>
          <w:rFonts w:ascii="Arial" w:cs="Arial" w:eastAsia="Arial" w:hAnsi="Arial"/>
          <w:sz w:val="16"/>
          <w:szCs w:val="16"/>
          <w:color w:val="auto"/>
        </w:rPr>
        <w:t>We have established our own commercial capabilities, including two sales divisions to cover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Manage our operations with financial discipline. </w:t>
      </w:r>
      <w:r>
        <w:rPr>
          <w:rFonts w:ascii="Arial" w:cs="Arial" w:eastAsia="Arial" w:hAnsi="Arial"/>
          <w:sz w:val="18"/>
          <w:szCs w:val="18"/>
          <w:color w:val="auto"/>
        </w:rPr>
        <w:t>We continually work to manage our expenses in line with our revenues in order to deliver positive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 from operations. We remain in a strong financial position, with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sales and marketing team has broad industry experience in selling branded pharmaceuticals. Our sales and marketing professionals manage our dedicated hospital and gastroenterology sales forces, including approximately 50 sales representatives and district managers, direct our national marketing campaigns and maintain key national account relationships.</w:t>
      </w:r>
    </w:p>
    <w:p>
      <w:pPr>
        <w:spacing w:after="0" w:line="11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 xml:space="preserve">Hospital market: </w:t>
      </w:r>
      <w:r>
        <w:rPr>
          <w:rFonts w:ascii="Arial" w:cs="Arial" w:eastAsia="Arial" w:hAnsi="Arial"/>
          <w:sz w:val="18"/>
          <w:szCs w:val="18"/>
          <w:color w:val="auto"/>
        </w:rPr>
        <w:t>We promote Caldolor, Vaprisol, Acetadote, and Vibativ through our dedicated hospital sales division. This organization targets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hospitals across the U.S. and is comprised of sales professionals with substantial experience in the hospital market. Independent market data continues to indicate that the majority of pharmaceutical promotional spending is directed toward large, outpatient markets on drugs intended for chronic use rather than short-term, hospital use.</w:t>
      </w:r>
    </w:p>
    <w:p>
      <w:pPr>
        <w:spacing w:after="0" w:line="1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believe the hospital market is under-served and highly concentrated, and that it can be penetrated effectively by a small, dedicated sales force without large-scale promotional activity. Our established position in the hospital market provided the rationale for adding Vibativ as our first infectious disease product that complement our hospital product line. Our strategy has been to increase the focus of our hospital sales team on targeted, high priority accounts.</w:t>
      </w:r>
    </w:p>
    <w:p>
      <w:pPr>
        <w:spacing w:after="0" w:line="106" w:lineRule="exact"/>
        <w:rPr>
          <w:sz w:val="20"/>
          <w:szCs w:val="20"/>
          <w:color w:val="auto"/>
        </w:rPr>
      </w:pPr>
    </w:p>
    <w:p>
      <w:pPr>
        <w:jc w:val="both"/>
        <w:ind w:left="660"/>
        <w:spacing w:after="0" w:line="299" w:lineRule="auto"/>
        <w:rPr>
          <w:sz w:val="20"/>
          <w:szCs w:val="20"/>
          <w:color w:val="auto"/>
        </w:rPr>
      </w:pPr>
      <w:r>
        <w:rPr>
          <w:rFonts w:ascii="Arial" w:cs="Arial" w:eastAsia="Arial" w:hAnsi="Arial"/>
          <w:sz w:val="16"/>
          <w:szCs w:val="16"/>
          <w:b w:val="1"/>
          <w:bCs w:val="1"/>
          <w:i w:val="1"/>
          <w:iCs w:val="1"/>
          <w:color w:val="auto"/>
        </w:rPr>
        <w:t xml:space="preserve">Gastroenterology and rheumatology market: </w:t>
      </w:r>
      <w:r>
        <w:rPr>
          <w:rFonts w:ascii="Arial" w:cs="Arial" w:eastAsia="Arial" w:hAnsi="Arial"/>
          <w:sz w:val="16"/>
          <w:szCs w:val="16"/>
          <w:color w:val="auto"/>
        </w:rPr>
        <w:t>We promote Kristalose, Omeclamox-Pak and RediTrex through a dedicated field sales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addressing a targeted group of physicians who are large prescribers of the products. Because the markets for gastrointestinal and rheumatology diseases are broad in patient scope, yet relatively narrow in physician base, we believe they provide opportunities that can be penetrated with 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modest sized sales force. By investing in our sales and marketing activities we believe that we can increase market share for these products.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commercial executives conduct ongoing analyses to evaluate marketing campaigns and promotional programs in support of our brands. The evaluations include development of product profiles, testing of the profiles against the needs of the market, determining what additional product information or development work is needed to effectively market the products and preparing financial forecasts.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utilize professional branding and packaging as well as promotional items to support our products, including direct mail, sales brochures, journal advertising, educational and reminder leave-behinds, patient educational pieces, coupons, and product sampling. We also regularly attend select medical meetings and trade shows to expand the awareness of our products.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national accounts function is responsible for key large buyers and related marketing programs. National accounts maintain relationships with our wholesaler customers as well as with third-party payors such as group purchasing organizations, pharmacy benefit managers, hospital buying groups, state and federal government purchasers and health insurance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CUSTOMERS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customers are wholesale pharmaceutical distributors in the United States. Total revenue by customer for each customer representing 10% or more of consolidated gross revenues are summarized below for the year ended December 31, 2020:</w:t>
      </w:r>
    </w:p>
    <w:p>
      <w:pPr>
        <w:spacing w:after="0" w:line="130" w:lineRule="exact"/>
        <w:rPr>
          <w:sz w:val="20"/>
          <w:szCs w:val="20"/>
          <w:color w:val="auto"/>
        </w:rPr>
      </w:pPr>
    </w:p>
    <w:tbl>
      <w:tblPr>
        <w:tblLayout w:type="fixed"/>
        <w:tblInd w:w="292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17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8"/>
                <w:szCs w:val="18"/>
                <w:color w:val="auto"/>
              </w:rPr>
            </w:pPr>
          </w:p>
        </w:tc>
      </w:tr>
      <w:tr>
        <w:trPr>
          <w:trHeight w:val="145"/>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1</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Customer 2</w:t>
            </w:r>
          </w:p>
        </w:tc>
        <w:tc>
          <w:tcPr>
            <w:tcW w:w="1700" w:type="dxa"/>
            <w:vAlign w:val="bottom"/>
          </w:tcPr>
          <w:p>
            <w:pPr>
              <w:jc w:val="right"/>
              <w:ind w:right="53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3</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PARTNERSHIPS</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established our own capabilities to support the commercialization of our products in the U.S. Our international strategy is to identify and partner with other companies that have the appropriate capabilities to support our products in their respective countries. We have entered into a series of agreements to establish an international network, which is summarized in the table below and includes information on our primary partners: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gridSpan w:val="2"/>
          </w:tcPr>
          <w:p>
            <w:pPr>
              <w:ind w:left="840"/>
              <w:spacing w:after="0"/>
              <w:rPr>
                <w:sz w:val="20"/>
                <w:szCs w:val="20"/>
                <w:color w:val="auto"/>
              </w:rPr>
            </w:pPr>
            <w:r>
              <w:rPr>
                <w:rFonts w:ascii="Arial" w:cs="Arial" w:eastAsia="Arial" w:hAnsi="Arial"/>
                <w:sz w:val="18"/>
                <w:szCs w:val="18"/>
                <w:b w:val="1"/>
                <w:bCs w:val="1"/>
                <w:color w:val="auto"/>
              </w:rPr>
              <w:t>International Partner</w:t>
            </w: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Product(s)</w:t>
            </w:r>
          </w:p>
        </w:tc>
        <w:tc>
          <w:tcPr>
            <w:tcW w:w="4640" w:type="dxa"/>
            <w:vAlign w:val="bottom"/>
            <w:gridSpan w:val="2"/>
          </w:tcPr>
          <w:p>
            <w:pPr>
              <w:ind w:left="1900"/>
              <w:spacing w:after="0"/>
              <w:rPr>
                <w:sz w:val="20"/>
                <w:szCs w:val="20"/>
                <w:color w:val="auto"/>
              </w:rPr>
            </w:pPr>
            <w:r>
              <w:rPr>
                <w:rFonts w:ascii="Arial" w:cs="Arial" w:eastAsia="Arial" w:hAnsi="Arial"/>
                <w:sz w:val="18"/>
                <w:szCs w:val="18"/>
                <w:b w:val="1"/>
                <w:bCs w:val="1"/>
                <w:color w:val="auto"/>
              </w:rPr>
              <w:t>Territory</w:t>
            </w:r>
          </w:p>
        </w:tc>
        <w:tc>
          <w:tcPr>
            <w:tcW w:w="1560" w:type="dxa"/>
            <w:vAlign w:val="bottom"/>
          </w:tcPr>
          <w:p>
            <w:pPr>
              <w:ind w:left="520"/>
              <w:spacing w:after="0"/>
              <w:rPr>
                <w:sz w:val="20"/>
                <w:szCs w:val="20"/>
                <w:color w:val="auto"/>
              </w:rPr>
            </w:pPr>
            <w:r>
              <w:rPr>
                <w:rFonts w:ascii="Arial" w:cs="Arial" w:eastAsia="Arial" w:hAnsi="Arial"/>
                <w:sz w:val="18"/>
                <w:szCs w:val="18"/>
                <w:b w:val="1"/>
                <w:bCs w:val="1"/>
                <w:color w:val="auto"/>
              </w:rPr>
              <w:t>Status</w:t>
            </w:r>
          </w:p>
        </w:tc>
        <w:tc>
          <w:tcPr>
            <w:tcW w:w="120" w:type="dxa"/>
            <w:vAlign w:val="bottom"/>
          </w:tcPr>
          <w:p>
            <w:pPr>
              <w:spacing w:after="0"/>
              <w:rPr>
                <w:sz w:val="20"/>
                <w:szCs w:val="20"/>
                <w:color w:val="auto"/>
              </w:rPr>
            </w:pPr>
          </w:p>
        </w:tc>
      </w:tr>
      <w:tr>
        <w:trPr>
          <w:trHeight w:val="88"/>
        </w:trPr>
        <w:tc>
          <w:tcPr>
            <w:tcW w:w="33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5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Phebra Pty Ltd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Acetadote</w:t>
            </w: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 and New Zealand</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DB Pharm Korea Co., Ltd.</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1560" w:type="dxa"/>
            <w:vAlign w:val="bottom"/>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Seqirus (a CSL company)</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 and New Zealand</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Sandor Medicaids Pvt. Ltd.</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tcPr>
          <w:p>
            <w:pPr>
              <w:spacing w:after="0"/>
              <w:rPr>
                <w:sz w:val="20"/>
                <w:szCs w:val="20"/>
                <w:color w:val="auto"/>
              </w:rPr>
            </w:pPr>
            <w:r>
              <w:rPr>
                <w:rFonts w:ascii="Arial" w:cs="Arial" w:eastAsia="Arial" w:hAnsi="Arial"/>
                <w:sz w:val="18"/>
                <w:szCs w:val="18"/>
                <w:color w:val="auto"/>
              </w:rPr>
              <w:t>India, Pakistan, Bangladesh and Nepal</w:t>
            </w:r>
          </w:p>
        </w:tc>
        <w:tc>
          <w:tcPr>
            <w:tcW w:w="1560" w:type="dxa"/>
            <w:vAlign w:val="bottom"/>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GerminMED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Qutar</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R-Pharm JSC</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Vibativ</w:t>
            </w:r>
          </w:p>
        </w:tc>
        <w:tc>
          <w:tcPr>
            <w:tcW w:w="4640" w:type="dxa"/>
            <w:vAlign w:val="bottom"/>
            <w:gridSpan w:val="2"/>
          </w:tcPr>
          <w:p>
            <w:pPr>
              <w:spacing w:after="0"/>
              <w:rPr>
                <w:sz w:val="20"/>
                <w:szCs w:val="20"/>
                <w:color w:val="auto"/>
              </w:rPr>
            </w:pPr>
            <w:r>
              <w:rPr>
                <w:rFonts w:ascii="Arial" w:cs="Arial" w:eastAsia="Arial" w:hAnsi="Arial"/>
                <w:sz w:val="18"/>
                <w:szCs w:val="18"/>
                <w:color w:val="auto"/>
              </w:rPr>
              <w:t>Russia</w:t>
            </w:r>
          </w:p>
        </w:tc>
        <w:tc>
          <w:tcPr>
            <w:tcW w:w="1560" w:type="dxa"/>
            <w:vAlign w:val="bottom"/>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ETHICA Industri Farmasi</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Indonesia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w:t>
            </w:r>
          </w:p>
        </w:tc>
        <w:tc>
          <w:tcPr>
            <w:tcW w:w="120" w:type="dxa"/>
            <w:vAlign w:val="bottom"/>
            <w:shd w:val="clear" w:color="auto" w:fill="CCEEFF"/>
          </w:tcPr>
          <w:p>
            <w:pPr>
              <w:spacing w:after="0"/>
              <w:rPr>
                <w:sz w:val="19"/>
                <w:szCs w:val="19"/>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Laboratorios Grifols, S.A.</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tcPr>
          <w:p>
            <w:pPr>
              <w:spacing w:after="0"/>
              <w:rPr>
                <w:sz w:val="20"/>
                <w:szCs w:val="20"/>
                <w:color w:val="auto"/>
              </w:rPr>
            </w:pPr>
            <w:r>
              <w:rPr>
                <w:rFonts w:ascii="Arial" w:cs="Arial" w:eastAsia="Arial" w:hAnsi="Arial"/>
                <w:sz w:val="18"/>
                <w:szCs w:val="18"/>
                <w:color w:val="auto"/>
              </w:rPr>
              <w:t>Spain, Portugal and South America</w:t>
            </w:r>
          </w:p>
        </w:tc>
        <w:tc>
          <w:tcPr>
            <w:tcW w:w="1560" w:type="dxa"/>
            <w:vAlign w:val="bottom"/>
          </w:tcPr>
          <w:p>
            <w:pPr>
              <w:ind w:left="20"/>
              <w:spacing w:after="0"/>
              <w:rPr>
                <w:sz w:val="20"/>
                <w:szCs w:val="20"/>
                <w:color w:val="auto"/>
              </w:rPr>
            </w:pPr>
            <w:r>
              <w:rPr>
                <w:rFonts w:ascii="Arial" w:cs="Arial" w:eastAsia="Arial" w:hAnsi="Arial"/>
                <w:sz w:val="18"/>
                <w:szCs w:val="18"/>
                <w:color w:val="auto"/>
              </w:rPr>
              <w:t>Registration</w:t>
            </w:r>
          </w:p>
        </w:tc>
        <w:tc>
          <w:tcPr>
            <w:tcW w:w="120" w:type="dxa"/>
            <w:vAlign w:val="bottom"/>
          </w:tcPr>
          <w:p>
            <w:pPr>
              <w:spacing w:after="0"/>
              <w:rPr>
                <w:sz w:val="19"/>
                <w:szCs w:val="19"/>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SciClone Pharmaceuticals, Inc.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Vibativ</w:t>
            </w: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and Hong Kong</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w:t>
            </w:r>
          </w:p>
        </w:tc>
        <w:tc>
          <w:tcPr>
            <w:tcW w:w="120" w:type="dxa"/>
            <w:vAlign w:val="bottom"/>
            <w:shd w:val="clear" w:color="auto" w:fill="CCEEFF"/>
          </w:tcPr>
          <w:p>
            <w:pPr>
              <w:spacing w:after="0"/>
              <w:rPr>
                <w:sz w:val="19"/>
                <w:szCs w:val="19"/>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WinHealth Pharma Group Co.</w:t>
            </w:r>
          </w:p>
        </w:tc>
        <w:tc>
          <w:tcPr>
            <w:tcW w:w="14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Caldolor &amp;</w:t>
            </w:r>
          </w:p>
        </w:tc>
        <w:tc>
          <w:tcPr>
            <w:tcW w:w="4640" w:type="dxa"/>
            <w:vAlign w:val="bottom"/>
            <w:gridSpan w:val="2"/>
          </w:tcPr>
          <w:p>
            <w:pPr>
              <w:spacing w:after="0" w:line="176" w:lineRule="exact"/>
              <w:rPr>
                <w:sz w:val="20"/>
                <w:szCs w:val="20"/>
                <w:color w:val="auto"/>
              </w:rPr>
            </w:pPr>
            <w:r>
              <w:rPr>
                <w:rFonts w:ascii="Arial" w:cs="Arial" w:eastAsia="Arial" w:hAnsi="Arial"/>
                <w:sz w:val="18"/>
                <w:szCs w:val="18"/>
                <w:color w:val="auto"/>
              </w:rPr>
              <w:t>China and Hong Kong</w:t>
            </w:r>
          </w:p>
        </w:tc>
        <w:tc>
          <w:tcPr>
            <w:tcW w:w="1560" w:type="dxa"/>
            <w:vAlign w:val="bottom"/>
          </w:tcPr>
          <w:p>
            <w:pPr>
              <w:ind w:left="20"/>
              <w:spacing w:after="0" w:line="176" w:lineRule="exact"/>
              <w:rPr>
                <w:sz w:val="20"/>
                <w:szCs w:val="20"/>
                <w:color w:val="auto"/>
              </w:rPr>
            </w:pPr>
            <w:r>
              <w:rPr>
                <w:rFonts w:ascii="Arial" w:cs="Arial" w:eastAsia="Arial" w:hAnsi="Arial"/>
                <w:sz w:val="18"/>
                <w:szCs w:val="18"/>
                <w:color w:val="auto"/>
              </w:rPr>
              <w:t>Development</w:t>
            </w:r>
          </w:p>
        </w:tc>
        <w:tc>
          <w:tcPr>
            <w:tcW w:w="120" w:type="dxa"/>
            <w:vAlign w:val="bottom"/>
          </w:tcPr>
          <w:p>
            <w:pPr>
              <w:spacing w:after="0"/>
              <w:rPr>
                <w:sz w:val="15"/>
                <w:szCs w:val="15"/>
                <w:color w:val="auto"/>
              </w:rPr>
            </w:pPr>
          </w:p>
        </w:tc>
      </w:tr>
      <w:tr>
        <w:trPr>
          <w:trHeight w:val="230"/>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Acetadote</w:t>
            </w: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international commercialization agreements include a license to one or more Cumberland products for a specific territory as noted in the table above. We seek partners who have the local infrastructure to support the registration and commercialization of our products in their territory.</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terms of our agreements our partners are responsible for:</w:t>
      </w:r>
    </w:p>
    <w:p>
      <w:pPr>
        <w:spacing w:after="0" w:line="158"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Seeking regulatory approvals for the products;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Launching the brand;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the ongoing marketing, sales and product distribution;</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Addressing the ongoing regulatory requirements in the international territories;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Remitting any upfront, regulatory and sales milestone payments;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the transfer price for supplies of product; and</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Calculating and paying any royalties, as applicable.</w:t>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responsibilities include:</w:t>
      </w:r>
    </w:p>
    <w:p>
      <w:pPr>
        <w:spacing w:after="0" w:line="158"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dossier of relevant information to support product registration;</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our intellectual property associated with the product;</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Sharing our marketing strategy, experience and materials for the brand; and</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and providing finished product for sale.</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2020, we worked to support our existing international partners and to identify new companies to represent our products in select additional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AFFAIRS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in-house capabilities for the management of our clinical, professional and regulatory affairs. Our team develops and manages our clinical trials, prepares regulatory submissions, manages ongoing product-related regulatory responsibilities and manages our medical information call center. Team members have been responsible for devising the regulatory and clinical strategies for all our products as well as obtaining FDA approvals for Acetadote, Caldolor and RediTrex.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development personnel are responsible for:</w:t>
      </w:r>
    </w:p>
    <w:p>
      <w:pPr>
        <w:spacing w:after="0" w:line="14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clinical development strategies;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designing, implementing and monitoring our clinical trials;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case report forms and other study-related documents.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quality affairs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internal regulatory and quality affairs team is responsible for:</w:t>
      </w:r>
    </w:p>
    <w:p>
      <w:pPr>
        <w:spacing w:after="0" w:line="15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preparing and submitting INDs for clearance to begin patient studies;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preparing and submitting NDAs and fulfilling post-approval marketing commitments;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investigational and marketing applications through the submission of appropriate reports;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submitting supplemental applications for additional label indications, product line extensions and manufacturing improvements;</w:t>
      </w:r>
    </w:p>
    <w:p>
      <w:pPr>
        <w:spacing w:after="0" w:line="144"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regulatory risk profiles for product acquisition candidates, including compliance with manufacturing, labeling, distribution and marketing regulations;</w:t>
      </w:r>
    </w:p>
    <w:p>
      <w:pPr>
        <w:spacing w:after="0" w:line="102"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monitoring applicable third-party service providers for quality and compliance with current Good Manufacturing Practices ("GMPs"), Good Laboratory Practices ("GLPs"), and Good Clinical Practices ("GCPs"), and performing periodic audits of such vendors; and</w:t>
      </w:r>
    </w:p>
    <w:p>
      <w:pPr>
        <w:spacing w:after="0" w:line="78"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systems for document control, product and process change control, customer complaint handling, product stability studies and annual drug product reviews.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AND MEDICAL AFFAIRS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medical team provides in-house, medical information support for our marketed products. This includes interacting directly with healthcare professionals to address any product or medical inquiries through our medical information call center and medical science liaisons. In addition to coordinating the call center, our clinical/regulatory group generates medical information letters, provides informational memos to our sales forces and assists with ongoing training for the sales forces.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AND STUDY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 Clinical Manuscripts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 November 2018, Cumberland reached an agreement to acquire Vibativ from Theravance Biopharma and assume global responsibility for the product.</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late 2019, we announced a publication in </w:t>
      </w:r>
      <w:r>
        <w:rPr>
          <w:rFonts w:ascii="Arial" w:cs="Arial" w:eastAsia="Arial" w:hAnsi="Arial"/>
          <w:sz w:val="18"/>
          <w:szCs w:val="18"/>
          <w:i w:val="1"/>
          <w:iCs w:val="1"/>
          <w:color w:val="auto"/>
        </w:rPr>
        <w:t>Infectious Diseases and Therapy</w:t>
      </w:r>
      <w:r>
        <w:rPr>
          <w:rFonts w:ascii="Arial" w:cs="Arial" w:eastAsia="Arial" w:hAnsi="Arial"/>
          <w:sz w:val="18"/>
          <w:szCs w:val="18"/>
          <w:color w:val="auto"/>
        </w:rPr>
        <w:t xml:space="preserve">, with study results showing numerically superior cure rates of telavancin compared to vancomycin within a subset of patients who were enrolled in Phase 3 ATTAIN trials and had hospital-acquired pneumonia caused by bacteria with low susceptibility to vancomycin. Additionally, an online publication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detailed the positive clinical outcomes that resulted from treating multiple infection types with Vibativ, including complicated skin infections, bone and joint infections, bacteremia and endocarditis, and lower respiratory tract infections.</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May 2020, Cumberland announced a new study published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detailing the positive clinical outcomes that resulted from treating patients with bacteremia or endocarditis with Vibativ. This publication is a sub analysis of The Telavancin Observational Use Registry (TOUR™), a study conducted to record population characteristics, prescription information, and real-world clinical outcomes of patients with Gram-positive infections treated with Vibativ. The analysis suggests Vibativ is a promising and viable option for patients with bacteremia or endocarditis, including those with MRSA or another S. aureus pathogen.</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in May 2020, we announced the publication of two studies confirming the continued in vitro potency of telavancin. Both publications were part of continued surveillance of telavancin activity since 2011. The first publication tested a global collection of 24,408 Gram-positive clinical isolates, and the second publication tested a U.S. collection of 15,882 S. aureus isolates. Both studies documented the sustained in vitro antimicrobial activity and spectrum of telavancin—many years after its clinical approval—against Gram-positive clinical isolates collected worldwide over 7 years, from 2011 through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 Clinical Manuscripts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July 2020, Cumberland announced a study published in the </w:t>
      </w:r>
      <w:r>
        <w:rPr>
          <w:rFonts w:ascii="Arial" w:cs="Arial" w:eastAsia="Arial" w:hAnsi="Arial"/>
          <w:sz w:val="17"/>
          <w:szCs w:val="17"/>
          <w:i w:val="1"/>
          <w:iCs w:val="1"/>
          <w:color w:val="auto"/>
        </w:rPr>
        <w:t>Journal of Orthopedic Trauma</w:t>
      </w:r>
      <w:r>
        <w:rPr>
          <w:rFonts w:ascii="Arial" w:cs="Arial" w:eastAsia="Arial" w:hAnsi="Arial"/>
          <w:sz w:val="17"/>
          <w:szCs w:val="17"/>
          <w:color w:val="auto"/>
        </w:rPr>
        <w:t>, evaluating the efficacy of Caldolor administration in the management of acute pain in orthopedic trauma patients. The study also measured Caldolor’s ability in minimizing opioid use. This single-center, randomized, double-blind, placebo-controlled study found that Caldolor (ibuprofen) Injection reduced the quantity of opioids required to manage pain after a traumatic injury with fracture. In addition, the time to first narcotic medication was longer in the Caldolor group than with hospital standard of care. Pain was also managed better in the Caldolor group compared to standard of care narcotics.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Additionally, in August 2020, we announced the results of a review of nine clinical studies evaluating Caldolor. The comprehensive review was published in the journal </w:t>
      </w:r>
      <w:r>
        <w:rPr>
          <w:rFonts w:ascii="Arial" w:cs="Arial" w:eastAsia="Arial" w:hAnsi="Arial"/>
          <w:sz w:val="17"/>
          <w:szCs w:val="17"/>
          <w:i w:val="1"/>
          <w:iCs w:val="1"/>
          <w:color w:val="auto"/>
        </w:rPr>
        <w:t>Clinical Therapeutics</w:t>
      </w:r>
      <w:r>
        <w:rPr>
          <w:rFonts w:ascii="Arial" w:cs="Arial" w:eastAsia="Arial" w:hAnsi="Arial"/>
          <w:sz w:val="17"/>
          <w:szCs w:val="17"/>
          <w:color w:val="auto"/>
        </w:rPr>
        <w:t xml:space="preserve"> and involved 1,062 adult patients, with 757 receiving Caldolor and 305 receiving placebo or a comparator medication. The data noted that the use of Caldolor improved post-surgery recovery, decreased surgical stress, and reduced the use of opioids and over-the-counter medication. The study determined that patients given Caldolor experienced less postoperative pain and decreased opioid use. Study authors also concluded that the rapid administration and preemptive use of Caldolor should be considered in Enhanced Recovery After Surgery protocols for the management of postoperative pain including that of traumatic origin.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 Newborn Study</w:t>
      </w:r>
    </w:p>
    <w:p>
      <w:pPr>
        <w:spacing w:after="0" w:line="144" w:lineRule="exact"/>
        <w:rPr>
          <w:sz w:val="20"/>
          <w:szCs w:val="20"/>
          <w:color w:val="auto"/>
        </w:rPr>
      </w:pPr>
    </w:p>
    <w:p>
      <w:pPr>
        <w:ind w:right="200" w:firstLine="648"/>
        <w:spacing w:after="0" w:line="334" w:lineRule="auto"/>
        <w:rPr>
          <w:sz w:val="20"/>
          <w:szCs w:val="20"/>
          <w:color w:val="auto"/>
        </w:rPr>
      </w:pPr>
      <w:r>
        <w:rPr>
          <w:rFonts w:ascii="Arial" w:cs="Arial" w:eastAsia="Arial" w:hAnsi="Arial"/>
          <w:sz w:val="16"/>
          <w:szCs w:val="16"/>
          <w:color w:val="auto"/>
        </w:rPr>
        <w:t>We previously received FDA approval for the use of Caldolor in pediatric patients six months of age and older. Caldolor is the first and only injectable NSAID approved for use in children. We then initiated a study to collect data on the use of Caldolor in children ranging in age from birth up to</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six months of age. Enrollment in that multi-center study was completed in 2019, and topline results were announced in 2020, indicating that Caldolor was well tolerated in this patient population, with no safety concerns noted.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Ifetroban Phase II Studies</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been evaluating our ifetroban product candidate in a series of clinical studies. We have three Phase II clinical programs underway evaluating our ifetroban product candidates in 1) patients with cardiomyopathy associated with Duchenne Muscular Dystrophy, a rare, fatal, genetic neuromuscular disease results in deterioration of the skeletal, heart and lung muscles, 2) Systemic Sclerosis or scleroderma, a debilitating autoimmune disorder characterized by diffuse fibrosis of the skin and internal organs and 3) Aspirin-Exacerbated Respiratory Disease, a severe form of asthma.</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have completed two pilot Phase II studies involving 1) patients suffering from Hepatorenal Syndrome, a life-threatening condition involving liver and kidney failure and 2) patients with Portal Hypertension associated with chronic liver disease.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pilot studies of ifetroban are underway, including several investigator-initiated trials.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Enrollment in our clinical studies was interrupted during 2020 due to the COVID-19 pandemic. While enrollment of new patients is currently limited, we have worked to ensure that patients already entered into a trial continue to receive their study drug. Many of our clinical study sites have reopened and resumed screening of patients for potential enrollment into our studies. We are awaiting results from the studies underway before deciding on the best development path for the registration of ifetroban, our first new chemical entity.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Hospital Product Candidate Study</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 reducing agent for use in the hospital setting.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2017, we completed a Phase I study which defined the pharmacokinetic properties and provided a favorable safety profile for this new product candidate. The study results and a proposed clinical development plan were discussed with the FDA.</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Phase II study has been initiated and patient enrollment completed. We have completed the study report, filed it with the FDA and are now determining the next steps for this product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inception, we have had an active business development program focused on acquiring rights to marketed products and product candidates that fit our strategy and target markets. We source business development opportunities through our international network of advisory firms and individual pharmaceutical industry and medical advisors. A multi-disciplinary internal management team reviews these opportunities on a regular basis using a list of selection criteria. We have historically focused on product opportunities that are a strategic fit with our commercial organization, development expertise and medical focus, employing a variety of transaction structures.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continue to build a portfolio of complementary, niche products largely through product acquisitions and late-stage product development.</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targets are under-promoted, FDA approved drugs with existing brand recognition and late-stage development product candidates that address unmet or poorly met medical needs in the hospital acute care and gastroenterology markets. We believe that by focusing mainly on approved or late-stage products, we can minimize the significant risk, cost and time associated with drug development.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Early in 2019, we announced a strategic review of our brands, capabilities, and international partners. This review followed an accelerated business development initiative, which resulted in a series of transactions. Because of that progress, we felt that it was prudent to take a fresh look at our product portfolio, partners, and organization to ensure proper focus and capabilities.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Partners</w:t>
      </w:r>
    </w:p>
    <w:p>
      <w:pPr>
        <w:spacing w:after="0" w:line="158"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As a result of our strategic review, we altered our international arrangements through several new agreements as well as dissolution of prior agreements..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executed a License and Distribution agreement with HongKong WinHealth Pharma Group Co. Limited (“WinHealth”) for our Caldolor and Acetadote brands in China and Hong Kong. Under the terms of the agreement, WinHealth will provide development milestone payments and purchase supplies of the products following their registration in China.</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entered into a Strategic Alliance agreement with WinHealth to explore future business opportunities that will further the mission and goals of each organization. Founded in Hangzhou, China and currently headquartered in Hong Kong, WinHealth has developed a wide breadth of capabilities including drug licensing, product development and registration, and has established a strong network of distribution and sales promotional capabilities for the Chinese market. WinHealth has established partnerships with international companies that include Boehringer-Ingelheim, Janssen, Novartis, Pfizer, and Roche, generating approximately $330 million in annual sales in 2018.</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August 2020, we entered into an agreement with WinHealth Investment (Singapore) Ltd creating </w:t>
      </w:r>
      <w:r>
        <w:rPr>
          <w:rFonts w:ascii="Arial" w:cs="Arial" w:eastAsia="Arial" w:hAnsi="Arial"/>
          <w:sz w:val="18"/>
          <w:szCs w:val="18"/>
          <w:i w:val="1"/>
          <w:iCs w:val="1"/>
          <w:color w:val="auto"/>
        </w:rPr>
        <w:t>WHC Biopharmaceuticals, Pte. Ltd</w:t>
      </w:r>
      <w:r>
        <w:rPr>
          <w:rFonts w:ascii="Arial" w:cs="Arial" w:eastAsia="Arial" w:hAnsi="Arial"/>
          <w:sz w:val="18"/>
          <w:szCs w:val="18"/>
          <w:color w:val="auto"/>
        </w:rPr>
        <w:t>. The joint venture will focus on acquiring, developing, registering, and commercializing development stage and commercial stage biopharmaceuticals for China, Hong Kong and other Asian markets.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completed the assignment and amendment of a Commercialization Agreement with R-Pharma JSC (“R Pharma”) associated with ongoing distribution of Vibativ in Russia and a number of adjacent countries in Eastern Europe. R-Pharma is one of the leading multinational pharmaceutical organizations based in Russia. Headquartered in Moscow and focusing in a wide breadth of therapeutic areas in the specialty and hospital care markets, R-Pharma generated over $1.6 billion in revenues in 2018.</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in the process of concluding our Commercialization Agreement with Hikma Pharmaceuticals LLC to register and distribute Vibativ in a number of countries throughout the Middle East, our agreement with Dr. Reddy’s Laboratories Limited for the registration and distribution of Vibativ in India, and our License and Distribution Agreement with PT. EHTICA Industri Farmasi for the registration and distribution of Caldolor in Indonesia.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 Co-Promotion Agreement</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entered into a co-promotion arrangement with Poly Pharmaceuticals, Inc. (“Poly”) for our Kristalose product in 2017. Poly is a privately held U.S. specialty pharmaceutical company that is featuring Kristalose to an expanded number of physicians. Poly’s sales organization is more than doubling the number of nationwide physicians that are reached with the Kristalose brand message. During 2019, we extended our co-promotion arrangement with Poly.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Nordic License Agreement</w:t>
      </w:r>
    </w:p>
    <w:p>
      <w:pPr>
        <w:spacing w:after="0" w:line="15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November 2016, we announced our agreement to acquire the exclusive U.S. rights to Nordic Group B.V.'s injectable methotrexate product line. The products are designed for the treatment of active rheumatoid arthritis, juvenile idiopathic arthritis, severe psoriatic arthritis, and severe disabling psoriasis.</w:t>
      </w:r>
    </w:p>
    <w:p>
      <w:pPr>
        <w:spacing w:after="0" w:line="4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product line is approved for patient use in various European countries and received FDA approval near the end of 2019. Cumberland has registered and is commercializing the methotrexate products in the United States under the brand name RediTrex.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2R and Foxland Agreements</w:t>
      </w:r>
    </w:p>
    <w:p>
      <w:pPr>
        <w:spacing w:after="0" w:line="15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During 2018, we entered into another co-promotion arrangement related to our Kristalose product. We have agreements with 2R Investments, LLC and with Foxland Pharmaceuticals, Inc. to package, distribute and promote an authorized generic form of our Kristalose product to physician targets that we do not cover. Cumberland continues to manage the regulatory activities associated with the product.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Clinigen Strategic Dissolution Agreement</w:t>
      </w:r>
    </w:p>
    <w:p>
      <w:pPr>
        <w:spacing w:after="0" w:line="15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previously entered into a strategic alliance with the Clinigen Group plc ("Clinigen"), an international specialty pharmaceutical and services company, to commercialize select Clinigen products in the U.S. In May 2016, we announced an agreement with Clinigen to acquire an exclusive license and commercialize Ethyol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We then announced in January 2017, our second agreement with Clinigen to acquire an exclusive license and launch Totect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w:t>
      </w:r>
    </w:p>
    <w:p>
      <w:pPr>
        <w:spacing w:after="0" w:line="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May 2019, following a strategic review of our partners, products and organization, we entered into a Dissolution Agreement with Clinigen in which Cumberland will return the exclusive rights to commercialize Ethyol and Totect in the United States to Clinigen. Under the final terms of the amended Dissolution Agreement we transitioned from our current arrangement with Clinigen effective December 31, 2019. Under the terms of the agreement, Cumberland will no longer be involved directly or indirectly with the distribution, marketing and promotion of either Ethyol or Totect or any competing products. In exchange for the return of these product license rights and not competing with either product, we will receive $5 million in financial consideration paid over the two-years following December 31,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CET University Collaboration Agreements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CET, we collaborate with a select group of academic research institutions located in the mid-south region of the U.S. to identify, co-develop and seek grant funding for promising biomedical technologies emerging from those research institutions.</w:t>
      </w:r>
    </w:p>
    <w:p>
      <w:pPr>
        <w:spacing w:after="0" w:line="1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CET is collaborating with Vanderbilt University, the University of Mississippi, the University of Tennessee Research Foundation, Louisiana State University, and the Medical University of South Carolina to identify, co-develop and seek grant funding for promising biomedical technologies emerging from those research institutions.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arrangements enable CET to team with university-based researchers to advance their scientific discoveries and breakthroughs by designing new product candidates to improve patient care and address unmet medical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partner with third parties for certain non-core, capital-intensive capabilities, including the manufacturing and distribution of our products. We manage these third-party relationships and are responsible for the quality review and release of each lot of our products.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Acetadote</w:t>
      </w:r>
      <w:r>
        <w:rPr>
          <w:rFonts w:ascii="Arial" w:cs="Arial" w:eastAsia="Arial" w:hAnsi="Arial"/>
          <w:sz w:val="23"/>
          <w:szCs w:val="23"/>
          <w:b w:val="1"/>
          <w:bCs w:val="1"/>
          <w:i w:val="1"/>
          <w:iCs w:val="1"/>
          <w:color w:val="auto"/>
          <w:vertAlign w:val="superscript"/>
        </w:rPr>
        <w: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Acetadote we had agreements with two manufacturers, and one manufacturer provided commercial supplies of the product during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w:t>
      </w:r>
      <w:r>
        <w:rPr>
          <w:rFonts w:ascii="Arial" w:cs="Arial" w:eastAsia="Arial" w:hAnsi="Arial"/>
          <w:sz w:val="23"/>
          <w:szCs w:val="23"/>
          <w:b w:val="1"/>
          <w:bCs w:val="1"/>
          <w:i w:val="1"/>
          <w:iCs w:val="1"/>
          <w:color w:val="auto"/>
          <w:vertAlign w:val="superscript"/>
        </w:rPr>
        <w:t>®</w:t>
      </w:r>
    </w:p>
    <w:p>
      <w:pPr>
        <w:spacing w:after="0" w:line="1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agreements with multiple manufacturers for the supply of Caldolor and during 2020 we obtained commercial supplies from three of these manufacturers for our international and domestic Caldolor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Kristalose</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an agreement for the purchase of Kristalose API with an international supplier. We also have manufacturing relationships with two packagers who provided finished supplies of the product for commercial and sampling purposes during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Omeclamox-Pak</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asset purchase agreement with GEL that closed in December 2018, GEL managed the packaging and supply of Omeclamox-Pak commercial and sample units. Following our acquisition of the remaining rights to the brand in late 2018, we assumed responsibility for the packaging and supply of the product. During 2019 we entered into a new packaging arrangement for this product.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2020, the packager for Cumberland’s Omeclamox-Pak product encountered financial difficulties due to the economic impact of COVID-19, and their operations suspended. Cumberland is awaiting resumption of those operations while also exploring other alternatives to restart the product’s packaging. We informed the FDA of a shortage of the Omeclamox-Pak effective October 14, 2020, and have not provided a date for the availability of new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Vaprisol</w:t>
      </w:r>
      <w:r>
        <w:rPr>
          <w:rFonts w:ascii="Arial" w:cs="Arial" w:eastAsia="Arial" w:hAnsi="Arial"/>
          <w:sz w:val="23"/>
          <w:szCs w:val="23"/>
          <w:b w:val="1"/>
          <w:bCs w:val="1"/>
          <w:color w:val="auto"/>
          <w:vertAlign w:val="superscript"/>
        </w:rPr>
        <w: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the acquisition of Vaprisol, we purchased a significant existing supply of raw material inventory. In addition, as part of that transaction, we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assigned a commercial supply agreement with the historical Vaprisol manufacturer. In 2018, the manufacturer informed us that they would no longer be able to provide the product following the manufacturing of one final batch which is providing us with a multi-year supply. We identified and reached an agreement during 2020 with a new manufacturer to provide us with long term supplies of the product. We subsequently initiated the transfer of the product’s manufacturing to the new facility in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r>
        <w:rPr>
          <w:rFonts w:ascii="Arial" w:cs="Arial" w:eastAsia="Arial" w:hAnsi="Arial"/>
          <w:sz w:val="23"/>
          <w:szCs w:val="23"/>
          <w:b w:val="1"/>
          <w:bCs w:val="1"/>
          <w:color w:val="auto"/>
          <w:vertAlign w:val="superscript"/>
        </w:rPr>
        <w:t>®</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our acquisition of Vibativ, we acquired a multi-year supply of raw material, work in process and finished goods inventory. As a result of the agreement, we are now responsible for the future manufacture of the product and completed the transfer of the product’s manufacturing activities to a new supplier and received FDA approval for that facility in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2016, we entered into an agreement with the Nordic Group B.V. ("Nordic") to acquire the exclusive U.S. rights to Nordic’s injectable methotrexate product line. In 2019, we received FDA approval for the product and authorization to market them under the RediTrex brand name. Under our agreement with Nordic, they are responsible for providing us the packaged and labeled commercial supply of RediTrex.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Like many pharmaceutical companies, we engage a third-party with appropriate facilities and logistical expertise to support the U.S. distribution of our products. Cardinal Health has exclusively handled our U.S. product logistics activities, including warehousing, shipping, and various other customer activities. Our primary customers are the wholesalers of pharmaceuticals who provide our products to hospitals, clinics and retail pharmacies in the U.S.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Foundation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2017, we formed the Cumberland Pharma Foundation (the "Foundation") to serve as a vehicle to facilitate the ongoing philanthropic endeavors of Cumberland Pharmaceuticals Inc.</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Foundation was formed as an independent,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2018, we provided a grant of 50,000 shares of our common stock to the Foundation. The shares will address the ongoing financial needs of the Foundation, with most of the shares expected to be held for the opportunity to realize long term appreciation to support the Foundation’s future. The Foundation maintains independent financial statements and its contributions will not impact the financial statements of Cumberland Pharmaceuticals. Initial annual grants by the Foundation have been and remain consistent with the historic level of contributions made by Cumberland Pharmaceuticals. During 2020, we provided approximately $50,000 in cash contributions to the Foundation.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Health and Wellness Political Action Committee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2017 we formed the Cumberland Health and Wellness Political Action Committee (PAC). The objective of the PAC is to support candidates and policies that are consistent with Cumberland’s mission of advancing patient care. The PAC’s activities will be at the local, state and federal level and conducted in a bi-partisan manner. The initial committee membership is comprised of Cumberland Pharmaceuticals employees. The PAC received initial funding from us and future funding will include voluntary individual contributions from Cumberland Pharmaceuticals directors and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PROPRIETARY RIGHTS</w:t>
      </w:r>
    </w:p>
    <w:p>
      <w:pPr>
        <w:spacing w:after="0" w:line="1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own the trademarks for each of our branded pharmaceutical products as well as for our corporate name and logo. We have applied for trademark registration for other various names and logos. Over time, we intend to maintain registrations on trademarks that remain valuable to our business.</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seek to protect our products from competition through a combination of patents, trademarks, trade secrets, FDA exclusivity and contractual restrictions on disclosure. Proprietary rights, including patents, are an important element of our business. We seek to protect our proprietary information by requiring our employees, consultants, contractors and other advisors to execute agreements providing for protection of our confidential information upon commencement of their employment or engagement. We also require confidentiality agreements from entities to which we provide our confidential information or materials.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developed a new formulation of Acetadote (acetylcysteine) Injection as part of a Phase IV commitment in response to a request by the FDA to evaluate the reduction of ethylene diamine tetraacetic acid ("EDTA") from the product's formulation. In April 2012, the USPTO issued U.S. Patent number 8,148,356 (the “356 Acetadote Patent”) which is assigned to us. The claims of the 356 Acetadote Patent encompass the new Acetadote formulation and include composition of matter claims. Following its issuance, the 356 Acetadote Patent was listed in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Orange Book. The 356 Acetadote Patent is scheduled to expire in May 2026, which time period includes a 270-day patent term adjustment granted by the USPTO.</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issuance of the 356 Acetadote Patent, we received separate Paragraph IV certification notices from InnoPharma, Inc. ("InnoPharma"), Paddock Laboratories, LLC (“Paddock”), Mylan Institutional LLC (“Mylan”), Sagent Agila LLC ("Sagent") and Perrigo Company ("Perrigo") challenging the 356 Acetadote Patent on the basis of non-infringement and/or invalidity. We responded by filing five separate infringement lawsuits, in the appropriate United States District Courts, to contest each of the challenges.</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12, 2012, we entered into a Settlement Agreement (the “Settlement Agreement”) with Paddock and Perrigo to resolve the challenges and the pending litigation with those two companies.</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November 1, 2013, the United States District Courts filed opinions granting Sagent’s and InnoPharma’s motions to dismiss our suits and we agreed not to file an appeal or motion to reconsider, thereby resolving the challenges and the pending litigation with those two companies.</w:t>
      </w:r>
    </w:p>
    <w:p>
      <w:pPr>
        <w:spacing w:after="0" w:line="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Settlement Agreement, Paddock and Perrigo admit that the 356 Acetadote Patent is valid and enforceable and that any Paddock or Perrigo generic version of Acetadote (with or without EDTA) would infringe upon the 356 Acetadote Patent. In addition, Paddock and Perrigo will not challenge the validity, enforceability, ownership or patentability of the 356 Acetadote Patent through its expiration currently scheduled for May 2026. On November 12, 2012, in connection with the execution of the Settlement Agreement, we entered into a License and Supply Agreement with Paddock and Perrigo (the “License and Supply Agreement”).</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License and Supply Agreement, if a third party receives final approval from the FDA for an ANDA to sell a generic Acetadote product and such third party made such generic version available for purchase in commercial quantities in the United States, we are to supply Perrigo with an Authorized Generic version of our Acetadote product.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18, 2012, we also submitted a Citizen Petition to the FDA requesting that the FDA refrain from approving any applications for acetylcysteine injection that contain EDTA, based in part on the FDA's request that we evaluate the reduction or removal of EDTA from our original Acetadote formulation.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7, 2012, the FDA responded to the Citizen Petition denying our request and on November 8, 2012, we learned that the FDA approved the ANDA referencing Acetadote filed by InnoPharma, Inc. We brought suit against the FDA contesting the FDA's decision to approve the InnoPharma generic on November 13, 2012.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September 30, 2013, the United States District Court filed an opinion granting a summary judgment in favor of the FDA regarding this suit.</w:t>
      </w:r>
    </w:p>
    <w:p>
      <w:pPr>
        <w:spacing w:after="0" w:line="16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As noted above, during 2012 the FDA approved the ANDA referencing Acetadote filed by InnoPharma, Inc. Upon this condition, in accordance with the License and Supply agreement with Perrigo, we began to supply Perrigo with our Authorized Generic. On January 7, 2013, Perrigo announced initial distribution of our Authorized Generic acetylcysteine injection product.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19, 2013, the USPTO issued U.S. Patent number 8,399,445 (the “445 Acetadote Patent”) which is assigned to us. The claims of the 445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encompass the use of the 200 mg/ml Acetadote formulation to treat patients with acetaminophen overdose. On April 8, 2013, the 445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was listed in the FDA Orange Book. The 445 Acetadote Patent is scheduled to expire in August 2025. Following the issuance of the 445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Acetadote Patent we received separate Paragraph IV certification notices from Perrigo, Sagent Pharmaceuticals, Inc., and Mylan challenging the 445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Acetadote Patent on the basis of non-infringement, unenforceability and/or invalidity.</w:t>
      </w:r>
    </w:p>
    <w:p>
      <w:pPr>
        <w:spacing w:after="0" w:line="14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June 10, 2013, we became aware of a Paragraph IV certification notice from Akorn, Inc. challenging the 445 Acetadote Patent and the 356 Acetadote Patent on the basis of non-infringement. On July 12, 2013, we filed a lawsuit for infringement of the 356 Acetadote Patent against Akorn, Inc. in United States District Court.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18, 2014, the USPTO issued U.S. Patent number 8,653,061 (the “061 Acetadote Patent”) which is assigned to us. The claims of the 061 Acetadote Patent encompass the use of the 200 mg/ml Acetadote formulation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treat patients with acetaminophen overdose. Following its issuance, the 061 Acetadote Patent was listed in the FDA Orange Book. The 061 Acetadote Patent is scheduled to expire in August 2025.</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13, 2014, the USPTO issued U.S. Patent number 8,722,738 (the “738 Acetadote Patent”) which is assigned to us. The claims of the 738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encompass administration methods of acetylcysteine injection, without specification of the presence or lack of EDTA in the injection.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its issuance, the 738 Acetadote Patent was listed in the FDA Orange Book and it is scheduled to expire in April 2032.</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11, 2014 and March 3, 2015, we became aware of Paragraph IV certification notices from Aurobindo Pharma Limited and Zydus Pharmaceuticals (USA) Inc., respectively, challenging the 356, 445, 061, and 738 Acetadote Patents on the basis of non-infringement.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10, 2015, the USPTO issued U.S. Patent number 8,952,065 (the “065 Acetadote Patent”) which is assigned to us. The claims of the 065 Acetadote Patent encompass the use of the 200 mg/ml Acetadote formulation to treat patients with acute liver failure. The 065 Acetadote Patent is scheduled to expire in August 2025.</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30, 2015, the United States District Court for the Northern District of Illinois, Eastern Division ("District Court") ruled in our favor in our lawsuit against Mylan for infringement of the 445 Acetadote Patent. The opinion upheld our 445 Acetadote Patent and expressly rejected Mylan's validity challenge. The District Court ruled that Mylan is liable to us for infringement of the 445 Acetadote patent in light of Mylan's Abbreviated New Drug Application in which Mylan sought to market a generic version of Acetadote.</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17, 2015, the District Court entered an order enjoining Mylan and its affiliates from selling or using its generic version of Acetadote until August 2025, the date of expiration of the 445 Acetadote Patent. On October 30, 2015, Mylan filed a notice of appeal to the U.S. Court of Appeals for the Federal Circuit (the "Appeals Court").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3, 2016, the USPTO issued U.S. Patent number 9,327,028 (the “028 Acetadote Patent”) which is assigned to us. The claims of the 028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encompass administration methods of acetylcysteine injection, without specification of the presence or lack of EDTA in the injection.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its issuance, the 028 Acetadote Patent was listed in the FDA Orange Book and it is scheduled to expire in July 2031.</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26, 2017, the Appeals Court affirmed the District Court ruling in our favor in our lawsuit against Mylan for infringement of the 445 Acetadote Patent. The Appeals Court opinion affirmed the District Court’s ruling upholding our 445 Acetadote Patent and expressly rejected Mylan's validity challenge.</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3, 2017, we became aware of a Paragraph IV certification notice from Exela Pharma Sciences, LLC challenging the 356, 445, 061, 738, and 028 Acetadote Patents on the basis of non-infringement.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considering our legal options and intend to continue to vigorously defend and protect our Acetadote product and related intellectual property rights.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Caldolor</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the owner of U.S. Patent No. 6,727,286, which encompasses ibuprofen solution formulations, methods of making the same, and methods of using the same, and which is scheduled to expire in November 2021. This U.S. patent is listed in the FDA Orange Book and is associated with our completed international application No. PCT/US01/42894. We have filed for international patent protection in association with this PCT application in various countries, several of which have been allowed.</w:t>
      </w:r>
    </w:p>
    <w:p>
      <w:pPr>
        <w:spacing w:after="0" w:line="1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an exclusive, worldwide license to clinical data for intravenous ibuprofen from Vanderbilt University, in consideration for royalty obligations related to Caldolor. During 2014, we obtained additional patents for the brand. On May 27, 2014, the USPTO issued U.S. Patent number 8,735,452 (the “452 Caldolor Patent”) which is assigned to us. The claims of the 452 Caldolor Patent encompass methods of treating pain using intravenous ibuprofen. Following its issuance, the 452 Caldolor Patent was listed in the FDA Orange Book and is scheduled to expire in September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28, 2014, the USPTO issued U.S. Patent number 8,871,810 (the “810 Caldolor Patent”) which is assigned to us. The claims of the 810 Caldolor Patent encompass methods of treating pain using intravenous ibuprofen. Following its issuance, the 810 Caldolor Patent was listed in the FDA Orange Book and is scheduled to expire in September 2029.</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third quarter of 2015, we obtained four additional patents for Caldolor. On July 7, 2015, the USPTO issued U.S. Patent number’s 9,072,710 (the “710 Caldolor Patent”) and 9,072,661 (the “661 Caldolor Patent”) which are assigned to us. The claims of the 710 Caldolor Patent and the 661 Caldolor Patent include composition and methods of treating pain, inflammation and fever using intravenous ibuprofen. These Caldolor Patents are listed in the FDA Orange Book and are scheduled to expire in March 2032. On April 21, 2015, the USPTO issued U.S. Patent No. 9,012,508 (the “508 Caldolor Patent”) which is assigned to us.</w:t>
      </w:r>
    </w:p>
    <w:p>
      <w:pPr>
        <w:spacing w:after="0" w:line="12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claims of the 508 Caldolor Patent include methods of treating pain using intravenous ibuprofen. Following its issuance, the 508 Caldolor Patent was listed in the FDA Orange Book and is scheduled to expire in September 2030. On August 25, 2015, the USPTO issued U.S. Patent number 9,114,068 (the “068 Caldolor Patent”) which is assigned to us. The claims of the 068 Caldolor Patent include methods of treating pain using intravenous ibuprofen.</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its issuance, the 068 Caldolor Patent was listed in the FDA Orange Book and is scheduled to expire in September 2029. On September 22, 2015, the USPTO issued U.S. Patent number 9,138,404 (the “404 Caldolor Patent”) which is assigned to us.</w:t>
      </w:r>
    </w:p>
    <w:p>
      <w:pPr>
        <w:spacing w:after="0" w:line="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claims of the 404 Caldolor Patent include methods of treating pain in critically ill patients with intravenous ibuprofen. Following its issuance, the 404 Caldolor Patent was listed in the FDA Orange Book and is scheduled to expire in September 2029.</w:t>
      </w:r>
    </w:p>
    <w:p>
      <w:pPr>
        <w:spacing w:after="0" w:line="1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March 29, 2016, the USPTO issued U.S. Patent number 9,295,639 (the "639 Caldolor Patent") which is assigned to us. The claims of the 639 Caldolor Patent include methods of treating pain in critically ill patients with intravenous ibuprofen. Following its issuance, the 639 Caldolor Patent was listed in the FDA Orange Book and is scheduled to expire in September 2029.</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16, 2017, the USPTO issued U.S. Patent number 9,649,284 (the "284 Caldolor Patent") which is assigned to us. The claims of the 284 Caldolor Patent include methods of treating pain in critically ill patients with intravenous ibuprofen. Following its issuance, the 284 Caldolor Patent was listed in the FDA Orange Book and is scheduled to expire in September 2029. We also have additional patent applications related to Caldolor which are pending with the USPTO.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own numerous U.S. patents and related international patents for Vaprisol. These patents were acquired in our February 2014 acquisition of certain product rights, intellectual property and related assets of Vaprisol from Astellas.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numerous U.S. patents and related international patents for Vibativ. These patents were acquired in our November 2018 acquisition of certain product rights, intellectual property and related assets of Vibativ from Theravance. Eleven Vibativ patents are listed in the FDA Orange Book. U.S. Patent number 7,531,623 (the “623 Vibativ Patent”) is scheduled to expire in January 2027 and includes composition of matter claims that encompass the Vibativ drug substance as well as methods for preparing the Vibativ drug substance.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Products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 issued patents for our RediTrex, Omeclamox-Pak and Kristalose products. We have multiple granted patents relating to our ifetroban products and patent applications pending with the USPTO.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attributes such as efficacy, safety, ease-of-use and cost-effectiveness;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awareness and recognition driven by sales, marketing and distribution capabilities;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and other exclusivity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resources to build and maintain developmental and commercial capabilities;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business development activities;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extent of third-party reimbursements, insurance coverage;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of advantageous collaborations to conduct development, manufacturing or commercialization efforts.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number of our competitors possess research and development and sales and marketing capabilities as well as financial resources greater than ours. These competitors, in addition to emerging companies and academic research institutions, may be developing, or in the future could develop, new technologies that could compete with our current and future products or render our products obsolete.</w:t>
      </w:r>
    </w:p>
    <w:p>
      <w:pPr>
        <w:spacing w:after="0" w:line="10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products face competition from other branded products, generics, and alternate medical treatments. Our task is to position each brand to feature its competitive advantages, implement a well thought out marketing plan and provide focused sales and other tactical support.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b w:val="1"/>
          <w:bCs w:val="1"/>
          <w:color w:val="auto"/>
          <w:vertAlign w:val="superscript"/>
        </w:rPr>
        <w:t>®</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Acetadote is our injectable formulation of N-acetylcysteine </w:t>
      </w:r>
      <w:r>
        <w:rPr>
          <w:rFonts w:ascii="Arial" w:cs="Arial" w:eastAsia="Arial" w:hAnsi="Arial"/>
          <w:sz w:val="18"/>
          <w:szCs w:val="18"/>
          <w:i w:val="1"/>
          <w:iCs w:val="1"/>
          <w:color w:val="auto"/>
        </w:rPr>
        <w:t>("</w:t>
      </w:r>
      <w:r>
        <w:rPr>
          <w:rFonts w:ascii="Arial" w:cs="Arial" w:eastAsia="Arial" w:hAnsi="Arial"/>
          <w:sz w:val="18"/>
          <w:szCs w:val="18"/>
          <w:color w:val="auto"/>
        </w:rPr>
        <w:t>NAC") for the treatment of acetaminophen overdose. NAC is accepted worldwide as the standard of care for acetaminophen overdose. Our competitors in the acetaminophen overdose market are those companies selling orally administered NAC including, but not limited to, Geneva Pharmaceuticals, Inc., Bedford Laboratories division of Hikma Pharmaceuticals, Roxane Laboratories, Inc., InnoPharma Inc. and Hospira Inc.</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2012, InnoPharma Inc. was granted approval by the FDA to distribute their generic form of the old formulation of Acetadote containing EDTA. In late 2012, we entered into the Settlement Agreement with Paddock and Perrigo that included the right to distribute our Authorized Generic Acetadote injection product. Our branded Acetadote now competes with both the EDTA free Authorized Generic Acetadote distributed by Paddock and Perrigo along with generic Acetadote products that contain EDTA.</w:t>
      </w:r>
    </w:p>
    <w:p>
      <w:pPr>
        <w:spacing w:after="0" w:line="119" w:lineRule="exact"/>
        <w:rPr>
          <w:sz w:val="20"/>
          <w:szCs w:val="20"/>
          <w:color w:val="auto"/>
        </w:rPr>
      </w:pPr>
    </w:p>
    <w:p>
      <w:pPr>
        <w:ind w:right="1520" w:firstLine="324"/>
        <w:spacing w:after="0" w:line="364" w:lineRule="auto"/>
        <w:rPr>
          <w:sz w:val="20"/>
          <w:szCs w:val="20"/>
          <w:color w:val="auto"/>
        </w:rPr>
      </w:pPr>
      <w:r>
        <w:rPr>
          <w:rFonts w:ascii="Arial" w:cs="Arial" w:eastAsia="Arial" w:hAnsi="Arial"/>
          <w:sz w:val="18"/>
          <w:szCs w:val="18"/>
          <w:color w:val="auto"/>
        </w:rPr>
        <w:t xml:space="preserve">Manufactures of the old Acetadote formulation include: Akorn, AuroMedics Pharma, Fresenius Kabi and Sagent Pharmaceuticals. </w:t>
      </w:r>
      <w:r>
        <w:rPr>
          <w:rFonts w:ascii="Arial" w:cs="Arial" w:eastAsia="Arial" w:hAnsi="Arial"/>
          <w:sz w:val="18"/>
          <w:szCs w:val="18"/>
          <w:b w:val="1"/>
          <w:bCs w:val="1"/>
          <w:i w:val="1"/>
          <w:iCs w:val="1"/>
          <w:color w:val="auto"/>
        </w:rPr>
        <w:t>Caldolor</w:t>
      </w:r>
      <w:r>
        <w:rPr>
          <w:rFonts w:ascii="Arial" w:cs="Arial" w:eastAsia="Arial" w:hAnsi="Arial"/>
          <w:sz w:val="23"/>
          <w:szCs w:val="23"/>
          <w:b w:val="1"/>
          <w:bCs w:val="1"/>
          <w:color w:val="auto"/>
          <w:vertAlign w:val="superscript"/>
        </w:rPr>
        <w:t>®</w:t>
      </w:r>
    </w:p>
    <w:p>
      <w:pPr>
        <w:jc w:val="both"/>
        <w:ind w:firstLine="324"/>
        <w:spacing w:after="0" w:line="277" w:lineRule="auto"/>
        <w:rPr>
          <w:sz w:val="20"/>
          <w:szCs w:val="20"/>
          <w:color w:val="auto"/>
        </w:rPr>
      </w:pPr>
      <w:r>
        <w:rPr>
          <w:rFonts w:ascii="Arial" w:cs="Arial" w:eastAsia="Arial" w:hAnsi="Arial"/>
          <w:sz w:val="18"/>
          <w:szCs w:val="18"/>
          <w:color w:val="auto"/>
        </w:rPr>
        <w:t>Caldolor is marketed for the treatment of pain and fever, primarily in a hospital or surgery center setting. A variety of other products address the acute pain market:</w:t>
      </w:r>
    </w:p>
    <w:p>
      <w:pPr>
        <w:spacing w:after="0" w:line="103" w:lineRule="exact"/>
        <w:rPr>
          <w:sz w:val="20"/>
          <w:szCs w:val="20"/>
          <w:color w:val="auto"/>
        </w:rPr>
      </w:pPr>
    </w:p>
    <w:p>
      <w:pPr>
        <w:ind w:left="980" w:right="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Morphine, the most commonly used product for the treatment of acute, post-operative pain, is manufactured and distributed by several generic pharmaceutical companies;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generic injectable opioids, including fentanyl, meperidine and hydromorphone, address this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25" w:lineRule="exact"/>
        <w:rPr>
          <w:sz w:val="20"/>
          <w:szCs w:val="20"/>
          <w:color w:val="auto"/>
        </w:rPr>
      </w:pPr>
    </w:p>
    <w:p>
      <w:pPr>
        <w:ind w:left="980" w:hanging="324"/>
        <w:spacing w:after="0" w:line="22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Ketorolac tromethamine (brand name Toradol</w:t>
      </w:r>
      <w:r>
        <w:rPr>
          <w:rFonts w:ascii="Arial" w:cs="Arial" w:eastAsia="Arial" w:hAnsi="Arial"/>
          <w:sz w:val="23"/>
          <w:szCs w:val="23"/>
          <w:color w:val="auto"/>
          <w:vertAlign w:val="superscript"/>
        </w:rPr>
        <w:t>®</w:t>
      </w:r>
      <w:r>
        <w:rPr>
          <w:rFonts w:ascii="Arial" w:cs="Arial" w:eastAsia="Arial" w:hAnsi="Arial"/>
          <w:sz w:val="18"/>
          <w:szCs w:val="18"/>
          <w:color w:val="auto"/>
        </w:rPr>
        <w:t>), an injectable NSAID, is also manufactured and distributed by several generic pharmaceutical companies;</w:t>
      </w:r>
    </w:p>
    <w:p>
      <w:pPr>
        <w:spacing w:after="0" w:line="122" w:lineRule="exact"/>
        <w:rPr>
          <w:rFonts w:ascii="Arial" w:cs="Arial" w:eastAsia="Arial" w:hAnsi="Arial"/>
          <w:sz w:val="18"/>
          <w:szCs w:val="18"/>
          <w:color w:val="auto"/>
        </w:rPr>
      </w:pPr>
    </w:p>
    <w:p>
      <w:pPr>
        <w:ind w:left="980" w:hanging="324"/>
        <w:spacing w:after="0" w:line="22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IV acetaminophen (brand name Ofirmev</w:t>
      </w:r>
      <w:r>
        <w:rPr>
          <w:rFonts w:ascii="Arial" w:cs="Arial" w:eastAsia="Arial" w:hAnsi="Arial"/>
          <w:sz w:val="23"/>
          <w:szCs w:val="23"/>
          <w:color w:val="auto"/>
          <w:vertAlign w:val="superscript"/>
        </w:rPr>
        <w:t>®)</w:t>
      </w:r>
      <w:r>
        <w:rPr>
          <w:rFonts w:ascii="Arial" w:cs="Arial" w:eastAsia="Arial" w:hAnsi="Arial"/>
          <w:sz w:val="18"/>
          <w:szCs w:val="18"/>
          <w:color w:val="auto"/>
        </w:rPr>
        <w:t>, an injectable analgesic product is sold by Mallinckrodt plc, and there are also generic versions from different manufacturers available;</w:t>
      </w:r>
    </w:p>
    <w:p>
      <w:pPr>
        <w:spacing w:after="0" w:line="133" w:lineRule="exact"/>
        <w:rPr>
          <w:rFonts w:ascii="Arial" w:cs="Arial" w:eastAsia="Arial" w:hAnsi="Arial"/>
          <w:sz w:val="18"/>
          <w:szCs w:val="18"/>
          <w:color w:val="auto"/>
        </w:rPr>
      </w:pPr>
    </w:p>
    <w:p>
      <w:pPr>
        <w:ind w:left="980" w:hanging="324"/>
        <w:spacing w:after="0" w:line="239" w:lineRule="auto"/>
        <w:tabs>
          <w:tab w:leader="none" w:pos="975" w:val="left"/>
        </w:tabs>
        <w:numPr>
          <w:ilvl w:val="0"/>
          <w:numId w:val="9"/>
        </w:numPr>
        <w:rPr>
          <w:rFonts w:ascii="Arial" w:cs="Arial" w:eastAsia="Arial" w:hAnsi="Arial"/>
          <w:sz w:val="22"/>
          <w:szCs w:val="22"/>
          <w:color w:val="auto"/>
        </w:rPr>
      </w:pPr>
      <w:r>
        <w:rPr>
          <w:rFonts w:ascii="Arial" w:cs="Arial" w:eastAsia="Arial" w:hAnsi="Arial"/>
          <w:sz w:val="18"/>
          <w:szCs w:val="18"/>
          <w:color w:val="auto"/>
        </w:rPr>
        <w:t>Bupivacaine injectable suspension (brand name Exparel</w:t>
      </w:r>
      <w:r>
        <w:rPr>
          <w:rFonts w:ascii="Arial" w:cs="Arial" w:eastAsia="Arial" w:hAnsi="Arial"/>
          <w:sz w:val="28"/>
          <w:szCs w:val="28"/>
          <w:color w:val="auto"/>
          <w:vertAlign w:val="superscript"/>
        </w:rPr>
        <w:t>®</w:t>
      </w:r>
      <w:r>
        <w:rPr>
          <w:rFonts w:ascii="Arial" w:cs="Arial" w:eastAsia="Arial" w:hAnsi="Arial"/>
          <w:sz w:val="18"/>
          <w:szCs w:val="18"/>
          <w:color w:val="auto"/>
        </w:rPr>
        <w:t>), product sold by Pacira Pharmaceuticals, Inc., two additional bupivacaine products, Xaracoll and Posimir, were recently approved; and</w:t>
      </w:r>
    </w:p>
    <w:p>
      <w:pPr>
        <w:spacing w:after="0" w:line="149" w:lineRule="exact"/>
        <w:rPr>
          <w:rFonts w:ascii="Arial" w:cs="Arial" w:eastAsia="Arial" w:hAnsi="Arial"/>
          <w:sz w:val="22"/>
          <w:szCs w:val="22"/>
          <w:color w:val="auto"/>
        </w:rPr>
      </w:pPr>
    </w:p>
    <w:p>
      <w:pPr>
        <w:ind w:left="980" w:right="140" w:hanging="324"/>
        <w:spacing w:after="0" w:line="250" w:lineRule="auto"/>
        <w:tabs>
          <w:tab w:leader="none" w:pos="968" w:val="left"/>
        </w:tabs>
        <w:numPr>
          <w:ilvl w:val="0"/>
          <w:numId w:val="9"/>
        </w:numPr>
        <w:rPr>
          <w:rFonts w:ascii="Arial" w:cs="Arial" w:eastAsia="Arial" w:hAnsi="Arial"/>
          <w:sz w:val="20"/>
          <w:szCs w:val="20"/>
          <w:color w:val="auto"/>
        </w:rPr>
      </w:pPr>
      <w:r>
        <w:rPr>
          <w:rFonts w:ascii="Arial" w:cs="Arial" w:eastAsia="Arial" w:hAnsi="Arial"/>
          <w:sz w:val="18"/>
          <w:szCs w:val="18"/>
          <w:color w:val="auto"/>
        </w:rPr>
        <w:t>IV meloxicam (brand name Anjeso™), a once a day injectable COX-2 preferential NSAID manufactured by Baudax Bio which was recently approved by the FDA.</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aware of other product candidates in development to treat acute pain including injectable NSAIDs, novel opioids, new formulations of existing therapies and extended release anesthetics. We believe non-narcotic analgesics for the treatment of post-surgical pain are the primary potential competitors to Caldolor.</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injectable analgesic products above, many companies are developing analgesics for specific indications such as migraine and neuropathic pain, oral extended-release forms of existing narcotic and non-narcotic products, and products with new methods of delivery such as transdermal. We are not aware of any approved injectable products indicated for the treatment of fever in the U.S. other than Caldolor and Ofirmev.</w:t>
      </w:r>
    </w:p>
    <w:p>
      <w:pPr>
        <w:spacing w:after="0" w:line="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however, numerous drugs available to physicians to reduce fevers in hospital settings via oral administration to the patient, including ibuprofen, acetaminophen, and aspirin. These drugs are manufactured by numerous pharmaceutical companies.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Kristalose</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Kristalose is a dry powder crystalline prescription formulation of lactulose indicated for the treatment of constipation. The U.S. constipation therapy market includes various prescription and over the counter, or OTC, products. The branded prescription products which we believe are our primary competitors are:</w:t>
      </w:r>
    </w:p>
    <w:p>
      <w:pPr>
        <w:spacing w:after="0" w:line="88" w:lineRule="exact"/>
        <w:rPr>
          <w:sz w:val="20"/>
          <w:szCs w:val="20"/>
          <w:color w:val="auto"/>
        </w:rPr>
      </w:pPr>
    </w:p>
    <w:p>
      <w:pPr>
        <w:ind w:left="660" w:hanging="328"/>
        <w:spacing w:after="0" w:line="221"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Lubiproston (brand name Amitiza</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chronic idiopathic constipation, irritable bowel syndrome with constipation in adults, is manufactured and sold by Mallinckrodt Pharmaceuticals.</w:t>
      </w:r>
    </w:p>
    <w:p>
      <w:pPr>
        <w:spacing w:after="0" w:line="106" w:lineRule="exact"/>
        <w:rPr>
          <w:rFonts w:ascii="Arial" w:cs="Arial" w:eastAsia="Arial" w:hAnsi="Arial"/>
          <w:sz w:val="20"/>
          <w:szCs w:val="20"/>
          <w:color w:val="auto"/>
        </w:rPr>
      </w:pPr>
    </w:p>
    <w:p>
      <w:pPr>
        <w:ind w:left="660" w:hanging="328"/>
        <w:spacing w:after="0" w:line="21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Naloxegol (brand name Movantik</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opioid-induced constipation in adults with chronic non-cancer pain and recently acquired by RedHill Biopharma in the first quarter of 2020.</w:t>
      </w:r>
    </w:p>
    <w:p>
      <w:pPr>
        <w:spacing w:after="0" w:line="106" w:lineRule="exact"/>
        <w:rPr>
          <w:rFonts w:ascii="Arial" w:cs="Arial" w:eastAsia="Arial" w:hAnsi="Arial"/>
          <w:sz w:val="20"/>
          <w:szCs w:val="20"/>
          <w:color w:val="auto"/>
        </w:rPr>
      </w:pPr>
    </w:p>
    <w:p>
      <w:pPr>
        <w:ind w:left="660" w:hanging="328"/>
        <w:spacing w:after="0" w:line="221"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Linaclotide (brand name Linzess</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irritable bowel syndrome with constipation and chronic idiopathic constipation. It is sold by Allergan, Inc. and Ironwood Pharmaceuticals, Inc.</w:t>
      </w:r>
    </w:p>
    <w:p>
      <w:pPr>
        <w:spacing w:after="0" w:line="106"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Plecanatide (brand name Trulance</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irritable bowel syndrome with constipation and chronic idiopathic constipation. It is sold by Synergy Pharmaceuticals.</w:t>
      </w:r>
    </w:p>
    <w:p>
      <w:pPr>
        <w:spacing w:after="0" w:line="135"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Generic and branded liquid lactulose products are marketed by a number of pharmaceutical companies.</w:t>
      </w:r>
    </w:p>
    <w:p>
      <w:pPr>
        <w:spacing w:after="0" w:line="148"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Lactitol for oral solution (brand name Pizensy), an oral, osmotic laxative indicated for the treatment of chronic idiopathic constipation and distributed by Braintree Laboratories, Inc. was recently approved by the FDA.</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are several hundred OTC products used to treat constipation marketed by numerous pharmaceutical and consumer health companies. MiraLax (polyethylene glycol 3350), previously a prescription product, was indicated for the treatment of constipation and manufactured and marketed by Bayer. MiraLax was converted to an OTC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0" w:lineRule="exact"/>
        <w:rPr>
          <w:sz w:val="20"/>
          <w:szCs w:val="20"/>
          <w:color w:val="auto"/>
        </w:rPr>
      </w:pPr>
    </w:p>
    <w:p>
      <w:pPr>
        <w:ind w:right="1580"/>
        <w:spacing w:after="0" w:line="364" w:lineRule="auto"/>
        <w:rPr>
          <w:sz w:val="20"/>
          <w:szCs w:val="20"/>
          <w:color w:val="auto"/>
        </w:rPr>
      </w:pPr>
      <w:r>
        <w:rPr>
          <w:rFonts w:ascii="Arial" w:cs="Arial" w:eastAsia="Arial" w:hAnsi="Arial"/>
          <w:sz w:val="18"/>
          <w:szCs w:val="18"/>
          <w:color w:val="auto"/>
        </w:rPr>
        <w:t xml:space="preserve">product in February 2007 and recently, the FDA rescinded the approval of the generic prescription polyethylene glycol 3350 products. </w:t>
      </w:r>
      <w:r>
        <w:rPr>
          <w:rFonts w:ascii="Arial" w:cs="Arial" w:eastAsia="Arial" w:hAnsi="Arial"/>
          <w:sz w:val="18"/>
          <w:szCs w:val="18"/>
          <w:b w:val="1"/>
          <w:bCs w:val="1"/>
          <w:i w:val="1"/>
          <w:i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i w:val="1"/>
          <w:iCs w:val="1"/>
          <w:color w:val="auto"/>
        </w:rPr>
        <w:t>-Pak</w:t>
      </w:r>
    </w:p>
    <w:p>
      <w:pPr>
        <w:jc w:val="both"/>
        <w:ind w:firstLine="324"/>
        <w:spacing w:after="0" w:line="286" w:lineRule="auto"/>
        <w:rPr>
          <w:sz w:val="20"/>
          <w:szCs w:val="20"/>
          <w:color w:val="auto"/>
        </w:rPr>
      </w:pPr>
      <w:r>
        <w:rPr>
          <w:rFonts w:ascii="Arial" w:cs="Arial" w:eastAsia="Arial" w:hAnsi="Arial"/>
          <w:sz w:val="17"/>
          <w:szCs w:val="17"/>
          <w:color w:val="auto"/>
        </w:rPr>
        <w:t>Omeclamox-Pak is a branded prescription product used for the treatment of Helicobacter pylori (H. pylori) infection and duodenal ulcer disease. It combines three well-known and widely prescribed medications packaged in a daily dose pack for patient convenience: omeprazole, clarithromycin, and amoxicillin. The three individual components of Omeclamox-Pak are also available from other suppliers through three separate prescriptions.</w:t>
      </w:r>
    </w:p>
    <w:p>
      <w:pPr>
        <w:spacing w:after="0" w:line="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there are several competitor products, Omeclamox-Pak is one of the two actively marketed products for this condition. In addition, compared to the competing products, Omeclamox-Pak has the lowest pill burden, fewest days of therapy and convenient twice daily dosing. The prescription combination products, indicated for treatment of H. pylori, which we believe are our primary competitors are:</w:t>
      </w:r>
    </w:p>
    <w:p>
      <w:pPr>
        <w:spacing w:after="0" w:line="10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PrevPac</w:t>
      </w:r>
      <w:r>
        <w:rPr>
          <w:rFonts w:ascii="Arial" w:cs="Arial" w:eastAsia="Arial" w:hAnsi="Arial"/>
          <w:sz w:val="23"/>
          <w:szCs w:val="23"/>
          <w:color w:val="auto"/>
          <w:vertAlign w:val="superscript"/>
        </w:rPr>
        <w:t>®</w:t>
      </w:r>
      <w:r>
        <w:rPr>
          <w:rFonts w:ascii="Arial" w:cs="Arial" w:eastAsia="Arial" w:hAnsi="Arial"/>
          <w:sz w:val="18"/>
          <w:szCs w:val="18"/>
          <w:color w:val="auto"/>
        </w:rPr>
        <w:t>, an oral product sold by Takeda Pharmaceutical Company. There are also approved generic versions of PrevPac;</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Pylera</w:t>
      </w:r>
      <w:r>
        <w:rPr>
          <w:rFonts w:ascii="Arial" w:cs="Arial" w:eastAsia="Arial" w:hAnsi="Arial"/>
          <w:sz w:val="23"/>
          <w:szCs w:val="23"/>
          <w:color w:val="auto"/>
          <w:vertAlign w:val="superscript"/>
        </w:rPr>
        <w:t>®</w:t>
      </w:r>
      <w:r>
        <w:rPr>
          <w:rFonts w:ascii="Arial" w:cs="Arial" w:eastAsia="Arial" w:hAnsi="Arial"/>
          <w:sz w:val="18"/>
          <w:szCs w:val="18"/>
          <w:color w:val="auto"/>
        </w:rPr>
        <w:t>, an oral product manufactured and sold by Allergan plc; and</w:t>
      </w:r>
    </w:p>
    <w:p>
      <w:pPr>
        <w:spacing w:after="0" w:line="77"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Talicia</w:t>
      </w:r>
      <w:r>
        <w:rPr>
          <w:rFonts w:ascii="Arial" w:cs="Arial" w:eastAsia="Arial" w:hAnsi="Arial"/>
          <w:sz w:val="28"/>
          <w:szCs w:val="28"/>
          <w:color w:val="auto"/>
          <w:vertAlign w:val="superscript"/>
        </w:rPr>
        <w:t>®</w:t>
      </w:r>
      <w:r>
        <w:rPr>
          <w:rFonts w:ascii="Arial" w:cs="Arial" w:eastAsia="Arial" w:hAnsi="Arial"/>
          <w:sz w:val="18"/>
          <w:szCs w:val="18"/>
          <w:color w:val="auto"/>
        </w:rPr>
        <w:t>, an oral product manufactured by RedHill Biopharma which was recently approved by the FDA.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Vaprisol is a patented, prescription brand indicated to raise serum sodium levels in hospitalized patients with euvolemic and hypervolemic hyponatremia. The product was developed and registered by Astellas and then launched in 2006. It is one of two branded prescription products indicated for the treatment of hyponatremia, and the first and only intravenously administered branded treatment. The other competing product is Samsca, an oral product sold by Otsuka Pharmaceutical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i w:val="1"/>
          <w:iCs w:val="1"/>
          <w:color w:val="auto"/>
          <w:vertAlign w:val="superscript"/>
        </w:rPr>
        <w: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November 12, 2018, Cumberland acquired the worldwide rights to Vibativ (telavancin) from Theravance Biopharma.</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Vibativ is a potent, once-daily, injectable antibiotic for the treatment of certain gram-positive infections. Vibativ is approved for the treatment of complicated skin and skin structure infections and hospital-acquired or ventilator-associated bacterial pneumonia caused by susceptible isolates of Staphylococcus aureus when alternative treatments are not suitable. There are several generic and branded antibiotics that compete for these indications.</w:t>
      </w:r>
    </w:p>
    <w:p>
      <w:pPr>
        <w:spacing w:after="0" w:line="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major generic competitors are vancomycin, linezolid, and daptomycin. Vancomycin is by far the most widely used agent. Newer branded agents are also available including:</w:t>
      </w:r>
    </w:p>
    <w:p>
      <w:pPr>
        <w:spacing w:after="0" w:line="101"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Ceftaroline fosamil (brand name Teflaro</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Allergan</w:t>
      </w:r>
    </w:p>
    <w:p>
      <w:pPr>
        <w:spacing w:after="0" w:line="69"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Dalbavancin (brand name Dalvance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Allergan</w:t>
      </w:r>
    </w:p>
    <w:p>
      <w:pPr>
        <w:spacing w:after="0" w:line="83"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Oritavancin (brand name Orbactiv</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Melinta</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aware of a number of other novel antibiotics which are currently in development.</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Antibiotic drug selection is based both on an empiric and susceptibility proven basis. In the hospital setting, cost is an important factor which favors the use of generic agents as long as they are effective. Newer agents are often reserved for two reasons: they are valuable in the treatment of patients that fail to respond to generics and it is considered good practice to conserve the use of these agents to reduce the risk of resistance.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RediTrex</w:t>
      </w:r>
      <w:r>
        <w:rPr>
          <w:rFonts w:ascii="Arial" w:cs="Arial" w:eastAsia="Arial" w:hAnsi="Arial"/>
          <w:sz w:val="28"/>
          <w:szCs w:val="28"/>
          <w:b w:val="1"/>
          <w:bCs w:val="1"/>
          <w:i w:val="1"/>
          <w:iCs w:val="1"/>
          <w:color w:val="auto"/>
          <w:vertAlign w:val="superscript"/>
        </w:rPr>
        <w:t>®</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RediTrex was introduced by Cumberland in the fourth quarter of 2020. RediTrex is methotrexate for subcutaneous administration in a unique syringe designed for ease of use, improved accuracy, and enhanced safety. It is indicated for treatment of rheumatoid arthritis, polyarticular juvenile idiopathic arthritis, and severe, recalcitrant, or disabling psoriasis unresponsive to alternative treatments.</w:t>
      </w:r>
    </w:p>
    <w:p>
      <w:pPr>
        <w:spacing w:after="0" w:line="1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This market is highly competitive with drugs from several different therapeutic classes available for treatment. Methotrexate is considered a standard of care especially when patients fail to respond adequately to low dose steroids or non-steroidal anti-inflammatory drugs (NSAIDs). Methotrexate is</w:t>
      </w:r>
    </w:p>
    <w:p>
      <w:pPr>
        <w:jc w:val="both"/>
        <w:spacing w:after="0" w:line="277" w:lineRule="auto"/>
        <w:rPr>
          <w:sz w:val="20"/>
          <w:szCs w:val="20"/>
          <w:color w:val="auto"/>
        </w:rPr>
      </w:pPr>
      <w:r>
        <w:rPr>
          <w:rFonts w:ascii="Arial" w:cs="Arial" w:eastAsia="Arial" w:hAnsi="Arial"/>
          <w:sz w:val="18"/>
          <w:szCs w:val="18"/>
          <w:color w:val="auto"/>
        </w:rPr>
        <w:t>available in multiple dose forms including oral, subcutaneous, and intra-venous. Methotrexate may be used alone or in combination with drugs from other therapeutic classes to adequately control patient symptoms.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RediTrex competes with other dose forms and delivery systems for methotrexate including, oral tablets, conventional vial and syringe administration,</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auto-injector pens. Oral tablets and conventional vials are generic and available from many suppliers. There are two auto-injector pen products available, Rasuvo and Otrexup.</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RediTrex also competes with or may be used in combination with drugs from other therapeutic classes including, injectable biologics like Humira and Enbrel and oral JAK inhibitors like Xaljanz. These newer agents are more expensive than the methotrexate products but benefit from significant promotion to patients and doctors.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development of new pharmaceutical products can be a long, expensive and risky process. There is no assurance we will obtain successful study results or secure the needed market approvals for our pipeline product candidates. Governmental authorities in the U.S. and other countries extensively regulate the research, development, testing, manufacturing, distribution, marketing and sale of pharmaceutical products. In the U.S., the FDA under the Federal Food, Drug, and Cosmetic Act, ("FDCA"), the Public Health Service Act, and other federal statutes and regulations, subjects pharmaceutical products to rigorous review. Failure to comply with applicable U.S. requirements may subject a company to a variety of administrative or judicial sanctions, such as FDA refusal to approve pending New Drug Application ("NDAs") or biologics license applications, ("BLAs"), warning letters, product recalls, product seizures, total or partial suspension of production or distribution, injunctions, fines, civil penalties, and criminal prosecution.</w:t>
      </w:r>
    </w:p>
    <w:p>
      <w:pPr>
        <w:spacing w:after="0" w:line="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our manufacturers and contract research organizations may also be subject to regulations under other federal, state and local laws, including the Occupational Safety and Health Act, (OSHA), the Resource Conservation and Recovery Act, the Clean Air Act and import, export and customs regulations as well as the laws and regulations of other countries.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FDA is a regulatory agency within the Department of Health and Human Services. A key responsibility is to regulate the safety and effectiveness of drugs sold in the United States. The FDA manages this responsibility into two phases: pre-approval (premarket) and post approval (post market). The FDA reviews manufacturers' applications to market drugs in the United States; a drug may not be sold unless it has FDA approval. The FDA continues its oversight of drug safety and effectiveness as long as the drug is on the market.</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market a prescription drug in the United States, a manufacturer needs FDA approval. To get that approval, the manufacturer must demonstrate the drug's safety and effectiveness according to criteria specified in law and agency regulations, ensure that its manufacturing plant passes FDA inspection, and obtain FDA approval for the drug's labeling, a term that includes all written material about the drug, including, for example, packaging, prescribing information for physicians and patient brochures.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progression to drug approval begins before FDA involvement. First, scientists work in the laboratory to discover and develop a new compound. Next, basic questions on safety are answered by nonclinical testing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animals and then, a drug or biotechnology company develops a prototype drug. That company must seek clearance from the FDA by way of an Investigational New Drug ("IND") application to test the product with human subjects.</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Those tests, called clinical trials, are carried out sequentially in Phase I, II, and III studies, which involve increasing numbers of subjects. The manufacturer then compiles the resulting data and analyses in an NDA. The FDA reviews the NDA with three major concerns: (1) safety and effectiveness in the drug's proposed use; (2) appropriateness of the proposed labeling; and (3) adequacy of manufacturing methods to assure the drug's identity, strength, quality, and purity.</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FDCA and associated regulations detail the requirements at each step. The FDA uses a few special mechanisms to expedite drug development and the review process when a drug might address an unmet need or a serious disease or condition. Those mechanisms include accelerated approval, fast track and priority reviews and the newer designation, breakthrough therapy.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sponsor of the drug typically conducts human clinical trials in three sequential phases, but the phases may overlap. Phase I clinical trials are generally conducted in a small number of healthy volunteers, primarily to collect and assess pharmacokinetics and safety data at one or more dosages prior to proceeding into patients.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Phase II clinical trials, the sponsor evaluates the early efficacy of the product in short term trials on the targeted indication and identifies possible adverse effects and safety risks in a patient population.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Phase III clinical trials typically involve testing for patients in long term trials examining safety and clinical efficacy in an expanded population at geographically-dispersed test sites.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FDA requires that clinical trials be conducted in accordance with the FDA's Good Clinical Practice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institutional review board ("IRB"), or ethics committee (outside of the U.S.), of each clinical site generally must approve the clinical trial design and patient informed consent and may also require the clinical trial at that site to be halted, either temporarily or permanently, for failure to comply with the IRB's requirements, or may impose other conditions.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results of the nonclinical and clinical trials, together with detailed information on the manufacturing and composition of the product and proposed labeling, are submitted to the FDA in the form of an NDA for marketing approval. The NDA undergoes a 60-day validation review period before it is accepted for filing.</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the NDA is found to be incomplete, it will not be accepted. Once the NDA is validated and accepted for filing, the FDA begins an in-depth review of the NDA.</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policies agreed to by the FDA under the Prescription Drug User Fee Act, or PDUFA (currently PDUFA VI - effective October 1, 2017), the FDA has a target timeline of 10 months in which to complete its initial review of a standard NDA and respond to the applicant. The review process and the PDUFA goal date may be extended by two months to address deficiencies, or by three months if the FDA requests or the NDA sponsor otherwise provides additional information or clarification regarding information already provided in the submission at any time during the review clock period. If the FDA's evaluations of the NDA and the clinical and manufacturing procedures and facilities are favorable and meet all regulations, the FDA will issue an approval letter. Priority review is reserved for drugs that represent a “significant improvement in safety or efficacy” over existing treatments and FDA endeavors to complete these reviews in six months.</w:t>
      </w:r>
    </w:p>
    <w:p>
      <w:pPr>
        <w:spacing w:after="0" w:line="11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the NDA meets with FDA approval, a letter will be sent out indicating approval and final labeling recommendations. If not, a complete response letter will be sent to applicants indicating that the review cycle for an application is complete and that the application is not ready for approval.</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complete response letter will describe the specific deficiencies that the agency has identified in an application and what changes must be made before the application can be approved, with no implication regarding whether the application will ultimately be approved. An approval letter authorizes commercial marketing of the drug for the proposed indication(s) under study. FDA reported that NDAs showed a steadier increase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first-cycle approval letters for new molecular entities rising from 56% for FY 2009 applications to 89% for FY 2018 applications.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time and cost of completing these steps and obtaining FDA approval can vary dramatically depending on the drug. However, to complete these steps for a novel drug can take many years and cost millions of dollars.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505(b) New Drug Applications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 NDA may be submitted under different methods, a 505(b)(1), 505(b)(2) or 505(j). Section 505(b) provides for the submission of an NDA to support the approval of a drug. Upon approval, a drug may be marketed only for the FDA-approved indication(s) in the approved dosage form. Further clinical trials may be necessary to gain approval for the use of the product for any additional indications or dosage forms.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FDA also requires post market safety surveillance reporting to monitor the side effects of the drug, which may result in withdrawal of approval after marketing begins if significant adverse safety findings are found.</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505(b)(1) or the 'full' NDA is used for new chemical entities ("NCEs") and requires full clinical and nonclinical development of a compound. Marketing exclusivity assigned to a 505(b)(1) approval is five years. A 505(b)(2) NDA permits the submission of an NDA where at least some of the information required for approval comes from studies not conducted by or for the applicant using previously reported safety and efficacy data, and for which the applicant has not obtained a right of reference. Generally new studies are required to provide data on the proposed change.</w:t>
      </w:r>
    </w:p>
    <w:p>
      <w:pPr>
        <w:spacing w:after="0" w:line="1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Some examples of products that may be allowed to follow a 505(b)(2) path to approval are drugs which have a new dosage form, strength, route of administration, formulation or indication or combination drugs. Marketing exclusivity for a 505(b)(2) submission is three years.</w:t>
      </w:r>
    </w:p>
    <w:p>
      <w:pPr>
        <w:spacing w:after="0" w:line="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Both 505 (b)(1) and (b)(2) are eligible for seven years of exclusivity for orphan drugs and/or six months for pediatric exclusivity. Any marketing exclusivity is independent of patent exclusivity. We successfully secured FDA approvals for Acetadote in January 2004, for Caldolor in June 2009 and for RediTrex in 2019 pursuant to the 505(b)(2) pathway.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Orphan Drug Act of 1983 (the "Orphan Drug Act") encourages manufacturers to seek approval of products intended to treat “rare diseases and conditions” with a prevalence of fewer than 200,000 patients in the U.S. or for which there is no reasonable expectation of recovering the development costs for the product. For products that receive orphan drug designation by the FDA, the Orphan Drug Act provides tax credits for clinical research, FDA assistance with protocol design, eligibility for FDA grants to fund clinical studies, waiver of the FDA application fee, and a period of seven years of marketing exclusivity for the product following FDA marketing approval.</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Acetadote received Orphan Drug designation in October 2001 and in 2004 the FDA approved the product to prevent or lessen hepatic injury after ingestion of a potentially hepatotoxic quantity of acetaminophen. Acetadote was entitled to marketing exclusivity until January 2011 for the treatment of this approved indication.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505(j) abbreviated new drug applications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 ANDA is a type of NDA where approval of a generic drug is based on demonstrating comparability to an innovator drug product (the RLD or Reference Listed Drug). Applications are "abbreviated" because they generally don't include preclinical and clinical data to establish safety and effectiveness. Generics must demonstrate that the product is bioequivalent (i.e., performs in the same manner and is comparable to the 'innovator' product in active ingredient, dosage form, strength, route of administration, labeling, quality, performance characteristics and intended use).</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Abbreviated applications may be submitted for drug products that are the same as a listed drug and must be identical in active ingredient(s), form, strength, route of administration, and identical in conditions of use (non-exclusive uses). Products are declared suitable based on a suitability petition to the FDA. If the petition is approved, the Sponsor may then submit the ANDA.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Drug Price Competition and Patent Term Restoration Act, informally known as the "Hatch-Waxman Act", is a 1984 United States federal law which established the modern system of generic drugs.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Hatch-Waxman amended the Federal Food, Drug, and Cosmetic Act. Section 505(j) 21 U.S.C. 355(j) sets forth the process by which would-be marketers of generic drugs can file ANDAs to seek FDA approval of the generic. Section 505(j)(2)(A)(vii)(IV), the so-called Paragraph IV, allows 180-day exclusivity to companies that are the "first-to-file" an ANDA against holders of patents for branded counterparts.</w:t>
      </w:r>
    </w:p>
    <w:p>
      <w:pPr>
        <w:spacing w:after="0" w:line="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These Hatch-Waxman amendments grant generic manufacturers the ability to mount a validity challenge without incurring the cost of entry or risking enormous damages flowing from any possible infringement. Hatch-Waxman essentially redistributes the relative risk assessments and explains the flow of settlement funds and their magnitude. Hatch-Waxman gives generics considerable leverage in patent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legislation</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March 23, 2010, President Obama signed into law the Patient Protection and Affordable Care Act, or PPACA. On March 30, 2010, the Health Care and Education Reconciliation Act of 2010, or HCERA, was enacted into law, which modified the revenue provisions of the PPACA. The PPACA as amended by the HCERA constitutes the healthcare reform legislation. The following highlights certain provisions of the legislation that may affect us.</w:t>
      </w:r>
    </w:p>
    <w:p>
      <w:pPr>
        <w:spacing w:after="0" w:line="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Pharmaceutical Industry Fee: </w:t>
      </w:r>
      <w:r>
        <w:rPr>
          <w:rFonts w:ascii="Arial" w:cs="Arial" w:eastAsia="Arial" w:hAnsi="Arial"/>
          <w:sz w:val="18"/>
          <w:szCs w:val="18"/>
          <w:color w:val="auto"/>
        </w:rPr>
        <w:t>Beginning in calendar-year 2011, an annual fee was imposed on pharmaceutical manufacturers and importers that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prescription drugs to specified government programs (e.g., Medicare Part D, Medicare Part B, Medicaid, Department of Veterans Affairs programs, Department of Defense programs and TRICARE).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fee is allocated to companies based on their previous calendar-year market share using sales data that the government agencies that purchase the pharmaceuticals will provide to the Treasury Department. Although we participate in governmental programs that subject us to this fee, our sales volume in such programs is less than $10 million, with the first $5 million of sales being exempt from the fee. This fee has not had a material impact and is not expected to have a material impact on our results of operations.</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Physician Payments Sunshine Act: </w:t>
      </w:r>
      <w:r>
        <w:rPr>
          <w:rFonts w:ascii="Arial" w:cs="Arial" w:eastAsia="Arial" w:hAnsi="Arial"/>
          <w:sz w:val="16"/>
          <w:szCs w:val="16"/>
          <w:color w:val="auto"/>
        </w:rPr>
        <w:t>The PPACA also includes provisions known as the Physician Payments Sunshine Act, or Sunshine Act,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 manufacturers of pharmaceuticals and medical devices covered under Medicare and Medicaid to record any transfers of value to physicians and teaching hospitals and to report this data to the Centers for Medicare and Medicaid Services, or CMS, for aggregation and subsequent public disclosure. Under the Sunshine Act, beginning August 1, 2013, we have collected data regarding reportable transfers of value and have reported such data to CMS. Failure to report appropriate data may result in civil or criminal fines and/or penalties. In addition to the Federal Sunshine Act, similar reporting requirements have also been enacted on the state level requiring transparency of interactions with health care professionals.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Medicaid Rebate Rate: </w:t>
      </w:r>
      <w:r>
        <w:rPr>
          <w:rFonts w:ascii="Arial" w:cs="Arial" w:eastAsia="Arial" w:hAnsi="Arial"/>
          <w:sz w:val="18"/>
          <w:szCs w:val="18"/>
          <w:color w:val="auto"/>
        </w:rPr>
        <w:t>We currently provide rebates for products sold to Medicaid beneficiaries.</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Product Serialization: </w:t>
      </w:r>
      <w:r>
        <w:rPr>
          <w:rFonts w:ascii="Arial" w:cs="Arial" w:eastAsia="Arial" w:hAnsi="Arial"/>
          <w:sz w:val="16"/>
          <w:szCs w:val="16"/>
          <w:color w:val="auto"/>
        </w:rPr>
        <w:t>In November of 2013, the FDA passed the Drug Supply Chain Security Act (DSCSA). The DSCSA was created to strengthen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security of the drug distribution supply chain by adding controls such as a national pharmaceutical track and trace system and establishing national standards for licensing of prescription drug wholesale distributors and third-party logistics providers. DSCSA requires trading partners, including manufacturers, repackagers, wholesale distributors and dispensers to provide transaction information to subsequent purchasers for certain prescription drugs. We have taken necessary steps to implement this program and are in compliance with all requirements by the November 2018 deadline.</w:t>
      </w:r>
    </w:p>
    <w:p>
      <w:pPr>
        <w:spacing w:after="0" w:line="89"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6"/>
          <w:szCs w:val="16"/>
          <w:b w:val="1"/>
          <w:bCs w:val="1"/>
          <w:i w:val="1"/>
          <w:iCs w:val="1"/>
          <w:color w:val="auto"/>
        </w:rPr>
        <w:t>21</w:t>
      </w:r>
      <w:r>
        <w:rPr>
          <w:rFonts w:ascii="Arial" w:cs="Arial" w:eastAsia="Arial" w:hAnsi="Arial"/>
          <w:sz w:val="20"/>
          <w:szCs w:val="20"/>
          <w:b w:val="1"/>
          <w:bCs w:val="1"/>
          <w:i w:val="1"/>
          <w:iCs w:val="1"/>
          <w:color w:val="auto"/>
          <w:vertAlign w:val="superscript"/>
        </w:rPr>
        <w:t>st</w:t>
      </w:r>
      <w:r>
        <w:rPr>
          <w:rFonts w:ascii="Arial" w:cs="Arial" w:eastAsia="Arial" w:hAnsi="Arial"/>
          <w:sz w:val="16"/>
          <w:szCs w:val="16"/>
          <w:b w:val="1"/>
          <w:bCs w:val="1"/>
          <w:i w:val="1"/>
          <w:iCs w:val="1"/>
          <w:color w:val="auto"/>
        </w:rPr>
        <w:t xml:space="preserve"> Century Cures Act: </w:t>
      </w:r>
      <w:r>
        <w:rPr>
          <w:rFonts w:ascii="Arial" w:cs="Arial" w:eastAsia="Arial" w:hAnsi="Arial"/>
          <w:sz w:val="16"/>
          <w:szCs w:val="16"/>
          <w:color w:val="auto"/>
        </w:rPr>
        <w:t>The 21st Century Cures Act (Cures Act), signed into law on December 13, 2016, is designed to help accelerate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development and bring new innovations and advances to patients who need them faster and more efficiently. The law builds on FDA's ongoing work to incorporate the perspectives of patients into the development of drugs, biological products, and devices in FDA's decision-making process.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Cures Act enhances FDA's ability to modernize clinical trial designs and clinical outcome assessments, which will speed the development and review of novel medical products, including medical countermeasures.</w:t>
      </w:r>
    </w:p>
    <w:p>
      <w:pPr>
        <w:spacing w:after="0" w:line="8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Specifically, the Cures Act enables us to work with FDA in the development of new biomarkers, clinical outcome assessments, surrogate endpoints, and patient reported outcomes. It allows for the use of data summaries rather than full clinical trials for approval and the use of real world evidence to support approval of new indications of approved medical products, or to help satisfy post-approval study requirements for marketed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Approval Activities</w:t>
      </w:r>
    </w:p>
    <w:p>
      <w:pPr>
        <w:spacing w:after="0" w:line="1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Once a drug is on the U.S. market (following FDA approval of the NDA), the FDA continues to address drug production, distribution, and use. FDA activities are based on ensuring drug safety and effectiveness, and address product integrity, labeling, reporting of research and adverse events, surveillance, drug studies, risk management, information dissemination, off-label use, physician advertising and direct-to-consumer advertising.</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amend the NDA for an FDA approved product, such as adding safety or efficacy labeling claims, promoting those new claims, making certain manufacturing changes or product enhancements, we will need FDA review and approval before the change can be implemented. While physicians may use products for indications that have not been approved by the FDA, we may not label or promote the product for an indication that has not been approved.</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Securing FDA approval for new indications, product enhancements, and manufacturing and labeling changes may require us to conduct additional clinical trials under FDA's IND regulations. Even if such studies are conducted, they are still subject to the same requirements and timelines as an original NDA.</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continuously gathers information about possible adverse reactions to the products it has approved for use. The FDA requires all manufacturers to report adverse events. It also provides a procedure for consumers and physicians to voluntarily report their concerns about drugs. The agency collects those reports through MedWatch and uses its FDA Adverse Event Reporting System (FAERS) to store and analyze them. Because some events may occur after the use of a drug for reasons unrelated to the product, the FDA reviews the events to assess which ones may indicate a problem with that particular drug.</w:t>
      </w:r>
    </w:p>
    <w:p>
      <w:pPr>
        <w:spacing w:after="0" w:line="10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They then use information gleaned from the surveillance data to determine a course of action. They might recommend a change in drug labeling to alert users to a potential problem, or, perhaps, to require the manufacturer to study the observed association between the drug and the adverse event.</w:t>
      </w:r>
    </w:p>
    <w:p>
      <w:pPr>
        <w:spacing w:after="0" w:line="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False Claims Act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Federal false claims laws prohibit any person from knowingly presenting, or causing to be presented, a false claim for payment to the federal government, or knowingly making, or causing to be made, a false statement to have a false claim paid.</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number of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ICH - International Committee on Harmonization</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Outside of the U.S., our ability to market our products will depend on receiving marketing authorizations from the appropriate regulatory authorities. The International Committee on Harmonization (ICH) provides a set of standards that most Regulatory Authorities adhere to (e.g. U.S., Europe, and Japan) allowing greater harmonization in the interpretation and application of technical guidelines and requirements for pharmaceutical product registration, thereby reducing or obviating duplication of testing carried out during the research and development of new human medicines. Regulatory harmonization offers many direct benefits to both regulatory authorities and the pharmaceutical industry with beneficial impact for the protection of public health.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federal, state and local environmental laws and regulations and we believe that our operations comply with such regulations. We anticipate that the effects of compliance with federal, state and local laws and regulations relating to the discharge of materials into the environment will not have any material effect on our capital expenditures, earnings or competitive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significant seasonal aspects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to the relatively short lead-time required to fill orders for our products, backlog of orders is not considered material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we had 90 employees. We believe that our future will depend in part on our continued ability to attract, hire, and retain qualified personnel, including hospital and field sales personnel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make statements in this Annual Report on Form 10-K that are “forward-looking statements” within the meaning of Section 27A of the Securities Act of 1933, as amended, and Section 21E of the Securities Exchange Act of 1934, as amended. All statements other than statement of historical facts may be forward-looking statements. In particular,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While forward-looking statements reflect our good-faith beliefs and best judgment based upon current information, they are not guarantees of future performance and are subject to known and unknown risks and uncertainties, including those mentioned in Item 1A, “Risk Factors,” Item 7, “Management’s Discussion and Analysis of Financial Condition and Results of Operations” and elsewhere in this Form 10-K.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spacing w:after="0" w:line="101" w:lineRule="exact"/>
        <w:rPr>
          <w:sz w:val="20"/>
          <w:szCs w:val="20"/>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possible or assumed future results of operations, including the accuracy of our estimates regarding expenses, future revenues, capital requirements and needs for additional financing;</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national or regional economic conditions, including changes in interest rates and the availability and the cost of capital to us;</w:t>
      </w:r>
    </w:p>
    <w:p>
      <w:pPr>
        <w:spacing w:after="0" w:line="209" w:lineRule="exact"/>
        <w:rPr>
          <w:rFonts w:ascii="Arial" w:cs="Arial" w:eastAsia="Arial" w:hAnsi="Arial"/>
          <w:sz w:val="17"/>
          <w:szCs w:val="17"/>
          <w:color w:val="auto"/>
        </w:rPr>
      </w:pPr>
    </w:p>
    <w:p>
      <w:pPr>
        <w:jc w:val="both"/>
        <w:ind w:left="980" w:hanging="324"/>
        <w:spacing w:after="0" w:line="238" w:lineRule="auto"/>
        <w:tabs>
          <w:tab w:leader="none" w:pos="97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extent of the impact of the COVID-19 pandemic, including the duration and any recurrence of the COVID-19 pandemic, the duration and scope of related government orders and restrictions, the impact on our employees, and the extent of the impact of the COVID-19 pandemic on overall demand for our key products;</w:t>
      </w:r>
    </w:p>
    <w:p>
      <w:pPr>
        <w:spacing w:after="0" w:line="150"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impact of the COVID-19 pandemic on our suppliers, including any disruptions and inefficiencies in the supply chain for our products;</w:t>
      </w:r>
    </w:p>
    <w:p>
      <w:pPr>
        <w:spacing w:after="0" w:line="134" w:lineRule="exact"/>
        <w:rPr>
          <w:rFonts w:ascii="Arial" w:cs="Arial" w:eastAsia="Arial" w:hAnsi="Arial"/>
          <w:sz w:val="21"/>
          <w:szCs w:val="21"/>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competitive position and competitors, including the size and growth potential of the markets for our products and product candidates;</w:t>
      </w:r>
    </w:p>
    <w:p>
      <w:pPr>
        <w:spacing w:after="0" w:line="180"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cost and timing of our product acquisition and development activities and clinical trials; and our ability to successfully commercialize our product candidates;</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10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102"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spacing w:after="0" w:line="65"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13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other misappropriation of assets, or otherwise compromise privacy of sensitive information belonging to us, our customers or other business partners; and</w:t>
      </w:r>
    </w:p>
    <w:p>
      <w:pPr>
        <w:spacing w:after="0" w:line="8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Issuance of new or revised accounting standards by the Financial Accounting Standards Board and the Securities and Exchange Commission.</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Annual Report on Form 10-K prior to investing in our common stock. These risks are discussed more fully in the section titled “Risk Factors.” These risks and uncertainties include, but are not limited to, the following:</w:t>
      </w:r>
    </w:p>
    <w:p>
      <w:pPr>
        <w:spacing w:after="0" w:line="22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General economic conditions can have a material adverse effect on our business, financial conditions and result of operations.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ongoing COVID-19 pandemic may adversely affect our revenues, results of operations and financial condition.</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Failure to implement strategies to enhance our performance could have a material adverse effect on our business, results of operations and financial conditions.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ability to perform depends on keeping and hiring exceptionally talented management and employees, and our failure to do so could have a material adverse effect on our business, revenues, results of operations and financial condition.</w:t>
      </w:r>
    </w:p>
    <w:p>
      <w:pPr>
        <w:spacing w:after="0" w:line="27"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15"/>
        </w:numPr>
        <w:rPr>
          <w:rFonts w:ascii="Arial" w:cs="Arial" w:eastAsia="Arial" w:hAnsi="Arial"/>
          <w:sz w:val="21"/>
          <w:szCs w:val="21"/>
          <w:color w:val="auto"/>
        </w:rPr>
      </w:pPr>
      <w:r>
        <w:rPr>
          <w:rFonts w:ascii="Arial" w:cs="Arial" w:eastAsia="Arial" w:hAnsi="Arial"/>
          <w:sz w:val="17"/>
          <w:szCs w:val="17"/>
          <w:color w:val="auto"/>
        </w:rPr>
        <w:t>Our success depends, in part, on our ability to successfully obtain or retain high-performing third-party performers on commercially acceptable terms, and the failure to do so can have a material adverse effect on our business, financial conditions and results of operations.</w:t>
      </w:r>
    </w:p>
    <w:p>
      <w:pPr>
        <w:spacing w:after="0" w:line="19" w:lineRule="exact"/>
        <w:rPr>
          <w:rFonts w:ascii="Arial" w:cs="Arial" w:eastAsia="Arial" w:hAnsi="Arial"/>
          <w:sz w:val="21"/>
          <w:szCs w:val="21"/>
          <w:color w:val="auto"/>
        </w:rPr>
      </w:pPr>
    </w:p>
    <w:p>
      <w:pPr>
        <w:ind w:left="660" w:right="2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business is subject to stringent government regulations, it must adhere to numerous complex pieces of legislation, and all of our products face regulatory challenges.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business depends on the successful protection of our intellectual property rights and our product candidates becoming approved by regulatory agencies, commercially viable, and accepted by the market.</w:t>
      </w:r>
    </w:p>
    <w:p>
      <w:pPr>
        <w:spacing w:after="0" w:line="27" w:lineRule="exact"/>
        <w:rPr>
          <w:rFonts w:ascii="Arial" w:cs="Arial" w:eastAsia="Arial" w:hAnsi="Arial"/>
          <w:sz w:val="22"/>
          <w:szCs w:val="22"/>
          <w:color w:val="auto"/>
        </w:rPr>
      </w:pPr>
    </w:p>
    <w:p>
      <w:pPr>
        <w:jc w:val="both"/>
        <w:ind w:left="660" w:hanging="328"/>
        <w:spacing w:after="0" w:line="270" w:lineRule="auto"/>
        <w:tabs>
          <w:tab w:leader="none" w:pos="655" w:val="left"/>
        </w:tabs>
        <w:numPr>
          <w:ilvl w:val="0"/>
          <w:numId w:val="15"/>
        </w:numPr>
        <w:rPr>
          <w:rFonts w:ascii="Arial" w:cs="Arial" w:eastAsia="Arial" w:hAnsi="Arial"/>
          <w:sz w:val="19"/>
          <w:szCs w:val="19"/>
          <w:color w:val="auto"/>
        </w:rPr>
      </w:pPr>
      <w:r>
        <w:rPr>
          <w:rFonts w:ascii="Arial" w:cs="Arial" w:eastAsia="Arial" w:hAnsi="Arial"/>
          <w:sz w:val="16"/>
          <w:szCs w:val="16"/>
          <w:color w:val="auto"/>
        </w:rPr>
        <w:t>Our business faces a serious financial risk if generic products that compete with any of our branded pharmaceutical products are approved and sold because sales of our products will be adversely-affected and our business may not recover the capital costs of bringing that product to market.</w:t>
      </w:r>
    </w:p>
    <w:p>
      <w:pPr>
        <w:spacing w:after="0" w:line="19" w:lineRule="exact"/>
        <w:rPr>
          <w:rFonts w:ascii="Arial" w:cs="Arial" w:eastAsia="Arial" w:hAnsi="Arial"/>
          <w:sz w:val="19"/>
          <w:szCs w:val="19"/>
          <w:color w:val="auto"/>
        </w:rPr>
      </w:pPr>
    </w:p>
    <w:p>
      <w:pPr>
        <w:ind w:left="660" w:hanging="328"/>
        <w:spacing w:after="0" w:line="249" w:lineRule="auto"/>
        <w:tabs>
          <w:tab w:leader="none" w:pos="655" w:val="left"/>
        </w:tabs>
        <w:numPr>
          <w:ilvl w:val="0"/>
          <w:numId w:val="15"/>
        </w:numPr>
        <w:rPr>
          <w:rFonts w:ascii="Arial" w:cs="Arial" w:eastAsia="Arial" w:hAnsi="Arial"/>
          <w:sz w:val="21"/>
          <w:szCs w:val="21"/>
          <w:color w:val="auto"/>
        </w:rPr>
      </w:pPr>
      <w:r>
        <w:rPr>
          <w:rFonts w:ascii="Arial" w:cs="Arial" w:eastAsia="Arial" w:hAnsi="Arial"/>
          <w:sz w:val="17"/>
          <w:szCs w:val="17"/>
          <w:color w:val="auto"/>
        </w:rPr>
        <w:t>Our business faces an inherent risk of product liability lawsuits related to the testing of our product candidates and the commercial sale of our products, and if we cannot successfully defend ourselves against the product liability claim, we may incur substantial liabilities.</w:t>
      </w:r>
    </w:p>
    <w:p>
      <w:pPr>
        <w:spacing w:after="0" w:line="19" w:lineRule="exact"/>
        <w:rPr>
          <w:rFonts w:ascii="Arial" w:cs="Arial" w:eastAsia="Arial" w:hAnsi="Arial"/>
          <w:sz w:val="21"/>
          <w:szCs w:val="21"/>
          <w:color w:val="auto"/>
        </w:rPr>
      </w:pPr>
    </w:p>
    <w:p>
      <w:pPr>
        <w:ind w:left="66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attempt to develop internationally and license our products globally, as well as invest in other businesses or joint ventures, all of which may be unsuccessful, divert our management’s attention and harm our operating results and prospects.</w:t>
      </w:r>
    </w:p>
    <w:p>
      <w:pPr>
        <w:spacing w:after="0" w:line="13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natural disasters, public health epidemics, and other events beyond our control.</w:t>
      </w:r>
    </w:p>
    <w:p>
      <w:pPr>
        <w:spacing w:after="0" w:line="2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has been adversely impacted by the recent coronavirus (“COVID-19”) outbreak which has affected more than 200 countries and has significantly disrupted the day-to-day activities of both individuals and companies. For example, we have been following the recommendations of health authorities to minimize exposure risk for our employees since March 2020, including allowing employees to work remotely to the extent possible. This has included our home office employees and our hospital and field based sales representatives. We rely on individuals and third-party organizations around the world to supply components, manufacture and distribute our products and execute our clinical trials. We are aware of a few instances where these individuals and third-party organizations were adversely impacted by the COVID-19 pandemic. We may experience revenue loss, supply interruptions, time delays and incur unplanned expenses as a result of the impact of the ongoing COVID-19 pandemic.</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pandemic’s impact on global markets could affect our future access to liquidity and materially adversely affect our results of operations and financial condition.</w:t>
      </w:r>
    </w:p>
    <w:p>
      <w:pPr>
        <w:spacing w:after="0" w:line="3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coronavirus has spread throughout much of the world after initially surfacing in Wuhan, China in December 2019. State and local authorities in the United States, like their counterparts in many other countries, have since forced many businesses to temporarily shut down in an attempt to slow the spread of the virus, and Americans are being told by public officials to practice “social distancing.” Global stock markets have reacted very negatively, and economists are projecting a sharp economic slowdown, at least in the near term, even as governments take emergency relief measures. While the economic impact brought by, and the duration of, COVID-19 is difficult to assess or predict, the COVID-19 pandemic could result in significant disruption of global financial markets, reducing our ability to access capital in the future, which could negatively affect our liquidity in the future. The situation is constantly evolving, however, so the extent to which the COVID-19 outbreak will impact businesses and the economy is highly uncertain and cannot be predicted. Accordingly, we cannot predict the extent to which our results of operations, financial condition and cash flows will be affected.</w:t>
      </w:r>
    </w:p>
    <w:p>
      <w:pPr>
        <w:spacing w:after="0" w:line="98" w:lineRule="exact"/>
        <w:rPr>
          <w:sz w:val="20"/>
          <w:szCs w:val="20"/>
          <w:color w:val="auto"/>
        </w:rPr>
      </w:pPr>
    </w:p>
    <w:p>
      <w:pPr>
        <w:jc w:val="right"/>
        <w:ind w:right="1460"/>
        <w:spacing w:after="0" w:line="497" w:lineRule="auto"/>
        <w:rPr>
          <w:sz w:val="20"/>
          <w:szCs w:val="20"/>
          <w:color w:val="auto"/>
        </w:rPr>
      </w:pPr>
      <w:r>
        <w:rPr>
          <w:rFonts w:ascii="Arial" w:cs="Arial" w:eastAsia="Arial" w:hAnsi="Arial"/>
          <w:sz w:val="15"/>
          <w:szCs w:val="15"/>
          <w:b w:val="1"/>
          <w:bCs w:val="1"/>
          <w:i w:val="1"/>
          <w:iCs w:val="1"/>
          <w:color w:val="auto"/>
        </w:rPr>
        <w:t xml:space="preserve">An adverse development regarding our products could have a material and adverse impact on our future revenues and profitability. </w:t>
      </w:r>
      <w:r>
        <w:rPr>
          <w:rFonts w:ascii="Arial" w:cs="Arial" w:eastAsia="Arial" w:hAnsi="Arial"/>
          <w:sz w:val="15"/>
          <w:szCs w:val="15"/>
          <w:color w:val="auto"/>
        </w:rPr>
        <w:t>A number of factors may impact the effectiveness of our marketing and sales activities and the demand for our products, including:</w:t>
      </w:r>
    </w:p>
    <w:p>
      <w:pPr>
        <w:spacing w:after="0" w:line="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intellectual property protection available for our products or competing treatments;</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unfavorable publicity concerning us, our products, or the markets for these products such as information concerning product contamination or other safety issues in any of our product markets, whether or not directly involving our products;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 by physicians and other members of the healthcare community of the safety or efficacy of our products or competing products;</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developments related to our marketing and promotional practices or the manufacture or continued use of our products;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prices of our products relative to other drugs or competing treatments;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current or additional generic competitors;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level of third-party reimbursement for sales of our products;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availability of adequate supplies of our products to meet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demand for our products weaken, our revenues and profitability will likely decline. Known adverse effects of our marketed products are documented in product labeling, including the product package inserts, medical information disclosed to medical professionals and all marketing-related materials. At this time, no unforeseen or serious adverse effects outside of those specified in current product labeling have been directly attributed to our approved products.</w:t>
      </w:r>
    </w:p>
    <w:p>
      <w:pPr>
        <w:spacing w:after="0" w:line="1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market and sell seven products: Acetadote, Caldolor, Kristalose, Vaprisol, Omeclamox-Pak, and Vibativ with RediTrex being marketed since late 2020. A product contamination or other safety or regulatory issues, such as a failure to meet certain FDA reporting requirements involving our products could negatively impact us and possibly lead to a product recall. In addition, changes impacting any of our products in areas such as competition, lack of market acceptance or demand, government regulation, intellectual property, reimbursement and manufacturing could have an adverse impact on our future revenues and profitability.</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has requested prescribers and manufacturers of prescription combination products that contain acetaminophen to limit the amount of acetaminophen to no more than 325 milligrams (mg) in each tablet or capsule. The FDA requested this action to protect consumers from the risk of severe liver damage which can result from excess acetaminophen. This category of prescription drugs combines acetaminophen with another ingredient intended to treat pain (most often an opioid), and these products are commonly prescribed to consumers for pain, such as pain from acute injuries, post-operative pain, or pain following dental procedures.</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also requires manufacturers to appropriately label all prescription combination acetaminophen products to warn of the potential risk for severe liver injury. The actions the FDA is taking for prescription acetaminophen combination products do not affect over-the-counter acetaminophen products. The FDA's regulation of acetaminophen in prescription combination products and over-the-counter products may reduce the number of acetaminophen overdoses which could result in a lower demand for Acetadote. If the demand for Acetadote decreases, it could have an adverse impact on our future revenues and profitability.</w:t>
      </w:r>
    </w:p>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commercial success of Caldolor is dependent on many third-parties, including physicians, pharmacists, hospital pharmacy and therapeutics committees, or P&amp;T committees, suppliers and distributors, all of whom we have little or no control over. We expect Caldolor to continue to be administered primarily to hospital and surgery center patients who are unable to receive oral therapies for the treatment of pain or fever. Before we can distribute Caldolor to any new hospital customers, Caldolor must be approved for addition to the hospitals’ formulary lists by their P&amp;T committees. A hospital’s P&amp;T committee generally governs all matters pertaining to the use of medications within the institution, including review of medication formulary data and recommendations of drugs to the medical staff. We cannot guarantee that we will be successful in getting the approvals we need from enough P&amp;T committees to be able to optimize hospital sales of Caldolor. Even if we obtain hospital approval for Caldolor, we must still convince individual hospital physicians to prescribe Caldolor repeatedly. The commercial success of Caldolor also depends on our ability to coordinate supply, distribution, marketing, sales and education efforts. As with our other products, if Caldolor is not accepted in the marketplace, it could have an adverse impact on our future revenues and profitability.</w:t>
      </w:r>
    </w:p>
    <w:p>
      <w:pPr>
        <w:spacing w:after="0" w:line="221" w:lineRule="exact"/>
        <w:rPr>
          <w:sz w:val="20"/>
          <w:szCs w:val="20"/>
          <w:color w:val="auto"/>
        </w:rPr>
      </w:pPr>
    </w:p>
    <w:p>
      <w:pPr>
        <w:ind w:right="140"/>
        <w:spacing w:after="0" w:line="362" w:lineRule="auto"/>
        <w:rPr>
          <w:sz w:val="20"/>
          <w:szCs w:val="20"/>
          <w:color w:val="auto"/>
        </w:rPr>
      </w:pPr>
      <w:r>
        <w:rPr>
          <w:rFonts w:ascii="Arial" w:cs="Arial" w:eastAsia="Arial" w:hAnsi="Arial"/>
          <w:sz w:val="15"/>
          <w:szCs w:val="15"/>
          <w:b w:val="1"/>
          <w:bCs w:val="1"/>
          <w:i w:val="1"/>
          <w:iCs w:val="1"/>
          <w:color w:val="auto"/>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spacing w:after="0" w:line="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the distribution, marketing and subsequent sales of these products could be adversely affected. A long-term inability to meet demand for our products could result in impairment of our brands overall future and the carrying value of the assets associated with our brands. The recent COVID-19 pandemic may create local issues for our third party-manufacturers and introduce delays in our manufacturing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Acetadote: </w:t>
      </w:r>
      <w:r>
        <w:rPr>
          <w:rFonts w:ascii="Arial" w:cs="Arial" w:eastAsia="Arial" w:hAnsi="Arial"/>
          <w:sz w:val="18"/>
          <w:szCs w:val="18"/>
          <w:color w:val="auto"/>
        </w:rPr>
        <w:t>We have agreements with two manufacturers, and both manufacturers provided commercial supplies of the product during 2020. If neither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manufacturers of Acetadote are able to produce marketable inventory in sufficient quantities, in the agreed upon time period, we could suffer an inability to meet demand for our product.</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Caldolor: </w:t>
      </w:r>
      <w:r>
        <w:rPr>
          <w:rFonts w:ascii="Arial" w:cs="Arial" w:eastAsia="Arial" w:hAnsi="Arial"/>
          <w:sz w:val="17"/>
          <w:szCs w:val="17"/>
          <w:color w:val="auto"/>
        </w:rPr>
        <w:t>We have agreements with multiple manufacturers for the supply of Caldolor and during 2020 we obtained commercial supplies from three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manufacturers for our international and domestic Caldolor requirements. If the manufacturers of Caldolor are unable to produce marketable inventory in sufficient quantities, in the agreed upon time period, we could suffer an inability to meet demand for our product.</w:t>
      </w:r>
    </w:p>
    <w:p>
      <w:pPr>
        <w:spacing w:after="0" w:line="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Kristalose: </w:t>
      </w:r>
      <w:r>
        <w:rPr>
          <w:rFonts w:ascii="Arial" w:cs="Arial" w:eastAsia="Arial" w:hAnsi="Arial"/>
          <w:sz w:val="18"/>
          <w:szCs w:val="18"/>
          <w:color w:val="auto"/>
        </w:rPr>
        <w:t>The active pharmaceutical ingredient for Kristalose is manufactured at a single facility by an international supplier. We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relationships with two packagers who provided finished supplies of the product for commercial and sampling purposes during 2020. If these facilities are damaged or destroyed, or if local conditions result in a work stoppage, we could suffer an inability to meet demand for our product. Kristalose is manufactured through a complex process. It would be particularly difficult to find a new manufacturer of Kristalose active pharmaceutical ingredient on an expedited basis. As a result of these factors, our ability to manufacture Kristalose may be substantially impaired if the manufacturer is unable or unwilling to supply sufficient quantities of the product.</w:t>
      </w:r>
    </w:p>
    <w:p>
      <w:pPr>
        <w:spacing w:after="0" w:line="1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Omeclamox-Pak: </w:t>
      </w:r>
      <w:r>
        <w:rPr>
          <w:rFonts w:ascii="Arial" w:cs="Arial" w:eastAsia="Arial" w:hAnsi="Arial"/>
          <w:sz w:val="16"/>
          <w:szCs w:val="16"/>
          <w:color w:val="auto"/>
        </w:rPr>
        <w:t>Prior to our asset purchase agreement with GEL that closed in December 2018, GEL managed the packaging and supply of</w:t>
      </w:r>
      <w:r>
        <w:rPr>
          <w:rFonts w:ascii="Arial" w:cs="Arial" w:eastAsia="Arial" w:hAnsi="Arial"/>
          <w:sz w:val="16"/>
          <w:szCs w:val="16"/>
          <w:i w:val="1"/>
          <w:iCs w:val="1"/>
          <w:color w:val="auto"/>
        </w:rPr>
        <w:t xml:space="preserve"> </w:t>
      </w:r>
      <w:r>
        <w:rPr>
          <w:rFonts w:ascii="Arial" w:cs="Arial" w:eastAsia="Arial" w:hAnsi="Arial"/>
          <w:sz w:val="16"/>
          <w:szCs w:val="16"/>
          <w:color w:val="auto"/>
        </w:rPr>
        <w:t>Omeclamox-Pak commercial and sample units. Following our acquisition of the remaining rights to the brand in late 2018, we assumed responsibility for the packaging and supply of the product. During 2019 we entered into a new packaging arrangement for this product. The Company has been carefully monitoring its supply chain during the pandemic and preparing for its economic impact. The packager for Cumberland’s Omeclamox-Pak product encountered financial difficulties due to the impact of COVID-19, and their operations are currently suspended. Cumberland is awaiting resumption of those operations while also exploring other alternatives to restart the product’s packaging. Meanwhile, we informed the FDA of a shortage of the Omeclamox-Pak effective October 14, 2020, and have not provided a date for the availability of new inventory. Cumberland noted that there is currently</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remaining inventory of the product in the distribution channels. If we are unable to obtain marketable inventory in the future, we could suffer an inability to meet demand for our product.</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Vaprisol: </w:t>
      </w:r>
      <w:r>
        <w:rPr>
          <w:rFonts w:ascii="Arial" w:cs="Arial" w:eastAsia="Arial" w:hAnsi="Arial"/>
          <w:sz w:val="18"/>
          <w:szCs w:val="18"/>
          <w:color w:val="auto"/>
        </w:rPr>
        <w:t>As part of the acquisition of Vaprisol, we purchased an existing supply of raw material inventory. In addition, as part of this transaction, we</w:t>
      </w:r>
      <w:r>
        <w:rPr>
          <w:rFonts w:ascii="Arial" w:cs="Arial" w:eastAsia="Arial" w:hAnsi="Arial"/>
          <w:sz w:val="18"/>
          <w:szCs w:val="18"/>
          <w:i w:val="1"/>
          <w:iCs w:val="1"/>
          <w:color w:val="auto"/>
        </w:rPr>
        <w:t xml:space="preserve"> </w:t>
      </w:r>
      <w:r>
        <w:rPr>
          <w:rFonts w:ascii="Arial" w:cs="Arial" w:eastAsia="Arial" w:hAnsi="Arial"/>
          <w:sz w:val="18"/>
          <w:szCs w:val="18"/>
          <w:color w:val="auto"/>
        </w:rPr>
        <w:t>were assigned a commercial supply agreement with the historical Vaprisol manufacturer. In 2018, the manufacturer informed us that they would no longer be able to provide the product following the manufacturing of one final batch which is providing us with a multi-year supply. We are currently working with a new manufacturer to provide us with long term supplies of the product. If we are unable to produce additional marketable inventory in sufficient quantities of Vaprisol, we could suffer an inability to meet demand for our product.</w:t>
      </w:r>
    </w:p>
    <w:p>
      <w:pPr>
        <w:spacing w:after="0" w:line="12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Vibativ: </w:t>
      </w:r>
      <w:r>
        <w:rPr>
          <w:rFonts w:ascii="Arial" w:cs="Arial" w:eastAsia="Arial" w:hAnsi="Arial"/>
          <w:sz w:val="16"/>
          <w:szCs w:val="16"/>
          <w:color w:val="auto"/>
        </w:rPr>
        <w:t>Through our acquisition of Vibativ, we acquired a multi-year supply of raw material, work in process and finished goods inventory.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agreement, we are now responsible for the manufacture of the product and completed the transfer of the product’s manufacturing activities to a new supplier during 2020. If we are unable to obtain marketable inventory in the future, we could suffer an inability to meet demand for our product.</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RediTrex: </w:t>
      </w:r>
      <w:r>
        <w:rPr>
          <w:rFonts w:ascii="Arial" w:cs="Arial" w:eastAsia="Arial" w:hAnsi="Arial"/>
          <w:sz w:val="18"/>
          <w:szCs w:val="18"/>
          <w:color w:val="auto"/>
        </w:rPr>
        <w:t>Under our agreement with Nordic, they are responsible for providing us the packaged and labeled commercial supply of the RediTrex</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If we are unable to obtain marketable inventory in the future, we could suffer an inability to meet demand for our product.</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may be unable to comply with GMP requirements and with other FDA, state and foreign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no control over our manufacturers’ compliance with these regulations and standards. If our third-party manufacturers do not comply with these requirements, we could be subject to:</w:t>
      </w:r>
    </w:p>
    <w:p>
      <w:pPr>
        <w:spacing w:after="0" w:line="89"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production or distribution;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delay in product approval;</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recall;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product approval.</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dependent on a variety of other third parties. If these third parties fail to perform as we expect, our operations could be disrupted and our financial results could suffer.</w:t>
      </w:r>
    </w:p>
    <w:p>
      <w:pPr>
        <w:spacing w:after="0" w:line="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a relatively small internal infrastructure. We rely on a variety of third parties, in addition to our manufacturers, to help us operate our business. Other third parties on which we rely include:</w:t>
      </w:r>
    </w:p>
    <w:p>
      <w:pPr>
        <w:spacing w:after="0" w:line="103" w:lineRule="exact"/>
        <w:rPr>
          <w:sz w:val="20"/>
          <w:szCs w:val="20"/>
          <w:color w:val="auto"/>
        </w:rPr>
      </w:pPr>
    </w:p>
    <w:p>
      <w:pPr>
        <w:ind w:left="900" w:right="20" w:hanging="325"/>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Cardinal Health Specialty Pharmaceutical Services, a logistics and fulfillment company and business unit of Cardinal, which bills for, collects, warehouses and ships our marketed products; and</w:t>
      </w:r>
    </w:p>
    <w:p>
      <w:pPr>
        <w:spacing w:after="0" w:line="102" w:lineRule="exact"/>
        <w:rPr>
          <w:rFonts w:ascii="Arial" w:cs="Arial" w:eastAsia="Arial" w:hAnsi="Arial"/>
          <w:sz w:val="18"/>
          <w:szCs w:val="18"/>
          <w:color w:val="auto"/>
        </w:rPr>
      </w:pPr>
    </w:p>
    <w:p>
      <w:pPr>
        <w:ind w:left="900" w:right="20" w:hanging="325"/>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Vanderbilt University, WinHealth and the Tennessee Technology Development Corporation, co-owners with us of CET, and the universities that collaborate with us in connection with CET's research and development programs.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 The recent COVID-19 pandemic may create additional risk and delays at our independent third-party service providers.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pressures could reduce our revenues and profits.</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pharmaceutical industry is intensely competitive. Our strategy is to target differentiated products in specialized markets. However, this strategy does not relieve us from competitive pressures and can entail distinct competitive risks. Certain of our competitors do not aggressively promote their products in our markets. An increase in promotional activity in our markets could result in large shifts in market share, adversely impacting us.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competitors may sell or develop drugs that are more effective and useful or less costly than ours, and they may be more successful in manufacturing and marketing their products. Many of our competitors have significantly greater financial and marketing resources than we do. Additional competitors may enter our markets.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pharmaceutical industry is characterized by constant and significant investment in new product development, which can result in rapid technological change. The introduction of new products could substantially reduce our market share or render our products obsolete. The selling prices of pharmaceutical products tend to decline as competition increases, through new product introduction or otherwise, which could reduce our revenues and profitability.</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generic products that compete with any of our branded pharmaceutical products are approved and sold, sales of our products will be adversely affected.</w:t>
      </w:r>
    </w:p>
    <w:p>
      <w:pPr>
        <w:spacing w:after="0" w:line="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Generic equivalents for branded pharmaceutical products are typically sold at lower costs than the branded products. The regulatory approval process in the United States exempts generic products from costly and time-consuming clinical trials to demonstrate their safety and efficacy and rely instead on the safety and efficacy of prior products, manufacturers of generic products can invest far less in research and development. After the introduction of a competing generic product, a significant percentage of the prescriptions previously written for the branded product are often written for the generic version. In addition, legislation enacted in most U.S. states allows or, in some instances mandates, that a pharmacist dispense an available generic equivalent when filling a prescription for a branded product, in the absence of specific instructions from the prescribing physician. Governmental and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healthcare payors also emphasize substitution of branded pharmaceuticals with less expensive generic equivalents. Pursuant to the provisions of the Hatch-Waxman Act, manufacturers of branded products often bring lawsuits to enforce their patent rights against generic products released prior to the expiration of branded products’ patents, but it is possible for generic manufacturers to offer generic products while such litigation is pending. As a result, branded products typically experience a significant loss in revenues following the introduction of a competing generic product, even if subject to an existing patent. Our branded pharmaceutical products are or may become subject to competition from generic equivalents because there is no proprietary protection for some of the branded pharmaceutical products we sell, because our patent protection expires or because our patent protection is not sufficiently broad or enforceable. In addition, we may not be successful in our efforts to extend the proprietary protection afforded our branded products through the development and commercialization of proprietary product improvements. Competition from generic equivalents could result in a decrease in revenues of our branded pharmaceuticals or result in a material impairment of our intangible assets or the acceleration of amortization on our non-impaired intangible assets and may have a material adverse impact on our revenues, financial condition, results of operations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attempt by us to expand the potential market for any of our products is subject to limitations.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Expansion of the market for our products may be subject to certain limitations. In the past, these limitations have included FDA required Phase IV commitments. We may also experience delays associated with future required Phase IV clinical studies potentially resulting from, among other factors, difficulty enrolling patients. Such delays could impact our ability to explore opportunities for label expansion and limit our ability to bring our products to new patient populations.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have largely obtained regulatory approval to market our products in the United States. Not all foreign jurisdictions may represent attractive opportunities for our products due to pricing, competitive, regulatory or other factors. In certain foreign jurisdictions, we have licensed the right to market some of our products to third parties. These third parties are responsible for seeking and maintaining regulatory approval for the products in their respective jurisdictions. We have no control over these third parties and cannot be sure that marketing approval for our products will be obtained outside the United States.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our ability to identify and acquire rights to products. If we do not successfully identify and acquire rights to products, our growth opportunities may be limited.</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acquired rights to our products and our product candidates. Our business strategy is to continue to acquire rights to FDA-approved products as well as pharmaceutical product candidates in the late stages of development. We do not plan to conduct basic research or preclinical product development, except to the extent of our investment in CET. As compared to large multi-national pharmaceutical companies, we have limited resources to acquire third-party products, businesses and technologies and integrate them into our current infrastructure. Many acquisition opportunities involve competition among several potential purchasers including large multi-national pharmaceutical companies and other competitors that have access to greater financial resources than we do. With future acquisitions, we may face financial and operational risks and uncertainties. We may not be able to engage in future product acquisitions, and those we do complete may not be beneficial to us in the long term.</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Furthermore, other products in development may encounter unforeseen issues during their clinical trials. Any unforeseen issues or lack of FDA approval will negatively affect marketing and development plans for those products.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our ability to successfully integrate acquired product brands into our operations. If we do not successfully integrate acquired product brands into our operations, our growth opportunities may be limited.</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added six marketed products to our portfolio of brands, roughly one brand per year, beginning in late 2013 through the launch of RediTrex during late 2020. If we are unable to continue to optimize our sales of our brands or we are unable to successfully integrate the marketing, sale and distribution of any other potential products into our current infrastructure or if they require significantly greater resources than originally anticipated, we may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and operational risks and uncertainties. If we are unable to successfully integrate any acquired brands, both current and future, these product acquisitions may not be beneficial to us in the long term.</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Hepatoren, Boxaban, Vasculan, and Portaban product candidates have not been approved for sale and may never be successfully commercialized.</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anticipate that a portion of our future revenue growth will come from sales of our Hepatoren, Boxaban, Vasculan, and Portaban product candidates. Hepatoren (intravenous ifetroban) is used to treat hepatorenal syndrome ("HRS"), Boxaban (oral ifetroban) is used to treat aspirin exacerbated respiratory disease ("AERD"), Vasculan (oral ifetroban) is for the treatment of systemic sclerosis ("SSc"), and Portaban (injection and oral ifetroban) is for the treatment of portal hypertension associated with liver disease. However, none of these products have been approved by the FDA for marketing, and these product candidates are still subject to risks associated with their development.</w:t>
      </w:r>
    </w:p>
    <w:p>
      <w:pPr>
        <w:spacing w:after="0" w:line="1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FDA has cleared our IND's for the ifetroban product candidates as we evaluate them as treatments for these conditions. Delays in the enrollment and completion of the clinical studies could significantly delay commercial launch and affect our product development costs. Moreover, results from the clinical studies may not be favorable.</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Even if they are eventually developed and approved by the FDA, they may never gain significant acceptance in the marketplace and therefore never generate substantial revenue or profits for us. Physicians may determine that existing drugs are adequate to address patients' needs. The extent to which these product candidates will be reimbursed by the U.S. government or third-party payors is also currently unknown.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foregoing and other factors, we do not know the extent to which our product candidates will contribute to our future growth.</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train and build an effective sales and marketing infrastructure, we will not be able to commercialize and grow our products and product candidates successfully.</w:t>
      </w:r>
    </w:p>
    <w:p>
      <w:pPr>
        <w:spacing w:after="0" w:line="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we grow, we may not be able to secure sales personnel or organizations that are adequate in number or expertise to successfully market and sell our products. This risk would be accentuated if we acquire products in areas outside of our current focus areas since our sales forces specialize in our existing areas. If we are unable to expand our sales and marketing capability, train our sales force effectively or provide any other capabilities necessary to commercialize our products and product candidates, we will need to contract with third parties to market and sell our products. We must train our employees on proper regulatory compliance, including, but not limited to, “fair balance” promotion of our products and anti-kickback laws. If we are unable to establish and maintain compliant and adequate sales and marketing capabilities, we may not be able to increase our product revenue, may generate increased expenses and may experience regulatory compliance issues.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governmental or third-party payors do not provide adequate reimbursement for our products, our revenue and prospects for profitability may be limited.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success depends, in part, on the availability of adequate reimbursement from third-party healthcare payors. Such third-party payors include governmental health programs such as Medicare and Medicaid, managed care providers and private health insurers. Third-party payors are increasingly challenging the pricing of medical products and services, while governments continue to propose and pass legislation designed to reduce the cost of healthcare. Adoption of such legislation could further limit reimbursement for pharmaceuticals.</w:t>
      </w:r>
    </w:p>
    <w:p>
      <w:pPr>
        <w:spacing w:after="0" w:line="10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March 2010, the U.S. government passed into law the Patient Protection and Affordable Care Act, ("PPACA") along with the Health Care and Education Reconciliation Act of 2010, ("HCERA"), which modified the revenue provisions of the PPACA. The legislation calls for an increase in certain Medicare drug rebates paid by pharmaceutical manufacturers and an industry fee imposed on pharmaceutical manufacturers according to the individual manufacturer’s relative percentage of total industry sales to specified government programs. At this time no assurances can be given that these measures, or any other measures included in the Healthcare Reform Act, will not have an adverse effect on our revenues in the future. Future cost control initiatives, legislation and regulations could decrease the price that we receive for any products, which would limit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Since its inception, other legislative changes have been proposed and adopted. These changes included aggregate reductions of Medicare payments to providers of up to two percent per fiscal year. Additionally, in January 2013, the American Taxpayer Relief Act of 2012, was signed into law which, among other things, reduced Medicare payments to several providers, and increased the statute of limitations period for the government to recover overpayments to providers from three to five years. Further, while the healthcare reform agenda and policies of the current administration are not fully known, it is possible that additional regulatory changes may take place. This includes a repeal of all or portions of the PPACA, and Congress could be asked to replace the current legislation of the PPACA. There is uncertainty with respect to the timing and impact of any changes. These changes could have an impact on coverage and reimbursement for healthcare products and services covered by plans that were authorized by the PPACA. At this time, we cannot predict the ultimate content, timing or effect of any healthcare reform legislation or the impact of potential legislation on us.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Also, reimbursement practices of third-party payors might preclude us from achieving market acceptance for our products or maintaining price levels sufficient to realize an appropriate return on our investment in product acquisition and development. If we cannot obtain adequate reimbursement levels, our business, financial condition and results of operations would be materially and adversely affected.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employees have been trained to submit accurate and correct pricing information to payors. If, despite the training, our employees provide incorrect or fraudulent information, then we will be subject to various administrative and judicial investigations and litigation.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“Formulary” practices of third-party payors could adversely affect our competitive position.</w:t>
      </w:r>
    </w:p>
    <w:p>
      <w:pPr>
        <w:spacing w:after="0" w:line="13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Many managed healthcare organizations are now controlling the pharmaceutical products included on their formulary lists. Having products listed on these formulary lists creates competition among pharmaceutical companies which, in turn, has created a trend of downward pricing pressure in our industry. In addition, many managed care organizations are pursuing various ways to reduce pharmaceutical costs and are considering formulary contracts primarily with those pharmaceutical companies that can offer a full line of products for a given therapy sector or disease state. Our products might not be included on the formulary lists of managed care organizations, and downward pricing pressure in our industry generally could negatively impact our operations.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Continued consolidation of distributor networks in the pharmaceutical industry as well as increases in retailer concentration may limit our ability to profitably sell our products.</w:t>
      </w:r>
    </w:p>
    <w:p>
      <w:pPr>
        <w:spacing w:after="0" w:line="8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sell most of our products to large pharmaceutical wholesalers, who in turn sell to hospitals, surgery centers and retail pharmacies. The distribution network for pharmaceutical products has become increasingly consolidated in recent years. Further consolidation or financial difficulties could also cause our customers to reduce the amounts of our products that they purchase, adversely impacting our business,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CET joint initiative may not result in our gaining access to commercially viable products.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spacing w:after="0" w:line="10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CET investigates early-stage products, which have risk of failure prior to FDA approval and commercialization;</w:t>
      </w:r>
    </w:p>
    <w:p>
      <w:pPr>
        <w:spacing w:after="0" w:line="13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some programs, we do not have pre-set rights to product candidates developed by CET. We would need to agree with CET and its collaborators on the terms of any product licensed or acquired by us;</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principally on government grants to fund CET’s research and development programs. If these grants were no longer available, we or our co-owners might be unable or unwilling to fund CET operations at current levels or at all;</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become involved in disputes with our co-owners regarding CET policy or operations, such as how best to deploy CET assets or which product opportunities to pursue. Disagreement could disrupt or halt product development;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03" w:lineRule="exact"/>
        <w:rPr>
          <w:sz w:val="20"/>
          <w:szCs w:val="20"/>
          <w:color w:val="auto"/>
        </w:rPr>
      </w:pPr>
    </w:p>
    <w:p>
      <w:pPr>
        <w:ind w:left="9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CET may disagree with one of the various universities with which CET is collaborating on research. A disagreement could disrupt or halt product development.</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our key personnel, the loss of whom would adversely affect our operations. If we fail to attract and retain the talent required for our business, our business will be materially harmed.</w:t>
      </w:r>
    </w:p>
    <w:p>
      <w:pPr>
        <w:spacing w:after="0" w:line="1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 The recent COVID-19 pandemic may introduce additional challenges in the retention and hiring of key personnel.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 of our organization and our potential growth may lead to difficulties in managing operations.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we had 90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or product candidate and may have to limit its commercialization.</w:t>
      </w:r>
    </w:p>
    <w:p>
      <w:pPr>
        <w:spacing w:after="0" w:line="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Liability claims may result in:</w:t>
      </w:r>
    </w:p>
    <w:p>
      <w:pPr>
        <w:spacing w:after="0" w:line="9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 with patients;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highly dependent upon medical and patient perceptions of us and the safety and quality of our products. We could be adversely affected if we or our products are subject to negative publicity. We could also be adversely affected if any of our products or any similar products sold by other companies prove to be, or are asserted to be, harmful to patients. Also, because of our dependence upon medical and patient perceptions, any adverse publicity associated with illness or other adverse effects resulting from the use or misuse of our products or any similar products sold by other companies could have a material adverse impact on our results of operations.</w:t>
      </w:r>
    </w:p>
    <w:p>
      <w:pPr>
        <w:spacing w:after="0" w:line="10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product liability insurance that covers our clinical trials, the marketing and sale of our products up to a $10 million annual aggregate limit, subject to specified deductibles. Our current or future insurance coverage may prove insufficient to cover any liability claims brought against us.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Because of the increasing costs of insurance coverage, we may not be able to maintain insurance coverage at a reasonable cost or obtain insurance coverage that will be adequate to satisfy any liability that may arise.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Regulatory approval for any approved product is limited by the FDA to those specific indications and conditions for which clinical safety and efficacy have been demonstrated.</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our ability to effectively market and sell our products may be reduced and our business may be adversely affected.</w:t>
      </w:r>
    </w:p>
    <w:p>
      <w:pPr>
        <w:spacing w:after="0" w:line="1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our promotional activities fail to comply with these regulations or guidelines, we may be subject to warnings from, or enforcement action by, these authorities. In addition, our failure to follow FDA rules and guidelines relating to promotion and advertising may cause the FDA to suspend or withdraw an approved product from the market, require a recall or payment of fines, or could result in disgorgement of money, operating restrictions, injunctions or criminal prosecution, any of which could harm our business.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security breaches, including any cybersecurity incidents, adverse events or other disruptions within our information technology infrastructure at our corporate headquarters.</w:t>
      </w:r>
    </w:p>
    <w:p>
      <w:pPr>
        <w:spacing w:after="0" w:line="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including those at our corporate headquarters, are vulnerable to damage from cyber-attacks, computer viruses, unauthorized access, natural disasters, terrorism, war and telecommunication and electrical failures. 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In the event that our corporate headquarters and/or our computer systems are disabled or materially damaged, it would have a substantial and material negative effect on our operations. Furthermore, any system failure, accident or security breach that causes interruptions in our operations could result in a material disruption of our drug development programs. 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ind w:right="260"/>
        <w:spacing w:after="0" w:line="261" w:lineRule="auto"/>
        <w:rPr>
          <w:sz w:val="20"/>
          <w:szCs w:val="20"/>
          <w:color w:val="auto"/>
        </w:rPr>
      </w:pPr>
      <w:r>
        <w:rPr>
          <w:rFonts w:ascii="Arial" w:cs="Arial" w:eastAsia="Arial" w:hAnsi="Arial"/>
          <w:sz w:val="18"/>
          <w:szCs w:val="18"/>
          <w:b w:val="1"/>
          <w:bCs w:val="1"/>
          <w:i w:val="1"/>
          <w:iCs w:val="1"/>
          <w:color w:val="auto"/>
        </w:rPr>
        <w:t>We may develop internationally and license our products globally; therefore, we may have an increased exposure to foreign regulatory requirements and fluctuations in foreign currency exchange rates.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currently have only obtained regulatory approval to market our products in the United States, in the future we may seek global opportunities for our products and to develop product candidates internationally in the future. Such opportunities and development will inherently subject us to a number of risks and uncertainties, including:</w:t>
      </w:r>
    </w:p>
    <w:p>
      <w:pPr>
        <w:spacing w:after="0" w:line="10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 or sanctions in areas in which we operate;</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 (including sanctions);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 collecting accounts receivable from customers in the jurisdictions in which we operate;</w:t>
      </w:r>
    </w:p>
    <w:p>
      <w:pPr>
        <w:spacing w:after="0" w:line="14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complying with laws, rules and regulations relating to the manufacturing, marketing, distribution and sale of pharmaceutical products in the jurisdictions in which we do or will operate;</w:t>
      </w:r>
    </w:p>
    <w:p>
      <w:pPr>
        <w:spacing w:after="0" w:line="10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under regulations in jurisdictions related to obtaining eligibility for government or private payor reimbursement for our products at the wholesale/retail level;</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local, regional and international competitors;</w:t>
      </w:r>
    </w:p>
    <w:p>
      <w:pPr>
        <w:spacing w:after="0" w:line="14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cultural and language differences and additional employment regulations, union workforce negotiations and potential disputes in the jurisdictions in which we operate;</w:t>
      </w:r>
    </w:p>
    <w:p>
      <w:pPr>
        <w:spacing w:after="0" w:line="10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compliance with a variety of laws and regulations governing international trade, including the Foreign Corrupt Practices Act;</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Any of these factors may, individually or as a group, have a material adverse effect on our business and results of operations. These or other similar risks could adversely affect our revenue and profitability. As we develop internationally, our exposure to these factors will increase.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 drug candidate that we develop receives regulatory approval, we may decide not to commercialize it if we determine that commercialization of that product would require more capital and time than we are willing to invest.</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w:t>
      </w:r>
    </w:p>
    <w:p>
      <w:pPr>
        <w:spacing w:after="0" w:line="15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with acceptable quality and to offer our drug products for sale at competitive prices;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acquisitions we have made or make in the future may make us the subject of lawsuits from either an acquired company’s shareholders, an acquired company’s previous shareholders, or our current shareholders.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the subject of lawsuits from either an acquired company’s shareholders, an acquired company’s previous shareholders, or our current shareholders. These lawsuits could result from the actions of the acquisition target prior to the date of the acquisition, from the acquisition transaction itself, or from actions after the acquisition. Defending potential lawsuits could cost us significant expense and distract management’s attention from the operation of the business. Additionally, these lawsuits could result in the cancellation of, or the inability to renew, certain insurance coverage that would be necessary to protect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modify our business practices, pay fines and significant expenses or experience other losses due to governmental investigations or other enforcement activities.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ultimate outcomes of investigations and legal proceedings are difficult to predict, adverse resolutions or settlements of those matters could result in, among other things:</w:t>
      </w:r>
    </w:p>
    <w:p>
      <w:pPr>
        <w:spacing w:after="0" w:line="103"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damage awards, fines, penalties or other payments, and administrative remedies, such as exclusion and/or debarment from government programs, or other rulings that preclude us from operating our business in a certain manner;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and additional costs to our business operations to avoid risks associated with such litigation or investigations;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57" w:lineRule="exact"/>
        <w:rPr>
          <w:rFonts w:ascii="Arial" w:cs="Arial" w:eastAsia="Arial" w:hAnsi="Arial"/>
          <w:sz w:val="18"/>
          <w:szCs w:val="18"/>
          <w:color w:val="auto"/>
        </w:rPr>
      </w:pPr>
    </w:p>
    <w:p>
      <w:pPr>
        <w:ind w:left="700" w:hanging="36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damage and decreased demand for our products;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expenditure of significant time and resources that would otherwise be available for operating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government regulation. All of our products face regulatory challenges.</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 For more information,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Government Regulation" </w:t>
      </w:r>
      <w:r>
        <w:rPr>
          <w:rFonts w:ascii="Arial" w:cs="Arial" w:eastAsia="Arial" w:hAnsi="Arial"/>
          <w:sz w:val="18"/>
          <w:szCs w:val="18"/>
          <w:color w:val="auto"/>
        </w:rPr>
        <w:t>in Part I, Item 1 of this Form 10-K.</w:t>
      </w:r>
    </w:p>
    <w:p>
      <w:pPr>
        <w:spacing w:after="0" w:line="1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Like all pharmaceutical manufacturers, we are subject to regulation by the FDA under the Federal Food, Drug and Cosmetic Act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 after regulatory approval, certain developments may decrease demand for our products, including the following:</w:t>
      </w:r>
    </w:p>
    <w:p>
      <w:pPr>
        <w:spacing w:after="0" w:line="14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re-review of products that are already marketed;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scientific information and evolution of scientific theories;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recall or loss of marketing approval of products that are already marketed;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changing government standards or public expectations regarding safety, efficacy or labeling changes;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scrutiny in advertising and promotion.</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past, clinical trials and post-marketing surveillance of certain marketed drugs of competitors within the industry have raised concerns that have led to recalls, withdrawals or adverse labeling of marketed products. If previously unknown side effects are discovered or if there is an increase in negative publicity regarding known side effects of any of our products, it could significantly reduce demand for the product or require us to take actions that could negatively affect sales, including removing the product from the market, restricting its distribution or applying for labeling changes.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certain health authorities, regulators and agencies have increased their focus on safety when assessing the balance of benefits and risks of drugs. Some health authorities appear to have become more cautious when making decisions about approvability of new products and are re-reviewing select products that are already marketed, adding further to the uncertainties in the regulatory processes. There is also greater regulatory scrutiny, especially in the U.S., on advertising, and promotion (in particular, direct-to-consumer advertising) and pricing of pharmaceutical products. Certain regulatory changes or decisions could make it more difficult for us to sell our products and could have a material adverse effect on our business, results of operations, financial condition and cash flows.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a regulatory agency may take the following actions, among others:</w:t>
      </w:r>
    </w:p>
    <w:p>
      <w:pPr>
        <w:spacing w:after="0" w:line="1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recent COVID-19 pandemic has introduced additional strain on the FDA. We are unable to fully understand the impact this may cause on regulations or the related timeframes pertaining to communication with the FDA.</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Proposed legislation may permit re-importation of drugs from other countries into the U.S., including foreign countries where the drugs are sold at lower prices than in the U.S., which could materially and adversely affect our operating results and our overall financial condition.</w:t>
      </w:r>
    </w:p>
    <w:p>
      <w:pPr>
        <w:spacing w:after="0" w:line="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previous years, legislation has been introduced in Congress that, if enacted, would permit more widespread re-importation of drugs from foreign countries into the U.S., which may include re-importation from foreign countries where the drugs are sold at lower prices than in the U.S. Based on recent election results, there could be a renewed effort for legislation permitting the re-importation of prescription drugs as a means of lowering drug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legislation, or similar regulatory changes, if enacted, could decrease the price we receive for any approved products which, in turn, could materially and adversely affect our operating results and our overall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the Foreign Corrupt Practices Act.</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 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the Physician Payment Sunshine Act.</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required to comply with the United States Physician Payment Sunshine Act, which requires manufacturers of drugs, medical devices and biologicals that participate in U.S. federal healthcare programs to report certain payments and items of value given to physicians and teaching hospitals. Manufacturers are required to report this information annually to The Centers for Medicare &amp; Medicaid Services ("CMS"). Cumberland has implemented a series of policies and procedures for every employee involved in the data collection process, and has systems in place to capture the data, which is verified by an outside firm that specializes in reporting the payments. Cumberland has also established a system to ensure that data was reported completely, in the correct format, and on time. Despite these policies, procedures and systems, we cannot assure you that we will collect and report all data accurately. If we fail to accurately report this information, we could suffer severe penalties.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and other governmental pricing programs, and we have obligations to report average sales price under the Medicare program.</w:t>
      </w:r>
    </w:p>
    <w:p>
      <w:pPr>
        <w:spacing w:after="0" w:line="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Healthcare Reform Act made significant changes to the Medicaid Drug Rebate program, such as expanding rebate liability from fee-for-service Medicaid utilization to include the utilization of Medicaid managed care organizations as well and changing the definition of average manufacturer price. The Healthcare Reform Act also increased the minimum Medicaid rebate; changed the calculation of the rebate for certain innovator products that qualify as line extensions of existing drugs; and capped the total rebate amount at 100% of the average manufacturer price. Finally, the Healthcare Reform Act requires pharmaceutical manufacturers of branded prescription drugs to pay a branded prescription drug fee to the federal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CMS issued final regulations to implement the changes to the Medicaid Drug Rebate program under the Healthcare Reform Act. These regulations became effective on April 1, 2016. The issuance of the final regulations and coverage expansion by various governmental agencies relating to the Medicaid Drug Rebate program has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regulations.</w:t>
      </w:r>
    </w:p>
    <w:p>
      <w:pPr>
        <w:spacing w:after="0" w:line="10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variety of community health clinics and other entities that receive health services grants from the Public Health Service, as well as hospitals that serve a disproportionate share of low-income patients. The Healthcare Reform Act expanded the list of covered entities to include certain free-standing cancer hospitals, critical access hospitals, rural referral centers and sole community hospitals. The 340B ceiling price is calculated using a statutory formula based on the average manufacturer price and rebate amount for the covered outpatient drug as calculated under the Medicaid Drug Rebate program. Changes to the definition of average manufacturer price and the Medicaid rebate amount under the Healthcare Reform Act and CMS's final regulations implementing those changes also could affect our 340B ceiling price calculations and negatively impact our results of operations.</w:t>
      </w:r>
    </w:p>
    <w:p>
      <w:pPr>
        <w:spacing w:after="0" w:line="9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Healthcare Reform Act obligates the Secretary of the Department of Health and Human Services ("HHS") to update the agreement that manufacturers must sign to participate in the 340B program to obligate a manufacturer to offer the 340B price to covered entities if the manufacturer makes the drug available to any other purchaser at any price and to report to the government the ceiling prices for its drugs. The Health Resources and Services Administration ("HRSA"), the federal agency that administers the 340B program, recently updated the agreement with participating manufacturers. The Healthcare Reform Act also obligates the Secretary of the HHS to create regulations and processes to improve the integrity of the 340B program. On January 5, 2017, HRSA issued a final regulation regarding the calculation of 340B ceiling price and the imposition of civil monetary penalties on manufacturers that knowingly and intentionally overcharge covered entities. The regulation became effective as of January 1, 2019. Implementation of this final rule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Federal law also requires that a company that participates in the Medicaid Drug Rebate program report average sales price information each quarter to CMS for certain categories of drugs that are paid under the Medicare Part B program. Manufacturers calculate the average sales price based on a statutorily defined formula as well as regulations and interpretations of the statute by CMS. CMS uses these submissions to determine payment rates for drugs under Medicare Part B. Statutory or regulatory changes or CMS guidance could affect the average sales price calculations for our products and the resulting Medicare payment rate, and could negatively impact our results of operations. Also, the Medicare Part B drug payment methodology is subject to change based on potential demonstration projects undertaken by CMS or potential legislation enacted by Congress.</w:t>
      </w:r>
    </w:p>
    <w:p>
      <w:pPr>
        <w:spacing w:after="0" w:line="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liable for errors associated with our submission of pricing data. In addition to retroactive rebates and the potential for 340B program refunds, if we are found to have knowingly submitted any false price information to the government, we may be liable for civil monetary penalties. If we are found to have made a misrepresentation in the reporting of our average sales price, the Medicare statute provides for civil monetary penalties for each misrepresentation for each day in which the misrepresentation was applied. Our failure to submit the required price data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federal payments may not be available under Medicaid or Medicare Part B for our covered outpatient drugs.</w:t>
      </w:r>
    </w:p>
    <w:p>
      <w:pPr>
        <w:spacing w:after="0" w:line="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CMS and the Office of Inspector General ("OIG") have pursued manufacturers that were alleged to have failed to report these data to the government in a timely manner.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1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we are required to participate in the VA Federal Supply Schedule ("FSS") pricing program, established under Section 603 of the Veterans Health Care Act of 1992.</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recent COVID-19 pandemic may introduce temporary or permanent healthcare reform measures for which we cannot predict the financial implication of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to secure and extend marketing exclusivity or patent rights may provide only limited or no protection from competition.</w:t>
      </w:r>
    </w:p>
    <w:p>
      <w:pPr>
        <w:spacing w:after="0" w:line="1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seek to secure and extend marketing exclusivity for our products through a variety of means, including FDA exclusivity and patent rights. Additional barriers for competitors seeking to enter the market include the time and cost associated with the development, regulatory approval and manufacturing of a similar product formulation.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As discussed in Part I, Item 1, </w:t>
      </w:r>
      <w:r>
        <w:rPr>
          <w:rFonts w:ascii="Arial" w:cs="Arial" w:eastAsia="Arial" w:hAnsi="Arial"/>
          <w:sz w:val="18"/>
          <w:szCs w:val="18"/>
          <w:i w:val="1"/>
          <w:iCs w:val="1"/>
          <w:color w:val="auto"/>
        </w:rPr>
        <w:t>Business - Patents, Trademarks, and Other Intellectual Proprietary Rights,</w:t>
      </w:r>
      <w:r>
        <w:rPr>
          <w:rFonts w:ascii="Arial" w:cs="Arial" w:eastAsia="Arial" w:hAnsi="Arial"/>
          <w:sz w:val="18"/>
          <w:szCs w:val="18"/>
          <w:color w:val="auto"/>
        </w:rPr>
        <w:t xml:space="preserve"> of this report on Form 10-K, we have several patents for formulations of Acetadote, and have previously engaged in litigation to enforce our patent rights.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have additional patent applications relating to Acetadote which are pending with the USPTO and may or may not be issued. We intend to continue to vigorously defend and protect our Acetadote product and related intellectual property rights. If we are unsuccessful in protecting our Acetadote intellectual property rights, our competitors may be able to introduce products into the marketplace that reduce the sales and market share of our Acetadote product which may require us to take measures such as reducing prices or increasing our marketing expense, any of which may result in a material adverse effect to our financial condition and results of operations.</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While we consider patent protection when evaluating product acquisition opportunities, any products we acquire in the future may not have significant patent protection. Neither the USPTO nor the courts have a consistent policy regarding the breadth of claims allowed or the degree of protection afforded under many pharmaceutical patents. Patent applications in the U.S. and many foreign jurisdictions are typically not published until 18 months following the filing date of the first related application, and in some cases not at all. In addition, publication of discoveries in scientific literature often lags significantly behind actual discoveries. Therefore, neither we nor our licensors can be certain that we or they were the first to make the inventions claimed in our issued patents or pending patent applications, or that we or they were the first to file for protection of the inventions set forth in these patent applications. In addition, changes in either patent laws or in interpretations of patent laws in the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countries may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of these factors, our patent rights may not provide any commercially valuable protection from competing products.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patents, we rely upon trade secrets, unpatented proprietary know-how and continuing technological innovation where we do not believe patent protection is appropriate or attainable. For example, the manufacturing process for Kristalose involves substantial trade secrets and proprietary know-how. We have entered into confidentiality agreements with certain key employees and consultants pursuant to which such employees and consultants must assign to us any inventions relating to our business if made by them while they are our employees, as well as certain confidentiality agreements relating to the acquisition of rights to products. Confidentiality agreements can be breached, though, and we might not have adequate remedies for any breach. Also, others could acquire or independently develop similar technology.</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depend on certain licensors for the maintenance and enforcement of intellectual property rights and have limited, if any, control over the amount or timing of resources that our licensors devote on our behalf.</w:t>
      </w:r>
    </w:p>
    <w:p>
      <w:pPr>
        <w:spacing w:after="0" w:line="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license products, we often depend on our licensors to protect the proprietary rights covering those products. We have limited, if any, control over the amount or timing of resources that our licensors devote on our behalf or the priority they place on maintaining patent or other rights and prosecuting patent applications to our advantage. While any such licensor is expected to be contractually obligated to diligently pursue its patent applications and allow us the opportunity to consult, review and comment on patent office communications, we cannot be sure that it will perform as required. If a licensor does not perform and if we do not assume the maintenance of the licensed patents in sufficient time to make required payments or filings with the appropriate governmental agencies, we risk losing the benefit of all or some of those patent rights.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use of our technology conflicts with the intellectual property rights of third parties, we may incur substantial liabilities, and we may be unable to commercialize products based on this technology in a profitable manner or at all.</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our products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collaborators or licensors, which could be costly and time consuming.</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been involved in lawsuits for infringement of the Acetadote Patents as previously described. Because of their nature, these lawsuits can be costly and time-consuming, and we only experience limited benefits and patent protection. A significant adverse ruling in any such lawsuit could put our patents at risk of being invalidated or interpreted narrowly and could compromise the issuance of our existing patent applications.</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Competitors may infringe on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distraction of our management. We may not be able, alone or with our collaborators and licensors, to prevent misappropriation of our proprietary rights, particularly in countries where the laws may not protect such rights as fully as in the United States.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rights to our products and product candidates from others, we could lose the ability to continue commercialization of our products and development and commercialization of our product candidates.</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exclusive licenses for the marketing and sale of certain products and may acquire additional licenses. Such licenses may terminate prior to expiration if we breach our obligations under the license agreement related to these pharmaceutical products. For example, the licenses may terminate if we fail to meet specified quality control standards, including GMP with respect to the products, or commit a material breach of other terms and conditions of the licenses. Such early termination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16" w:lineRule="exact"/>
        <w:rPr>
          <w:sz w:val="20"/>
          <w:szCs w:val="20"/>
          <w:color w:val="auto"/>
        </w:rPr>
      </w:pPr>
    </w:p>
    <w:p>
      <w:pPr>
        <w:ind w:right="4080"/>
        <w:spacing w:after="0" w:line="417" w:lineRule="auto"/>
        <w:rPr>
          <w:sz w:val="20"/>
          <w:szCs w:val="20"/>
          <w:color w:val="auto"/>
        </w:rPr>
      </w:pPr>
      <w:r>
        <w:rPr>
          <w:rFonts w:ascii="Arial" w:cs="Arial" w:eastAsia="Arial" w:hAnsi="Arial"/>
          <w:sz w:val="18"/>
          <w:szCs w:val="18"/>
          <w:b w:val="1"/>
          <w:bCs w:val="1"/>
          <w:color w:val="auto"/>
        </w:rPr>
        <w:t xml:space="preserve">RISKS RELATED TO OUR FINANCIAL CONDITION AND RESULTS OF OPERATIONS </w:t>
      </w:r>
      <w:r>
        <w:rPr>
          <w:rFonts w:ascii="Arial" w:cs="Arial" w:eastAsia="Arial" w:hAnsi="Arial"/>
          <w:sz w:val="18"/>
          <w:szCs w:val="18"/>
          <w:b w:val="1"/>
          <w:bCs w:val="1"/>
          <w:i w:val="1"/>
          <w:iCs w:val="1"/>
          <w:color w:val="auto"/>
        </w:rPr>
        <w:t>Our operating results are likely to fluctuate from period to period.</w:t>
      </w:r>
    </w:p>
    <w:p>
      <w:pPr>
        <w:jc w:val="both"/>
        <w:ind w:firstLine="324"/>
        <w:spacing w:after="0" w:line="259" w:lineRule="auto"/>
        <w:rPr>
          <w:sz w:val="20"/>
          <w:szCs w:val="20"/>
          <w:color w:val="auto"/>
        </w:rPr>
      </w:pPr>
      <w:r>
        <w:rPr>
          <w:rFonts w:ascii="Arial" w:cs="Arial" w:eastAsia="Arial" w:hAnsi="Arial"/>
          <w:sz w:val="18"/>
          <w:szCs w:val="18"/>
          <w:color w:val="auto"/>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spacing w:after="0" w:line="119"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product launches, which could increase revenues but also increase sales and marketing expenses;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 activity and other charges;</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research and development expenses resulting from the acquisition of a product candidate that requires significant additional studies and development;</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Ability to utilize unrecognized federal and state net operating loss carryforwards as a result of the exercise of nonqualified options</w:t>
      </w:r>
    </w:p>
    <w:p>
      <w:pPr>
        <w:spacing w:after="0" w:line="155"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competitive, regulatory or reimbursement environment, which could drive down revenues or drive up sales and marketing or compliance costs;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product liability or intellectual property claims and lawsuits.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 The recent COVID-19 coronavirus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negatively impacted the financial markets and may create additional risk for our customers and their ability to pay for our products.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focus on acquisitions as a growth strategy has created intangible assets whose amortization could negatively affect our results of operations.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total assets include intangible assets related to our acquisitions. As of December 31, 2020, intangible assets relating to products, which are being amortized, represented approximately 29% of our total assets. We may never realize the value of these assets. U.S. Generally Accepted Accounting Principles ("GAAP") require that we evaluate on a regular basis whether events and circumstances have occurred that indicate that all or a portion of the carrying amount of the asset may no longer be recoverable, in which case we would write down the value of the asset and take a corresponding charge to earnings. Any determination requiring the write-off of a significant portion of unamortized intangible assets would adversely affect our results of operations.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our product development or commercialization and marketing efforts.</w:t>
      </w:r>
    </w:p>
    <w:p>
      <w:pPr>
        <w:spacing w:after="0" w:line="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need to raise additional funds in order to meet the capital requirements of running our business and acquiring and developing new pharmaceutical products. If we require additional funding, we may seek to sell common stock or other equity or equity-linked securities, which could result in dilution to our shareholders. We may also seek to raise capital through a debt financing, which would result in ongoing debt-service payments and increased interest expense. Any financings would also likely involve operational and financial restrictions being imposed on us. We might also seek to sell assets or rights in one or more commercial products or product development programs. Additional capital might not be available to us when we need it. We are unable to predict the impact of global credit market trends, and if economic conditions deteriorate, our business, results of operations and ability to raise needed capital could be materially and adversely affected. If we are unable to raise additional capital when needed due to the reasons listed above and lack of creditworthiness, bank failures, or price decline in market investments, we could be forced to scale back our operations to conserve cash.</w:t>
      </w:r>
    </w:p>
    <w:p>
      <w:pPr>
        <w:spacing w:after="0" w:line="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are unable to maintain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internal controls are necessary for us to provide reliable financial reports and mitigate the risk of fraud. We maintain a system of internal control over financial reporting, which is defined as a process designed by, or under the supervision of, our principal executive officer and principal financial officer, and affected by our board of directors, management and other personnel, to provide reasonable assurance regarding the reliability of financial reporting and the preparation of financial statements for external purposes in accordance with GAAP.</w:t>
      </w:r>
    </w:p>
    <w:p>
      <w:pPr>
        <w:spacing w:after="0" w:line="1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assure you that we will not, in the future, identify areas requiring improvement in our internal control over financial reporting. We cannot assure you that the measures we will take to improve these controls will be successful or that we will implement and maintain adequate controls over our financial processes and reporting in the future as we continue to expand. If we are unable to establish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1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we maintain a system of internal controls and provide training to employees designed to provide reasonable assurance that unlawful and fraudulent activity, including misappropriation of assets, fraudulent financial reporting, and unauthorized access to sensitive or confidential data is either prevented or timely detected. However, in the event that our employees engage in such fraudulent behavior, we could suffer material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Changes in, or interpretations of, accounting principles could have a significant impact on our financial position and results of operations.</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prepare our consolidated financial statements in accordance with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in recent years, the U.S.-based Financial Accounting Standards Board, ("FASB"), has worked together with the International Accounting Standards Board, ("IASB"), on several projects to further align accounting principles and facilitate more comparable financial reporting between companies who are required to follow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certain areas.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incur losses in the future and we may not achieve or maintain profitability.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continue to spend significant amounts on our efforts to discover and develop drugs. As a result, we may incur losses in future periods.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clinical trials prior to seeking regulatory approval, that are required before we can sell a drug product.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additional drug products, we may incur losses if our drug products do not generate significant revenues. If we achieve profitability, we may not be able to sustain or increase profitability.</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may seek to obtain future financing through the issuance of debt or equity, which may have an adverse effect on our shareholders or may otherwise adversely affect our business.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raise funds through the issuance of additional equity, whether through private placements or public offerings, such an issuance would dilute ownership of our current shareholders that do not participate in the issuance. If we are unable to obtain any needed additional funding, we may be required to reduce the scope of, delay, or eliminate some or all of, our planned research, development and commercialization activities or to license to third parties the rights to develop and/or commercialize products or technologies that we would otherwise seek to develop and/or commercialize ourselves or on terms that are less attractive than they might otherwise be, any of which could materially harm our business.</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terms of any additional debt securities we may issue in the future may impose restrictions on our operations, which may include limiting our ability to incur additional indebtedness, pay dividends on or repurchase our common shares, or make certain acquisitions or investments. In addition, we may be subject to covenants requiring us to satisfy certain financial tests and ratios, and our ability to satisfy such covenants may be affected by events outside of our control.</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officers, directors, and principal shareholders, acting as a group, could significantly influence corporate actions.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2020, our officers and directors control approximately 41 percent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 trading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common stock because many investors perceive disadvantages to owning stock in companies with controlling shareholders.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analysts may not continue to provide or initiate coverage of our common stock or may issue negative reports.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substantially.</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price for the shares of our common stock sold in our initial public offering was determined by negotiation between the representatives of the underwriters and us. This price may not have reflected the market price of our common stock following our initial public offering. Through March 5, 2021, the closing price of our common stock since our initial public offering has ranged from a low of $2.77 to a high of $17.05 per share. Moreover, the market price of our common stock might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The recent COVID-19 pandemic may cause increased risk to our common stock’s liquidity and trading price.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Unstable market conditions may have serious adverse consequences on our business.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The equity and lending markets have been and will most likely continue to be negatively impacted for an unknown period of time due to the COVID-19 pandemic.</w:t>
      </w:r>
    </w:p>
    <w:p>
      <w:pPr>
        <w:spacing w:after="0" w:line="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experience costs and regulatory risk as a result of operating as a public company, and our management is required to devote time to compliance initiatives.</w:t>
      </w:r>
    </w:p>
    <w:p>
      <w:pPr>
        <w:spacing w:after="0" w:line="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and will continue to incur costs as a result of operating as a public company, and our management is required to devote time to compliance initiatives. As a public company, we have and will continue to incur legal, accounting and other expenses that we did not incur as a private company. In addition, the Sarbanes-Oxley Act of 2002, or Sarbanes-Oxley Act, Dodd-Frank Wall Street Reform and Consumer Protection Act of 2010, and other rules and regulations subsequently implemented by the SEC and Nasdaq, have imposed various requirements on public companies, including the establishment and maintenance of effective disclosure and financial controls and changes in corporate governance practices. These rules and regulations have and will continue to result in legal and financial compliance costs and render some activities more time-consuming and costly. Despite the internal controls and procedures put in place to maintain compliance with securities laws and regulations, our employees may still fail to comply with all SEC disclosure and reporting requirements. Such failure could lead to administrative and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penalties, criminal penalties, and private litigation with shareholders. The consequences could have a material effect on our ability to effectively market our products and operate our business.</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Sarbanes-Oxley Act requires, among other things, that we maintain effective internal controls for financial reporting and disclosure controls and procedures. In particular, we must perform system and process evaluation and testing of our internal controls over financial reporting to allow management to report on the effectiveness of our internal controls over financial reporting. Our testing may reveal deficiencies in our internal controls over financial reporting that are deemed to be material weaknesses.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compliance with Section 404 of the Sarbanes-Oxley Act requires that we incur substantial accounting expense and expend significant management efforts. Moreover, if we are not able to comply with the requirements of Section 404 of the Sarbanes-Oxley Act in a timely manner, or if we identify deficiencies in our internal controls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provisions of our third amended and restated charter, bylaws and Tennessee law may inhibit potential acquisition bids that you may consider favorable.</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documents contain provisions that may enable our board of directors to resist a change in control of our company even if a change in control were to be considered favorable by you and other shareholders. These provisions include:</w:t>
      </w:r>
    </w:p>
    <w:p>
      <w:pPr>
        <w:spacing w:after="0" w:line="103" w:lineRule="exact"/>
        <w:rPr>
          <w:sz w:val="20"/>
          <w:szCs w:val="20"/>
          <w:color w:val="auto"/>
        </w:rPr>
      </w:pPr>
    </w:p>
    <w:p>
      <w:pPr>
        <w:ind w:left="980" w:right="2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shareholder approval;</w:t>
      </w:r>
    </w:p>
    <w:p>
      <w:pPr>
        <w:spacing w:after="0" w:line="10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required for shareholders to nominate candidates for election as directors or to bring matters before an annual meeting of shareholders;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shareholders;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restriction prohibiting shareholders from removing directors without cause;</w:t>
      </w:r>
    </w:p>
    <w:p>
      <w:pPr>
        <w:spacing w:after="0" w:line="14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that vacancies in directorships are to be filled by a majority of the directors then in office and the number of directors is to be fixed by the board of directors;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cumulative voting.</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and other provisions contained in our third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cash dividends on our capital stock.</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never paid cash dividends on our capital stock. The availability of funds for distributions to shareholders will depend on our financial performance and assets. Any future decision to declare or pay dividends will be at the sole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DEBT-RELATED RISKS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Revolving Credit Agreement impose restrictive and financial covenants on us. Our failure to comply with these covenants could trigger events that would have a material adverse effect on our business.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Revolving Credit Agreement contains covenants that restrict the way we conduct business and require us to satisfy certain financial tests in order to incur debt or take other actions. Additionally, our Revolving Credit Agreement contains financial covenants that, for example, require us to maintain certain financial ratios which are measured at the end of each fiscal quarter.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Revolving Credit Agreement contains specified quarterly financial maintenance covenants. As of December 31, 2020, we were in compliance with the Tangible Capital Ratio financial covenant of the Revolving Credit Agreement and we expect to maintain compliance with the Tangible Capital Ratio financial covenant in future periods. However, we can make no assurance that we will be able to comply with the restrictive and financial covenants contained in the Revolving Credit Agreement in the future.</w:t>
      </w:r>
    </w:p>
    <w:p>
      <w:pPr>
        <w:spacing w:after="0" w:line="1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inability to comply with the covenants in our debt instruments could lead to a default or an event of default under the terms thereof, for which we may need to seek relief from our lender in order to waive the associated default or event of default and avoid a potential acceleration of the related indebtedness or cross-default or cross-acceleration to other debt. There can be no assurance that we would be able to obtain such relief on commercially reasonable terms or otherwise and we may be required to incur significant additional costs. In addition, the lender under our Revolving Credit Agreement may impose additional operating and financial restrictions on us as a condition to granting any such waiver. If an event of default is not cured or is not otherwise waived, the lender under our Revolving Credit Agreement may accelerate the maturity of the related debt, foreclose upon any collateral securing the debt and terminate any commitments to lend, any of which would have a material adverse effect on our business, financial condition, cash flows and results of operations and would cause the market value of our securities to decline.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risks related to interest rates.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revolving credit facility bears interest based on variable interest. Thus, a change in the short-term interest rate environment (especially a material change) could have a material adverse effect on our business, financial condition, cash flows and results of operations. As of December 31, 2020, we did not have any outstanding interest rate swap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leased approximately 25,500 square feet of office space in Nashville, Tennessee for our corporate headquarters. The lease expires in October 2022. We believe these facilities are adequate to meet our current needs for office space. Manufacturing, packaging or warehousing services are provided to us through contracts with third-party organizations.</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laboratory space at CET, under an agreement amended in July 2012, is leased through April 2023, with an option to extend the lease through April 2028. CET leases approximately 14,200 square feet of office and wet laboratory space in Nashville, Tennessee to operate the CET Life Sciences Center. Cumberland's product formulation and testing laboratories are located at this facility, along with CET's offices. The CET Life Sciences Center also provides laboratory and office space, equipment and infrastructure to early-stage life sciences companies and university spin-outs.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Please see the discussion of our Acetadote patent defense legal proceedings contained in Part 1, Item 1, </w:t>
      </w:r>
      <w:r>
        <w:rPr>
          <w:rFonts w:ascii="Arial" w:cs="Arial" w:eastAsia="Arial" w:hAnsi="Arial"/>
          <w:sz w:val="18"/>
          <w:szCs w:val="18"/>
          <w:i w:val="1"/>
          <w:iCs w:val="1"/>
          <w:color w:val="auto"/>
        </w:rPr>
        <w:t>Business -Patents, Trademarks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Proprietary Rights</w:t>
      </w:r>
      <w:r>
        <w:rPr>
          <w:rFonts w:ascii="Arial" w:cs="Arial" w:eastAsia="Arial" w:hAnsi="Arial"/>
          <w:sz w:val="18"/>
          <w:szCs w:val="18"/>
          <w:color w:val="auto"/>
        </w:rPr>
        <w:t>, of this Form 10-K, which is incorporated by reference herein.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1920"/>
        <w:spacing w:after="0" w:line="417" w:lineRule="auto"/>
        <w:rPr>
          <w:sz w:val="20"/>
          <w:szCs w:val="20"/>
          <w:color w:val="auto"/>
        </w:rPr>
      </w:pPr>
      <w:r>
        <w:rPr>
          <w:rFonts w:ascii="Arial" w:cs="Arial" w:eastAsia="Arial" w:hAnsi="Arial"/>
          <w:sz w:val="18"/>
          <w:szCs w:val="18"/>
          <w:b w:val="1"/>
          <w:bCs w:val="1"/>
          <w:u w:val="single" w:color="auto"/>
          <w:color w:val="auto"/>
        </w:rPr>
        <w:t xml:space="preserve">Item 5. 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jc w:val="both"/>
        <w:ind w:firstLine="324"/>
        <w:spacing w:after="0" w:line="311" w:lineRule="auto"/>
        <w:rPr>
          <w:sz w:val="20"/>
          <w:szCs w:val="20"/>
          <w:color w:val="auto"/>
        </w:rPr>
      </w:pPr>
      <w:r>
        <w:rPr>
          <w:rFonts w:ascii="Arial" w:cs="Arial" w:eastAsia="Arial" w:hAnsi="Arial"/>
          <w:sz w:val="16"/>
          <w:szCs w:val="16"/>
          <w:color w:val="auto"/>
        </w:rPr>
        <w:t>Our common stock, no par value, has been traded on the Nasdaq Global Select Market since August 11, 2009 under the symbol “CPIX.” As of March 8, 2021, we had 77 shareholders of record of our common stock. This excludes shareholders whose shares are held by brokers and other institutions on behalf of shareholders. The closing price of our common stock on the Nasdaq Global Select Market on March 8, 2021 was $3.21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declared or paid any cash dividends on our common stock. Any future decision to declare or pay dividends will be at the sole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performance graph below illustrates a comparison of the total cumulative stockholder return on our common stock since December 31, 2015 to the Nasdaq Composite and a composite of seven Nasdaq Pharmaceutical and Specialty Pharmaceutical Stocks which most closely compare to our Company. The graph assumes an initial investment of $100 on December 31, 2015,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62865</wp:posOffset>
            </wp:positionV>
            <wp:extent cx="5572125" cy="3257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currently has a share repurchase program to repurchase up to $10.0 million of our common stock pursuant to Rule 10b-18 of the Securities Act of 1934. In January 2019, the Company's Board of Directors established the current $10.0 million repurchase program to replace the prior authorizations. We repurchased 503,626 shares, 623,478 shares and 443,041 shares of common stock for approximately $1.8 million, $3.5 million and $2.9 million, and during the years ended December 31, 2020, 2019 and 2018, respectively.</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by month, during the fourth quarter of 2020:</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60" w:type="dxa"/>
            <w:vAlign w:val="bottom"/>
          </w:tcPr>
          <w:p>
            <w:pPr>
              <w:spacing w:after="0"/>
              <w:rPr>
                <w:sz w:val="11"/>
                <w:szCs w:val="11"/>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23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3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Value) of Shares (or</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 Shares (or</w:t>
            </w:r>
          </w:p>
        </w:tc>
        <w:tc>
          <w:tcPr>
            <w:tcW w:w="460" w:type="dxa"/>
            <w:vAlign w:val="bottom"/>
          </w:tcPr>
          <w:p>
            <w:pPr>
              <w:spacing w:after="0"/>
              <w:rPr>
                <w:sz w:val="11"/>
                <w:szCs w:val="11"/>
                <w:color w:val="auto"/>
              </w:rPr>
            </w:pPr>
          </w:p>
        </w:tc>
        <w:tc>
          <w:tcPr>
            <w:tcW w:w="15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Price Paid</w:t>
            </w:r>
          </w:p>
        </w:tc>
        <w:tc>
          <w:tcPr>
            <w:tcW w:w="23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Units) that May Yet Be</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Units)</w:t>
            </w:r>
          </w:p>
        </w:tc>
        <w:tc>
          <w:tcPr>
            <w:tcW w:w="460" w:type="dxa"/>
            <w:vAlign w:val="bottom"/>
          </w:tcPr>
          <w:p>
            <w:pPr>
              <w:spacing w:after="0"/>
              <w:rPr>
                <w:sz w:val="11"/>
                <w:szCs w:val="11"/>
                <w:color w:val="auto"/>
              </w:rPr>
            </w:pPr>
          </w:p>
        </w:tc>
        <w:tc>
          <w:tcPr>
            <w:tcW w:w="15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per Share</w:t>
            </w:r>
          </w:p>
        </w:tc>
        <w:tc>
          <w:tcPr>
            <w:tcW w:w="23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272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60" w:type="dxa"/>
            <w:vAlign w:val="bottom"/>
          </w:tcPr>
          <w:p>
            <w:pPr>
              <w:spacing w:after="0"/>
              <w:rPr>
                <w:sz w:val="16"/>
                <w:szCs w:val="16"/>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(or Unit)</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Programs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143"/>
        </w:trPr>
        <w:tc>
          <w:tcPr>
            <w:tcW w:w="2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38,501</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$6,364,741</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1420" w:type="dxa"/>
            <w:vAlign w:val="bottom"/>
          </w:tcPr>
          <w:p>
            <w:pPr>
              <w:jc w:val="right"/>
              <w:spacing w:after="0"/>
              <w:rPr>
                <w:sz w:val="20"/>
                <w:szCs w:val="20"/>
                <w:color w:val="auto"/>
              </w:rPr>
            </w:pPr>
            <w:r>
              <w:rPr>
                <w:rFonts w:ascii="Arial" w:cs="Arial" w:eastAsia="Arial" w:hAnsi="Arial"/>
                <w:sz w:val="18"/>
                <w:szCs w:val="18"/>
                <w:color w:val="auto"/>
              </w:rPr>
              <w:t>31,162</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w w:val="93"/>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$3.02</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31,162</w:t>
            </w:r>
          </w:p>
        </w:tc>
        <w:tc>
          <w:tcPr>
            <w:tcW w:w="14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$6,270,602</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26,280</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26,280</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$6,190,118</w:t>
            </w:r>
          </w:p>
        </w:tc>
        <w:tc>
          <w:tcPr>
            <w:tcW w:w="0" w:type="dxa"/>
            <w:vAlign w:val="bottom"/>
          </w:tcPr>
          <w:p>
            <w:pPr>
              <w:spacing w:after="0"/>
              <w:rPr>
                <w:sz w:val="1"/>
                <w:szCs w:val="1"/>
                <w:color w:val="auto"/>
              </w:rPr>
            </w:pPr>
          </w:p>
        </w:tc>
      </w:tr>
      <w:tr>
        <w:trPr>
          <w:trHeight w:val="223"/>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95,943</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Of this amount, 280 shares were repurchased directly in private purchases at the then-current fair market value of common stock.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0" w:name="page61"/>
    <w:bookmarkEnd w:id="60"/>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selected consolidated financial data set forth below should be read in conjunction with the audited consolidated financial statements and related notes and Item 7, “Management’s Discussion and Analysis of Financial Condition and Results of Operations” and other financial information appearing elsewhere in this Form 10-K. The historical results are not necessarily indicative of the results to be expected for any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Statement of income data:</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6"/>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w w:val="96"/>
              </w:rPr>
              <w:t>Net income (loss) attributable to common shareholders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Continuing operations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 basic</w:t>
            </w:r>
          </w:p>
        </w:tc>
        <w:tc>
          <w:tcPr>
            <w:tcW w:w="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Earnings (loss) per share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 -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 - diluted</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 –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0"/>
              </w:rPr>
              <w:t>As of December 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24,754</w:t>
            </w:r>
          </w:p>
        </w:tc>
        <w:tc>
          <w:tcPr>
            <w:tcW w:w="4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24,302</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96,463</w:t>
            </w:r>
          </w:p>
        </w:tc>
        <w:tc>
          <w:tcPr>
            <w:tcW w:w="4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112,694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93,232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Total long-term debt (including current portion) and other</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23,922</w:t>
            </w:r>
          </w:p>
        </w:tc>
        <w:tc>
          <w:tcPr>
            <w:tcW w:w="4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29,314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29,319</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obligations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Retained earnings (deficit)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4"/>
          </w:tcPr>
          <w:p>
            <w:pPr>
              <w:jc w:val="right"/>
              <w:ind w:right="284"/>
              <w:spacing w:after="0"/>
              <w:rPr>
                <w:sz w:val="20"/>
                <w:szCs w:val="20"/>
                <w:color w:val="auto"/>
              </w:rPr>
            </w:pPr>
            <w:r>
              <w:rPr>
                <w:rFonts w:ascii="Arial" w:cs="Arial" w:eastAsia="Arial" w:hAnsi="Arial"/>
                <w:sz w:val="18"/>
                <w:szCs w:val="18"/>
                <w:color w:val="auto"/>
              </w:rPr>
              <w:t>(2,131)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46,873</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position and results of operations should be read together with our audited consolidated financial statements and related notes appearing elsewhere in this Form 10-K. This discussion and analysis may contain forward-looking statements that involve risks and uncertainties – please refer to the section entitled, “Special Note Regarding Forward-Looking Statements,” contained in Part I, Item 1A, “Risk Factors,” of this Form 10-K. You should review the “Risk Factors” section of this Form 10-K for a discussion of important factors that could cause actual results to differ materially from the results described in or implied by the forward-looking statements described in the following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We are a specialty pharmaceutical company focused on the acquisition, development and commercialization of branded prescription products. Our primary target markets are hospital acute care, gastroenterology and rheumatology. These medical specialties are characterized by relatively concentrated prescriber bases that we believe can be penetrated effectively by small, targeted sales forces. Cumberland is dedicated to providing innovative products that improve the quality of care for patients and address unmet or poorly met medical needs. We promote our approved products through our hospital and field sales forces in the United States and are establishing a network of international partners to bring our medicines to patients in their countries.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portfolio of FDA approved brands includes:</w:t>
      </w:r>
    </w:p>
    <w:p>
      <w:pPr>
        <w:spacing w:after="0" w:line="140" w:lineRule="exact"/>
        <w:rPr>
          <w:sz w:val="20"/>
          <w:szCs w:val="20"/>
          <w:color w:val="auto"/>
        </w:rPr>
      </w:pPr>
    </w:p>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96" w:lineRule="exact"/>
        <w:rPr>
          <w:rFonts w:ascii="Arial" w:cs="Arial" w:eastAsia="Arial" w:hAnsi="Arial"/>
          <w:sz w:val="18"/>
          <w:szCs w:val="18"/>
          <w:color w:val="auto"/>
        </w:rPr>
      </w:pPr>
    </w:p>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100" w:lineRule="exact"/>
        <w:rPr>
          <w:rFonts w:ascii="Arial" w:cs="Arial" w:eastAsia="Arial" w:hAnsi="Arial"/>
          <w:sz w:val="18"/>
          <w:szCs w:val="18"/>
          <w:color w:val="auto"/>
        </w:rPr>
      </w:pPr>
    </w:p>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89" w:lineRule="exact"/>
        <w:rPr>
          <w:rFonts w:ascii="Arial" w:cs="Arial" w:eastAsia="Arial" w:hAnsi="Arial"/>
          <w:sz w:val="18"/>
          <w:szCs w:val="18"/>
          <w:color w:val="auto"/>
        </w:rPr>
      </w:pPr>
    </w:p>
    <w:p>
      <w:pPr>
        <w:ind w:left="1620" w:hanging="316"/>
        <w:spacing w:after="0" w:line="229" w:lineRule="auto"/>
        <w:tabs>
          <w:tab w:leader="none" w:pos="1615"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127" w:lineRule="exact"/>
        <w:rPr>
          <w:rFonts w:ascii="Arial" w:cs="Arial" w:eastAsia="Arial" w:hAnsi="Arial"/>
          <w:sz w:val="18"/>
          <w:szCs w:val="18"/>
          <w:color w:val="auto"/>
        </w:rPr>
      </w:pPr>
    </w:p>
    <w:p>
      <w:pPr>
        <w:ind w:left="1620" w:hanging="316"/>
        <w:spacing w:after="0" w:line="230" w:lineRule="auto"/>
        <w:tabs>
          <w:tab w:leader="none" w:pos="161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Vaprisol</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conivaptan</w:t>
      </w:r>
      <w:r>
        <w:rPr>
          <w:rFonts w:ascii="Arial" w:cs="Arial" w:eastAsia="Arial" w:hAnsi="Arial"/>
          <w:sz w:val="18"/>
          <w:szCs w:val="18"/>
          <w:color w:val="auto"/>
        </w:rPr>
        <w:t>) Injection, to raise serum sodium levels in hospitalized patients with euvolemic and hypervolemic</w:t>
      </w:r>
      <w:r>
        <w:rPr>
          <w:rFonts w:ascii="Arial" w:cs="Arial" w:eastAsia="Arial" w:hAnsi="Arial"/>
          <w:sz w:val="18"/>
          <w:szCs w:val="18"/>
          <w:b w:val="1"/>
          <w:bCs w:val="1"/>
          <w:color w:val="auto"/>
        </w:rPr>
        <w:t xml:space="preserve"> </w:t>
      </w:r>
      <w:r>
        <w:rPr>
          <w:rFonts w:ascii="Arial" w:cs="Arial" w:eastAsia="Arial" w:hAnsi="Arial"/>
          <w:sz w:val="18"/>
          <w:szCs w:val="18"/>
          <w:color w:val="auto"/>
        </w:rPr>
        <w:t>hyponatremia;</w:t>
      </w:r>
    </w:p>
    <w:p>
      <w:pPr>
        <w:spacing w:after="0" w:line="128" w:lineRule="exact"/>
        <w:rPr>
          <w:rFonts w:ascii="Arial" w:cs="Arial" w:eastAsia="Arial" w:hAnsi="Arial"/>
          <w:sz w:val="18"/>
          <w:szCs w:val="18"/>
          <w:b w:val="1"/>
          <w:bCs w:val="1"/>
          <w:color w:val="auto"/>
        </w:rPr>
      </w:pPr>
    </w:p>
    <w:p>
      <w:pPr>
        <w:ind w:left="1620" w:hanging="316"/>
        <w:spacing w:after="0" w:line="230" w:lineRule="auto"/>
        <w:tabs>
          <w:tab w:leader="none" w:pos="1615"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 and</w:t>
      </w:r>
    </w:p>
    <w:p>
      <w:pPr>
        <w:spacing w:after="0" w:line="132" w:lineRule="exact"/>
        <w:rPr>
          <w:rFonts w:ascii="Arial" w:cs="Arial" w:eastAsia="Arial" w:hAnsi="Arial"/>
          <w:sz w:val="18"/>
          <w:szCs w:val="18"/>
          <w:color w:val="auto"/>
        </w:rPr>
      </w:pPr>
    </w:p>
    <w:p>
      <w:pPr>
        <w:ind w:left="1620" w:hanging="316"/>
        <w:spacing w:after="0" w:line="229" w:lineRule="auto"/>
        <w:tabs>
          <w:tab w:leader="none" w:pos="1608" w:val="left"/>
        </w:tabs>
        <w:numPr>
          <w:ilvl w:val="0"/>
          <w:numId w:val="31"/>
        </w:numPr>
        <w:rPr>
          <w:rFonts w:ascii="Arial" w:cs="Arial" w:eastAsia="Arial" w:hAnsi="Arial"/>
          <w:sz w:val="20"/>
          <w:szCs w:val="20"/>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disabling psoriasis.</w:t>
      </w:r>
    </w:p>
    <w:p>
      <w:pPr>
        <w:spacing w:after="0" w:line="13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we have Phase II clinical programs underway evaluating our ifetroban product candidates in patients with cardiomyopathy associated with Duchenne Muscular Dystrophy (“DMD”), Systemic Sclerosis (“SSc”), and Aspirin-Exacerbated Respiratory Disease ("AERD"). We have also completed Phase II clinical programs with ifetroban in patients with Hepatorenal Syndrome (“HRS”) and patients with Portal Hypertension (“PH”).</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promote our approved products through our hospital and gastroenterology sales forces in the United States, which together comprised approximately 40 sales representatives and managers as of December 31, 2020.</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both product development and commercial capabilities and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opportunities. Our product development team creates proprietary product formulations, manages our clinical studies, prepares all regulatory submissions and manages our medical call center. Our quality and manufacturing professionals oversee the manufacture, release and shipment of our products. Our marketing and sales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are responsible for our commercial activities, and we work closely with our distribution partners to ensure availability and delivery of our products.</w:t>
      </w:r>
    </w:p>
    <w:p>
      <w:pPr>
        <w:spacing w:after="0" w:line="1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The following is a summary of our 2020 highlights and recent developments. For more information, please see Part I, Item I, </w:t>
      </w:r>
      <w:r>
        <w:rPr>
          <w:rFonts w:ascii="Arial" w:cs="Arial" w:eastAsia="Arial" w:hAnsi="Arial"/>
          <w:sz w:val="18"/>
          <w:szCs w:val="18"/>
          <w:i w:val="1"/>
          <w:iCs w:val="1"/>
          <w:color w:val="auto"/>
        </w:rPr>
        <w:t>Business</w:t>
      </w:r>
      <w:r>
        <w:rPr>
          <w:rFonts w:ascii="Arial" w:cs="Arial" w:eastAsia="Arial" w:hAnsi="Arial"/>
          <w:sz w:val="18"/>
          <w:szCs w:val="18"/>
          <w:color w:val="auto"/>
        </w:rPr>
        <w:t>, of this Form 10-K.</w:t>
      </w:r>
    </w:p>
    <w:p>
      <w:pPr>
        <w:spacing w:after="0" w:line="103" w:lineRule="exact"/>
        <w:rPr>
          <w:sz w:val="20"/>
          <w:szCs w:val="20"/>
          <w:color w:val="auto"/>
        </w:rPr>
      </w:pPr>
    </w:p>
    <w:p>
      <w:pPr>
        <w:ind w:left="660" w:right="20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Early in 2020, we implemented the national launch of our Next Generation Caldolor product featuring a ready to use formulation in a pre-mixed bag, offering time and cost savings associated with its administration.</w:t>
      </w:r>
    </w:p>
    <w:p>
      <w:pPr>
        <w:spacing w:after="0" w:line="19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launched several national initiatives during 2020 to help hospitals access our acute care brands during this healthcare emergency. Our Vibativ product was used to help COVID patients who developed bacterial infections in their lungs.</w:t>
      </w:r>
    </w:p>
    <w:p>
      <w:pPr>
        <w:spacing w:after="0" w:line="197"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entered into an agreement with Win Health Pharma and formed WHC Biopharmaceuticals, Pte. Ltd – a joint venture based in Singapore to acquire, develop and commercialize products for China and adjacent Asian markets.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announced a series of publications featuring important new data associated with our Caldolor and Vibativ brands.</w:t>
      </w:r>
    </w:p>
    <w:p>
      <w:pPr>
        <w:spacing w:after="0" w:line="238"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ended the year with the initial introduction of our FDA-approved RediTrex line of injectable methotrexate products, featuring an innovative delivery system for patients with arthritis.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 The Company managed through the COVID-19 pandemic during 2020, continuing to operate our business - keeping facilities open and our organization intact. We also maintained our ongoing compliance with the many laws and regulations that apply to us as a publicly traded, pharmaceutical company.</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Throughout the pandemic, Cumberland faced the same headwinds affecting other companies that rely on hospital admissions and patient visits to drive revenue. Our business and our clinical studies were impacted as less patients sought elective surgeries and our access to medical facilities was substantially limited. During 2020, we carefully monitored our supply chain during the pandemic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w:t>
      </w:r>
    </w:p>
    <w:p>
      <w:pPr>
        <w:spacing w:after="0" w:line="121" w:lineRule="exact"/>
        <w:rPr>
          <w:sz w:val="20"/>
          <w:szCs w:val="20"/>
          <w:color w:val="auto"/>
        </w:rPr>
      </w:pPr>
    </w:p>
    <w:p>
      <w:pPr>
        <w:ind w:right="3760"/>
        <w:spacing w:after="0" w:line="417" w:lineRule="auto"/>
        <w:rPr>
          <w:sz w:val="20"/>
          <w:szCs w:val="20"/>
          <w:color w:val="auto"/>
        </w:rPr>
      </w:pPr>
      <w:r>
        <w:rPr>
          <w:rFonts w:ascii="Arial" w:cs="Arial" w:eastAsia="Arial" w:hAnsi="Arial"/>
          <w:sz w:val="18"/>
          <w:szCs w:val="18"/>
          <w:b w:val="1"/>
          <w:bCs w:val="1"/>
          <w:color w:val="auto"/>
        </w:rPr>
        <w:t>CRITICAL ACCOUNTING POLICIES AND SIGNIFICANT JUDGMENTS AND ESTIMATES Accounting Estimates and Judgments</w:t>
      </w:r>
    </w:p>
    <w:p>
      <w:pPr>
        <w:jc w:val="both"/>
        <w:ind w:firstLine="324"/>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are not determined from other sources. Actual results could differ from these estimates. These estimates, judgments and assumptions are most critical with respect to our accounting for revenue recognition, marketable securities, inventory, intangible assets and goodwill, research and development accounting, contingent consideration liability, provision for income taxes and share-based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and discounts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along with grant and rental income. Other income was approximately 4.3% percent of net revenues in 2020, 5.8% in 2019, and 1.8% in 2018 respectively.</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financial statements reflect accounts receivable allowances of $1.0 million and $0.8 million at December 31, 2020 and 2019, respectively, for chargebacks and early pay discounts for products.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our sales-related accrual activity for the periods indicated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45"/>
        </w:trPr>
        <w:tc>
          <w:tcPr>
            <w:tcW w:w="5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4,593,167</w:t>
            </w:r>
          </w:p>
        </w:tc>
        <w:tc>
          <w:tcPr>
            <w:tcW w:w="120" w:type="dxa"/>
            <w:vAlign w:val="bottom"/>
            <w:vMerge w:val="continue"/>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4,961,631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4,140,980</w:t>
            </w:r>
          </w:p>
        </w:tc>
        <w:tc>
          <w:tcPr>
            <w:tcW w:w="0" w:type="dxa"/>
            <w:vAlign w:val="bottom"/>
          </w:tcPr>
          <w:p>
            <w:pPr>
              <w:spacing w:after="0"/>
              <w:rPr>
                <w:sz w:val="1"/>
                <w:szCs w:val="1"/>
                <w:color w:val="auto"/>
              </w:rPr>
            </w:pP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auto"/>
              </w:rPr>
              <w:t>Current provision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13,453,894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13,081,251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11,192,489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Actual product returns and credits issued</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(13,983,626)</w:t>
            </w:r>
          </w:p>
        </w:tc>
        <w:tc>
          <w:tcPr>
            <w:tcW w:w="12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(13,449,715)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(10,371,838)</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Balance, December 31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4,063,435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4,593,167</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4,961,631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allowances for chargebacks and discounts and sales related accruals for rebates, fee for service and product returns are determined on a product-by-product basis. We establish them using our best estimate at the time of sale based on:</w:t>
      </w:r>
    </w:p>
    <w:p>
      <w:pPr>
        <w:spacing w:after="0" w:line="103"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product’s historical experience adjusted to reflect known changes in the factors that impact such allowances;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terms with direct and indirect customers;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Analyses of historical levels of chargebacks, discounts and returns of product;</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Communications with customers;</w:t>
      </w:r>
    </w:p>
    <w:p>
      <w:pPr>
        <w:spacing w:after="0" w:line="144" w:lineRule="exact"/>
        <w:rPr>
          <w:rFonts w:ascii="Arial" w:cs="Arial" w:eastAsia="Arial" w:hAnsi="Arial"/>
          <w:sz w:val="18"/>
          <w:szCs w:val="18"/>
          <w:color w:val="auto"/>
        </w:rPr>
      </w:pPr>
    </w:p>
    <w:p>
      <w:pPr>
        <w:ind w:left="980"/>
        <w:spacing w:after="0" w:line="277" w:lineRule="auto"/>
        <w:tabs>
          <w:tab w:leader="none" w:pos="12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Purchased information about the rate of prescriptions being written and the level of inventory remaining in the distribution channel, if known; and</w:t>
      </w:r>
    </w:p>
    <w:p>
      <w:pPr>
        <w:spacing w:after="0" w:line="102"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Expectations about the market for each product, including any anticipated introduction of competitive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allowances for chargebacks and accruals for rebates and product returns are the most significant estimates used in the recognition of our revenue from product sales. Of the accounts receivable allowances and our sales related accruals, our accrual for fee for services and product returns represents the majority of the balance. Sales related accrued liabilities for rebates, product returns, service fees, and administrative fees totaled $4.1 million, $4.6 million and $5.0 million as of December 31, 2020, 2019 and 2018, respectively. Of these amounts, our estimated liability for fee for services represented $1.0 million, $1.4 million and $1.8 million, respectively, while our accrual for product returns totaled $1.7 million, $1.9 million and $1.8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$0.4 million for the years ended December 31, 2020, 2019 and 2018. A change in our product return estimate of one percentage point would have impacted net sales by $0.3 million for the years ended December 31, 2020, 2019 and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Marketable Securities</w:t>
      </w:r>
    </w:p>
    <w:p>
      <w:pPr>
        <w:spacing w:after="0" w:line="1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historically invested a portion of our cash reserves in short-term cash investments, U.S. Treasury notes and bonds, corporate bonds and commercial paper in order to maximize our return on cash. We mark the investments to fair value at the end of each reporting period, with the adjustment being recognized in the statement of income as a component of interest income. These investments are generally valued using observable market prices by third-party pricing services, or are derived from such services' pricing models. The level of management judgment required in establishing fair value of financial instruments for which there is a quoted price in an active market is minimal. Similarly, there is little subjectivity or judgment required for instruments valued using valuation models that are standard across the industry and where all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2020 in comparison to our expected inventory usage. The amount of actual inventory obsolescence and unmarketable inventory could differ (either higher or lower) in the near term from the estimated amounts. Changes in our estimates would be recorded in our statement of operations in the period of the change.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policy with respect to interest and penalties arising from income tax settlements is to recognize them as part of the provision for income taxes.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compensation expense for all share-based payments based on the fair value of the award on the date of grant. In addition, incremental compensation expense is recognized upon the modification of equity awards.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issue restricted stock awards at no cost in lieu of stock options to employees, directors and consultants. Compensation expense for restricted stock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statements of operations for the years ended December 31, 2020 and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Years ended December 31,</w:t>
            </w: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37,441,134</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34,388,295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3,052,839</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8,653,020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7,421,316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1,231,704</w:t>
            </w:r>
          </w:p>
        </w:tc>
        <w:tc>
          <w:tcPr>
            <w:tcW w:w="120" w:type="dxa"/>
            <w:vAlign w:val="bottom"/>
            <w:shd w:val="clear" w:color="auto" w:fill="CCEEFF"/>
          </w:tcPr>
          <w:p>
            <w:pPr>
              <w:spacing w:after="0"/>
              <w:rPr>
                <w:sz w:val="19"/>
                <w:szCs w:val="19"/>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14,765,465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15,277,740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(512,275)</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5,773,825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6,868,480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(1,094,655)</w:t>
            </w:r>
          </w:p>
        </w:tc>
        <w:tc>
          <w:tcPr>
            <w:tcW w:w="120" w:type="dxa"/>
            <w:vAlign w:val="bottom"/>
            <w:shd w:val="clear" w:color="auto" w:fill="CCEEFF"/>
          </w:tcPr>
          <w:p>
            <w:pPr>
              <w:spacing w:after="0"/>
              <w:rPr>
                <w:sz w:val="19"/>
                <w:szCs w:val="19"/>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10,196,299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9,974,384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221,915</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4,434,120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4,134,557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299,563</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43,822,729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43,676,477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146,252</w:t>
            </w:r>
          </w:p>
        </w:tc>
        <w:tc>
          <w:tcPr>
            <w:tcW w:w="120" w:type="dxa"/>
            <w:vAlign w:val="bottom"/>
            <w:tcBorders>
              <w:bottom w:val="single" w:sz="8" w:color="CCEEFF"/>
            </w:tcBorders>
          </w:tcPr>
          <w:p>
            <w:pPr>
              <w:spacing w:after="0"/>
              <w:rPr>
                <w:sz w:val="19"/>
                <w:szCs w:val="19"/>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(6,381,595)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(9,288,182)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2,906,587</w:t>
            </w:r>
          </w:p>
        </w:tc>
        <w:tc>
          <w:tcPr>
            <w:tcW w:w="12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243,364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(168,019)</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(263,627)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(17,441)</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(6,569,877)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(9,291,004)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2,721,127</w:t>
            </w:r>
          </w:p>
        </w:tc>
        <w:tc>
          <w:tcPr>
            <w:tcW w:w="12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(135,218)</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(6,625,779)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(9,211,688)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2,585,909</w:t>
            </w:r>
          </w:p>
        </w:tc>
        <w:tc>
          <w:tcPr>
            <w:tcW w:w="12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net revenues for the years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Years ended December 31,</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15,567,562</w:t>
            </w:r>
          </w:p>
        </w:tc>
        <w:tc>
          <w:tcPr>
            <w:tcW w:w="1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12,895,120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2,672,442</w:t>
            </w: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Vibativ</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10,870,990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8,691,550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2,179,440</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Caldolor</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5,336,943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5,222,282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114,661</w:t>
            </w:r>
          </w:p>
        </w:tc>
      </w:tr>
      <w:tr>
        <w:trPr>
          <w:trHeight w:val="229"/>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1,874,206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3,824,449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(1,950,243)</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257,088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837,829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(580,741)</w:t>
            </w: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1,077,227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140,612</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RediTrex</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856,657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856,657</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1,600,461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1,980,450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(379,989)</w:t>
            </w:r>
          </w:p>
        </w:tc>
      </w:tr>
      <w:tr>
        <w:trPr>
          <w:trHeight w:val="223"/>
        </w:trPr>
        <w:tc>
          <w:tcPr>
            <w:tcW w:w="452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37,441,134</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34,388,295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3,052,839</w:t>
            </w:r>
          </w:p>
        </w:tc>
      </w:tr>
      <w:tr>
        <w:trPr>
          <w:trHeight w:val="21"/>
        </w:trPr>
        <w:tc>
          <w:tcPr>
            <w:tcW w:w="4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for the year ended December 31, 2020 were approximately $37.4 million compared to $34.4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representing an increase of $3.1 million or 8.9%. As detailed in the table above, net revenue increased during the 2020 for four of our marketed products: Kristalose, Vibativ, Caldolor and Vaprisol. The improvement was led by largest product, Kristalose which delivered $2.7 million in revenue growth, followed by Vibativ, which delivered an additional $2.2 million during 2020 compared to 2019. Our newest product, RediTrex, contributed $0.9 million in incremental revenue during the year after its late 2020 soft launch.</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decreased net product sales of Acetadote and Omeclamox-Pak.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returned the exclusive rights to commercialize Ethyol and Totect in the United States to Clinigen effective January 1, 2020. As a result, the 2019 revenues and expenses associated with the products are combined and reclassified into discontinued operations in our financial statements. In exchange for the return of these product license rights and associated non-compete provision, Cumberland is receiving $5 million in financial consideration paid over the two-years following the return date. The first four installments totaling $3.0 million due from Clinigen was recorded during the year ended December 31, 2020, as discontinued operations. We do not incur expenses associated with these payments from Clinigen.</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Kristalose revenue increased by $2.7 million, or 20.7%, compared to December 31, 2019 primarily as a result of improved sales volume for the product.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Vibativ revenue was $10.9 million compared to $8.7 million in the prior year. This $2.2 million or 25.1% increase in net revenue was a result of improved sales volume for the product.</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Caldolor revenue experienced a 2.2% increase to $5.3 million during the year ended December 31, 2020 compared to $5.2 million in the same period last year. This increase in Caldolor revenue for the year ended December 31, 2020 was the result of an increase in international shipments when compared to the prior year, which were partially offset by lower domestic shipments of the product, significantly impacted by COVID-19 and a reduction in elective surgeries.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Vaprisol revenue increased $0.1 million during the year ended December 31, 2020 compared to the prior year period due primarily to increased sales of the product.</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Acetadote revenue included net sales of our branded product and our share of net sales from our Authorized Generic. For the year ended December 31, 2020, the Acetadote net revenue decreased $2.0 million compared to the prior year due to a reduction in sales volume, primarily impacting the Authorized Generic.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Omeclamox-Pak revenue decreased $0.6 million during the year ended December 31, 2020 compared to the prior year. The decrease was largely the result of decreased sales volume, which were negatively impacted by COVID-19.</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Cost of products sold</w:t>
      </w:r>
      <w:r>
        <w:rPr>
          <w:rFonts w:ascii="Arial" w:cs="Arial" w:eastAsia="Arial" w:hAnsi="Arial"/>
          <w:sz w:val="16"/>
          <w:szCs w:val="16"/>
          <w:color w:val="auto"/>
        </w:rPr>
        <w:t>. Cost of products sold for the year ended December 31, 2020 were $8.7 million compared to $7.4 million in the prior year.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net revenues, cost of products sold were 23.1% compared to 21.6% during the prior year. This change in costs of products sold as a percentage of revenue was attributable to a change in the product sales mix, particularly the increase in sales of Vibativ. The Vibativ inventory sold during the period was acquired and paid for by Cumberland as part of the acquisition of the brand during 2018. The increase in costs of product sold expense was also the result of a step up in the fair value of the inventory over the cost to Theravance, as required under purchase accounting rules.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year ended December 31, 2020 were $14.8 million compared to $15.3 million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which was a decrease of $0.5 million. This decrease was primarily a result of decreases in direct promotional spending, meeting costs and travel expenses. These decreases were partially offset by increases in salaries as well as increases in royalty costs associated with growth in Vibativ sales during the period.</w:t>
      </w:r>
    </w:p>
    <w:p>
      <w:pPr>
        <w:spacing w:after="0" w:line="1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costs for the year ended December 31, 2020 were $5.8 million, compared to $6.9 million last</w:t>
      </w:r>
      <w:r>
        <w:rPr>
          <w:rFonts w:ascii="Arial" w:cs="Arial" w:eastAsia="Arial" w:hAnsi="Arial"/>
          <w:sz w:val="16"/>
          <w:szCs w:val="16"/>
          <w:i w:val="1"/>
          <w:iCs w:val="1"/>
          <w:color w:val="auto"/>
        </w:rPr>
        <w:t xml:space="preserve"> </w:t>
      </w:r>
      <w:r>
        <w:rPr>
          <w:rFonts w:ascii="Arial" w:cs="Arial" w:eastAsia="Arial" w:hAnsi="Arial"/>
          <w:sz w:val="16"/>
          <w:szCs w:val="16"/>
          <w:color w:val="auto"/>
        </w:rPr>
        <w:t>year, representing a decrease of $1.1 million. A portion of our research and development costs is variable based on the number of trials, study sites, number of patients and the cost per patient in each of our clinical programs. We continue to fund our ongoing clinical initiatives associated with our pipeline products. During 2020, we experienced a decrease in study activity which was partially offset by increases in our annual FDA user fees.</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for the year ended December 31, 2020 were $10.2 million compared to $10.0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last year. The increase resulted from an increase in legal and professional fees partially offset by lower stock based compensation during the period. A portion of these increased costs were for 2019 expenses related to our acquisition of Vibativ.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4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7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10,870,990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8,691,550</w:t>
            </w:r>
          </w:p>
        </w:tc>
      </w:tr>
      <w:tr>
        <w:trPr>
          <w:trHeight w:val="230"/>
        </w:trPr>
        <w:tc>
          <w:tcPr>
            <w:tcW w:w="7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3,366,198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2,716,305</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1,952,449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1,609,564</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5,552,343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4,365,681</w:t>
            </w:r>
          </w:p>
        </w:tc>
      </w:tr>
      <w:tr>
        <w:trPr>
          <w:trHeight w:val="20"/>
        </w:trPr>
        <w:tc>
          <w:tcPr>
            <w:tcW w:w="7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The Vibativ inventory included in the costs of product sold during the period was acquired and paid for by Cumberland as part of the acquisition of the brand during 2018.</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Amortization. </w:t>
      </w:r>
      <w:r>
        <w:rPr>
          <w:rFonts w:ascii="Arial" w:cs="Arial" w:eastAsia="Arial" w:hAnsi="Arial"/>
          <w:sz w:val="16"/>
          <w:szCs w:val="16"/>
          <w:color w:val="auto"/>
        </w:rPr>
        <w:t>Amortization expenses represent the ratable use of our capitalized intangible assets including product and license rights, patents,</w:t>
      </w:r>
      <w:r>
        <w:rPr>
          <w:rFonts w:ascii="Arial" w:cs="Arial" w:eastAsia="Arial" w:hAnsi="Arial"/>
          <w:sz w:val="16"/>
          <w:szCs w:val="16"/>
          <w:i w:val="1"/>
          <w:iCs w:val="1"/>
          <w:color w:val="auto"/>
        </w:rPr>
        <w:t xml:space="preserve"> </w:t>
      </w:r>
      <w:r>
        <w:rPr>
          <w:rFonts w:ascii="Arial" w:cs="Arial" w:eastAsia="Arial" w:hAnsi="Arial"/>
          <w:sz w:val="16"/>
          <w:szCs w:val="16"/>
          <w:color w:val="auto"/>
        </w:rPr>
        <w:t>trademarks and patent defense costs. Amortization for 2020 totaled approximately $4.4 million compared to $4.1 million in the prior year, which was an increase of $0.3 million over the prior year. The increase in expense was attributable to the amortization of additional product rights and capitalized patents.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taxes were an expense of $55,902 for the year ended December 31, 2020 and a benefit of $79,316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4"/>
          </w:tcPr>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8920" w:type="dxa"/>
            <w:vAlign w:val="bottom"/>
            <w:gridSpan w:val="7"/>
          </w:tcPr>
          <w:p>
            <w:pPr>
              <w:ind w:left="340"/>
              <w:spacing w:after="0"/>
              <w:rPr>
                <w:sz w:val="20"/>
                <w:szCs w:val="20"/>
                <w:color w:val="auto"/>
              </w:rPr>
            </w:pPr>
            <w:r>
              <w:rPr>
                <w:rFonts w:ascii="Arial" w:cs="Arial" w:eastAsia="Arial" w:hAnsi="Arial"/>
                <w:sz w:val="18"/>
                <w:szCs w:val="18"/>
                <w:color w:val="auto"/>
                <w:w w:val="99"/>
              </w:rPr>
              <w:t>The following table presents the statements of operations for the years ended December 31, 2019 and 2018:</w:t>
            </w: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4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Years ended December 31,</w:t>
            </w: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23"/>
        </w:trPr>
        <w:tc>
          <w:tcPr>
            <w:tcW w:w="4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34,388,295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29,344,894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5,043,401</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7,421,316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6,016,822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1,404,494</w:t>
            </w:r>
          </w:p>
        </w:tc>
        <w:tc>
          <w:tcPr>
            <w:tcW w:w="120" w:type="dxa"/>
            <w:vAlign w:val="bottom"/>
            <w:shd w:val="clear" w:color="auto" w:fill="CCEEFF"/>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15,277,740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14,004,933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1,272,807</w:t>
            </w:r>
          </w:p>
        </w:tc>
        <w:tc>
          <w:tcPr>
            <w:tcW w:w="120" w:type="dxa"/>
            <w:vAlign w:val="bottom"/>
          </w:tcPr>
          <w:p>
            <w:pPr>
              <w:spacing w:after="0"/>
              <w:rPr>
                <w:sz w:val="19"/>
                <w:szCs w:val="19"/>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6,868,480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7,575,892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(707,412)</w:t>
            </w:r>
          </w:p>
        </w:tc>
        <w:tc>
          <w:tcPr>
            <w:tcW w:w="120" w:type="dxa"/>
            <w:vAlign w:val="bottom"/>
            <w:shd w:val="clear" w:color="auto" w:fill="CCEEFF"/>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9,974,384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10,150,777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(176,393)</w:t>
            </w:r>
          </w:p>
        </w:tc>
        <w:tc>
          <w:tcPr>
            <w:tcW w:w="120" w:type="dxa"/>
            <w:vAlign w:val="bottom"/>
          </w:tcPr>
          <w:p>
            <w:pPr>
              <w:spacing w:after="0"/>
              <w:rPr>
                <w:sz w:val="19"/>
                <w:szCs w:val="19"/>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4,134,557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2,769,466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1,365,091</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43,676,477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40,517,890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3,158,587</w:t>
            </w:r>
          </w:p>
        </w:tc>
        <w:tc>
          <w:tcPr>
            <w:tcW w:w="120" w:type="dxa"/>
            <w:vAlign w:val="bottom"/>
            <w:tcBorders>
              <w:bottom w:val="single" w:sz="8" w:color="CCEEFF"/>
            </w:tcBorders>
          </w:tcPr>
          <w:p>
            <w:pPr>
              <w:spacing w:after="0"/>
              <w:rPr>
                <w:sz w:val="19"/>
                <w:szCs w:val="19"/>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(9,288,182)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(11,172,996)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1,884,814</w:t>
            </w:r>
          </w:p>
        </w:tc>
        <w:tc>
          <w:tcPr>
            <w:tcW w:w="12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243,364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564,484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(321,120)</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(246,186)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(50,338)</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(9,291,004)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(10,804,360)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1,513,356</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95,952</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(9,211,688)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(10,820,996)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1,609,308</w:t>
            </w:r>
          </w:p>
        </w:tc>
        <w:tc>
          <w:tcPr>
            <w:tcW w:w="12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net revenues for the years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Years ended December 31,</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452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12,895,120</w:t>
            </w:r>
          </w:p>
        </w:tc>
        <w:tc>
          <w:tcPr>
            <w:tcW w:w="1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12,055,625</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839,495</w:t>
            </w: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Vibativ</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8,691,550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3,616,493</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Caldolor</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5,222,282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5,001,997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220,285</w:t>
            </w: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3,824,449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4,284,111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(459,662)</w:t>
            </w:r>
          </w:p>
        </w:tc>
      </w:tr>
      <w:tr>
        <w:trPr>
          <w:trHeight w:val="229"/>
        </w:trPr>
        <w:tc>
          <w:tcPr>
            <w:tcW w:w="452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837,829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623,297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214,532</w:t>
            </w: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936,615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1,763,874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(827,259)</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1,980,450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1,439,517</w:t>
            </w:r>
          </w:p>
        </w:tc>
      </w:tr>
      <w:tr>
        <w:trPr>
          <w:trHeight w:val="248"/>
        </w:trPr>
        <w:tc>
          <w:tcPr>
            <w:tcW w:w="4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net revenues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34,388,295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29,344,894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5,043,401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year ended December 31, 2019 were approximately $34.4 million compared to $29.3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representing an increase of $5.0 million or 17.2%. Four of our products, Omeclamox-Pak, Kristalose, Caldolor and Vibativ, experienced an increase in revenue during 2019. The 17.2% improvement was led by our newest product, Vibativ, which delivered an additional $3.6 million during the full year of 2019 compared to a partial year during 2018. These increases were partially offset by decreased net product sales of Acetadote and Vaprisol.</w:t>
      </w:r>
    </w:p>
    <w:p>
      <w:pPr>
        <w:spacing w:after="0" w:line="12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returned the exclusive rights to commercialize Ethyol and Totect in the United States to Clinigen effective January 1, 2020. As a result, the 2019 and 2018 revenues and expenses associated with the products are combined and reclassified into discontinued operations in our financial statements. In exchange for the return of these product license rights and associated non-compete provision, Cumberland is receiving $5 million in financial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paid over the two-years following the return date. We do not incur expenses associated with these payments from Clinigen.</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Kristalose revenue increased by $0.8 million, or 7.0%, compared to December 31, 2018 primarily as a result of increased wholesale prices. The product's net revenue was also positively impacted by lower managed care rebates, resulting in improved net pricing for the product for the year ended December 31, 2019.</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Caldolor revenue experienced a 4.4% increase to $5.2 million during the year ended December 31, 2019 compared to $5.0 million in during 2018. This increase in Caldolor revenue for the year ended December 31, 2019 was the result of an 11% increase in domestic shipments of the product and improved net pricing. The changes were partially offset by a reduction in international shipments of Caldolor in 2019 over 2018.</w:t>
      </w:r>
    </w:p>
    <w:p>
      <w:pPr>
        <w:spacing w:after="0" w:line="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Omeclamox-Pak revenue increased $0.2 million or 34.4% during the year ended December 31, 2019 compared to the prior year. The increase was largely the result of increased sales volume partially offset by higher expired product sales returns.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Vaprisol revenue decreased $0.8 million during the year ended December 31, 2019 compared to the prior year period due primarily to decreased sales of the product. The prior year period sales were higher as a result of the arrival of a new lot of the product during April 2018 resolving temporary supply issues associated with the product.</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Acetadote revenue included net sales of our branded product and our share of net sales from our Authorized Generic. For the year ended December 31, 2019, the Acetadote net revenue decreased $0.5 million or 10.7% compared to 2018 due to a reduction in sales volume as a result of generic competition.</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year ended December 31, 2019 were $7.4 million, compared to $6.0 million during 2018.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revenues, cost of products sold were 21.6% compared to 20.5% during 2018. The change in costs of products sold as a percentage of revenue was attributable to a change in the product sales mix during the period compared to 2018.</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year ended December 31, 2019 were $15.3 million, which was an increase of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2018's expense of $14.0 million. This increase was primarily attributable to promotional spending and sales force costs, including salary and benefits for the increased sales force. The increase in the sales force and promotional spending is due largely to the addition of our newest brand, Vibativ, during the fourth quarter of 2018.</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for the year ended December 31, 2019 were $6.9 million, compared to $7.6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2018, representing a decrease of $0.7 million. A portion of our research and development costs are variable based on the number of trials, study sites and patients involved in the development of our product candidates. The decrease was primarily the result of the FDA program fee of $1.3 million paid during 2018 associated with the successful RediTrex FDA submission.</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year ended December 31, 2019 was $10.0 million for 2019, compared to $10.2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2018. The $0.2 million or, 1.7%, decrease from the same period for 2018 was primarily driven by a decrease in compensation and benefits, including non-cash stock based compensation and deferred compensation.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expenses represent the ratable use of our capitalized intangible assets including product and license rights,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and patent defense costs. Amortization for 2019 totaled approximately $4.1 million, which was an increase of $1.4 million over 2018. The increase in expense was attributable to the amortization of additional product rights and capitalized patents, including those assets associated with the Vibativ acquisition.</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benefit for the year ended December 31, 2019 was $79,316. As a percentage of income (loss) before income taxes,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were a benefit of 0.9% for the year ended December 31, 2019 compared to income tax expense as a percentage of loss before income taxes of 0.2%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sources of liquidity are cash flows provided by our operations, the proceeds from the Paycheck Protection Program loan,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invest a portion of our cash reserves in marketable securities including short-term cash investments, U.S. Treasury notes and bonds, corporate bonds and commercial paper. At December 31, 2020 and December 31, 2019 , all our investments had original maturities of less than ninety days and as a result were classified as cash equivalents.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 and working capital as of the years ended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28,212,635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Total cash, cash equivalents and marketable securities</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28,212,635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24,302,146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26,012,840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w w:val="99"/>
              </w:rPr>
              <w:t>Current ratio (multiple of current assets to current liabilities)</w:t>
            </w: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8520" w:type="dxa"/>
            <w:vAlign w:val="bottom"/>
            <w:gridSpan w:val="11"/>
          </w:tcPr>
          <w:p>
            <w:pPr>
              <w:ind w:left="340"/>
              <w:spacing w:after="0"/>
              <w:rPr>
                <w:sz w:val="20"/>
                <w:szCs w:val="20"/>
                <w:color w:val="auto"/>
              </w:rPr>
            </w:pPr>
            <w:r>
              <w:rPr>
                <w:rFonts w:ascii="Arial" w:cs="Arial" w:eastAsia="Arial" w:hAnsi="Arial"/>
                <w:sz w:val="18"/>
                <w:szCs w:val="18"/>
                <w:color w:val="auto"/>
                <w:w w:val="90"/>
              </w:rPr>
              <w:t>The following table summarizes our net changes in cash and cash equivalents for the years ended December 31:</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6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5,415,061</w:t>
            </w: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3,056,356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3,112,737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(1,757,789)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2,297,848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(27,724,818)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(7,116,111)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(5,080,529)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7,138,173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360" w:type="dxa"/>
            <w:vAlign w:val="bottom"/>
          </w:tcPr>
          <w:p>
            <w:pPr>
              <w:ind w:left="20"/>
              <w:spacing w:after="0" w:line="156" w:lineRule="exact"/>
              <w:rPr>
                <w:sz w:val="20"/>
                <w:szCs w:val="20"/>
                <w:color w:val="auto"/>
              </w:rPr>
            </w:pPr>
            <w:r>
              <w:rPr>
                <w:rFonts w:ascii="Arial" w:cs="Arial" w:eastAsia="Arial" w:hAnsi="Arial"/>
                <w:sz w:val="18"/>
                <w:szCs w:val="18"/>
                <w:color w:val="auto"/>
              </w:rPr>
              <w:t>Net (decrease) increase in cash and</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(3,458,839)</w:t>
            </w:r>
          </w:p>
        </w:tc>
        <w:tc>
          <w:tcPr>
            <w:tcW w:w="40" w:type="dxa"/>
            <w:vAlign w:val="bottom"/>
          </w:tcPr>
          <w:p>
            <w:pPr>
              <w:spacing w:after="0"/>
              <w:rPr>
                <w:sz w:val="13"/>
                <w:szCs w:val="13"/>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273,675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(17,473,908)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3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net $3.5 million decrease in cash and cash equivalents for the year ended December 31, 2020 was attributable to cash used by investing and financing activities partially offset by cash provided by operating activities. Cash provided by operating activities of $5.4 million included non-cash expense add backs for depreciation and amortization and share-based compensation expense totaling $5.8 million and changes in our working capital that provided net cash of $5.4 million. The cash provided by operating activities included $3.5 million provided by discontinued operations. This increase was partially offset by a net loss for the period of $6.6 million. Cash used by investing activities of $1.8 million was the result of additions to intangibles of $2.0 million, which included the payment of $1.0 million for product rights, additions to property and equipment of $0.1 million and partially offset by proceeds from the surrender of life insurance of $0.5 million. Our financing activities included a net repayment of $3.5 million under our line of credit net, $1.9 million in cash used to repurchase shares of our common stock as well as the $0.8 million used for the repurchase of a portion of CET's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As noted above, we continue to repurchase shares of our common stock, as discussed in Part II, Item 5, </w:t>
      </w:r>
      <w:r>
        <w:rPr>
          <w:rFonts w:ascii="Arial" w:cs="Arial" w:eastAsia="Arial" w:hAnsi="Arial"/>
          <w:sz w:val="18"/>
          <w:szCs w:val="18"/>
          <w:i w:val="1"/>
          <w:iCs w:val="1"/>
          <w:color w:val="auto"/>
        </w:rPr>
        <w:t>"Market for Registrant’s Common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Stockholder Matters and Issuer Purchases of Equity Securities", </w:t>
      </w:r>
      <w:r>
        <w:rPr>
          <w:rFonts w:ascii="Arial" w:cs="Arial" w:eastAsia="Arial" w:hAnsi="Arial"/>
          <w:sz w:val="18"/>
          <w:szCs w:val="18"/>
          <w:color w:val="auto"/>
        </w:rPr>
        <w:t>of this Form 10-K.</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net $0.3 million increase in cash and cash equivalents for the year ended December 31, 2019 was attributable to cash provided by operating and investing activities offset by cash used in financing activities. Cash provided by operating activities of $3.1 million included non-cash expense add backs for depreciation and amortization and share-based compensation expense totaling $5.9 million. The cash provided by operating activities included $5.5 million provided by discontinued operations. These increases were partially offset by a net loss for the period of $3.5 million. Changes in our working capital provided net cash of $1.6 million. Cash provided by investing activities of $2.3 million included net sales of marketable securities of $8.3 million, partially offset by the $5 million payment to Theravance as part of the acquisition of Vibativ and the addition to intangibles of $0.8 million. Our financing activities included a net repayment of $1.5 million under our line of credit net and $3.5 million in cash used to repurchase shares of our common stock.</w:t>
      </w:r>
    </w:p>
    <w:p>
      <w:pPr>
        <w:spacing w:after="0" w:line="5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net $17.5 million decrease in cash and cash equivalents for the year ended December 31, 2018 was attributable to cash used by investing activities offset by cash provided by operating and financing activities. Cash provided by operating activities of $3.1 million was impacted by a net loss for the period of $7.0 million. This use of operating cash was offset by non-cash expenses of depreciation and amortization and share-based compensation expense totaling $4.3 million. Changes in our working capital provided net cash of $5.2 million. The cash provided by operating activities included $4.5 million provided by discontinued operations. Cash used in investing activities included $20 million in cash paid for the acquisition of Vibativ during 2018, the use of cash to complete a net increase in marketable securities of $3.4 million, and the addition to intangibles of $3.8 million. Our financing activities included $10.2 million in net cash provided by borrowings under our line of credit net of $2.9 million in cash used to repurchase shares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 The Company intends to continue an ATM feature through B. Riley FBR, Inc. that would allow the Company to issue shares of its common stock. The Company did not issue any shares under this ATM during the year ended December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Agreement</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7, 2020, we entered into a Fourth Amendment (“Fourth Amendment”) to the Revolving Credit Loan Agreement with Pinnacle Bank (the “Pinnacle Agreement”). The Fourth Amendment extends the maturity date of the Pinnacle Agreement through October 1, 2022 and provides for a principal available for borrowing of up to $15 million. We also have the ability to request an increase of up to an additional $5 million, upon the satisfaction of certain conditions and approval by Pinnacle Bank. If fully expanded, the Fourth Amendment would provide a maximum principal available for borrowing of up to $20 million. On May 10, 2019, we entered into a third amendment ("Third Amendment") to the Pinnacle Agreement, which extended the term of the Pinnacle Agreement through July 31, 2021, as well as modified certain definitions and terms of the existing financial covenants. On October 17, 2018, we entered into a second amendment (“Second Amendment”) which increased the maximum aggregate principal available for borrowing under the Pinnacle Agreement to $20.0 million. For a summary of the material terms of the Pinnacle Agreement, as amended, see Note 9 to the accompanying notes to the consolidated financial statements.</w:t>
      </w:r>
    </w:p>
    <w:p>
      <w:pPr>
        <w:spacing w:after="0" w:line="1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Pinnacle Agreement, we were initially subject to one financial covenant, the maintenance of a Funded Debt Ratio.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the Tangible Capital Ratio financial covenant as of December 31, 2020 and we expect to maintain compliance with the Tangible Capital Ratio financial covenant in future periods.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PPP, certain amounts of the loan may be forgiven if they are used for qualifying expenses as described in the CARES Act, including qualifying payroll costs, covered rent payments, and covered utilities. From the date of funding we have used the loan amount for such qualifying expenses.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applied for this loan after carefully considering, with our bank, the eligibility criteria to participate in this program, and determining that Cumberland met these criteria. We evaluated and provided information on our payroll and other qualifying expenses to determine the amount of PPP funds to apply for.</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based on assistance from our PPP loan, we currently do not foresee doing so. In October 2020, we submitted a request for forgiveness of the PPP loan. The request was approved by the lender, Pinnacle Bank, who then submitted it to the SBA for the SBA's review and approval.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Product Purchase Requirements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manufacturing and supply agreements do not require minimum annual purchase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cash obligations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5"/>
              </w:rPr>
              <w:t>Payments Due by Year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r>
              <w:rPr>
                <w:rFonts w:ascii="Arial" w:cs="Arial" w:eastAsia="Arial" w:hAnsi="Arial"/>
                <w:sz w:val="21"/>
                <w:szCs w:val="21"/>
                <w:b w:val="1"/>
                <w:bCs w:val="1"/>
                <w:color w:val="auto"/>
                <w:vertAlign w:val="superscript"/>
              </w:rPr>
              <w:t>(1)</w:t>
            </w:r>
          </w:p>
        </w:tc>
        <w:tc>
          <w:tcPr>
            <w:tcW w:w="28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12"/>
              <w:spacing w:after="0" w:line="158" w:lineRule="exact"/>
              <w:rPr>
                <w:sz w:val="20"/>
                <w:szCs w:val="20"/>
                <w:color w:val="auto"/>
              </w:rPr>
            </w:pPr>
            <w:r>
              <w:rPr>
                <w:rFonts w:ascii="Arial" w:cs="Arial" w:eastAsia="Arial" w:hAnsi="Arial"/>
                <w:sz w:val="16"/>
                <w:szCs w:val="16"/>
                <w:b w:val="1"/>
                <w:bCs w:val="1"/>
                <w:color w:val="auto"/>
                <w:w w:val="90"/>
              </w:rPr>
              <w:t>2025 and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thereafter</w:t>
            </w:r>
          </w:p>
        </w:tc>
        <w:tc>
          <w:tcPr>
            <w:tcW w:w="0" w:type="dxa"/>
            <w:vAlign w:val="bottom"/>
          </w:tcPr>
          <w:p>
            <w:pPr>
              <w:spacing w:after="0"/>
              <w:rPr>
                <w:sz w:val="1"/>
                <w:szCs w:val="1"/>
                <w:color w:val="auto"/>
              </w:rPr>
            </w:pPr>
          </w:p>
        </w:tc>
      </w:tr>
      <w:tr>
        <w:trPr>
          <w:trHeight w:val="32"/>
        </w:trPr>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Line of credit</w:t>
            </w:r>
            <w:r>
              <w:rPr>
                <w:rFonts w:ascii="Arial" w:cs="Arial" w:eastAsia="Arial" w:hAnsi="Arial"/>
                <w:sz w:val="23"/>
                <w:szCs w:val="23"/>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5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Estimated interest on debt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782,143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234,643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Contingent consideration liability</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8,200,553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2,353,789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1,022,014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894,555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659,515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3,270,680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2,256,680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1,019,313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26,239,376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4,046,178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17,275,970</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987,033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659,515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sum of the individual amounts may not agree due to rounding.</w:t>
      </w:r>
    </w:p>
    <w:p>
      <w:pPr>
        <w:spacing w:after="0" w:line="140"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line of credit payments represent the estimated unused line of credit payments and the amount due at maturity. The estimated interest on debt represents the interest on the principal outstanding on the line of credit. These amounts are based on the $15.0 million line of credit assuming the current $15.0 million balance outstanding on December 31, 2020 is consistently outstanding through maturity of October 2022. Interest and unused line of credit payments are due and payable quarterly in arrears.</w:t>
      </w:r>
    </w:p>
    <w:p>
      <w:pPr>
        <w:spacing w:after="0" w:line="119"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contingent consideration liability represents the fair value of the royalty payments of up to 20% of future net sales as part of the Vibativ acquisition.</w:t>
      </w:r>
    </w:p>
    <w:p>
      <w:pPr>
        <w:spacing w:after="0" w:line="165" w:lineRule="exact"/>
        <w:rPr>
          <w:rFonts w:ascii="Arial" w:cs="Arial" w:eastAsia="Arial" w:hAnsi="Arial"/>
          <w:sz w:val="15"/>
          <w:szCs w:val="15"/>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minimum purchase obligations under our manufacturing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2019 and 2018, we did not engage in any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Adopted Accounting Pronouncements</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We adopted the standard effective January 1, 2020 with no impact to our consolidated financial statements.</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was adopted by Cumberland effective January 1, 2020 and was applied prospectively with no impact on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We will adopt both ASU 2016-13 and ASU 2019-05 on January 1, 2023. The adoption of ASU 2016-13 and ASU 2019-05 are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market risk related to changes in interest rates on our cash on deposit in highly-liquid money market accounts and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Our investment policy focuses on principal preservation and liquidity.</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in marketable securities at December 31, 2020.</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current interest rates, we do not believe we are exposed to significant downside risk related to change in interest on our investment accounts.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interest rate risk related to borrowings under our line of credit is based on LIBOR plus an interest rate spread. There is no LIBOR minimum and the LIBOR pricing provides for an interest rate spread of 1.75% to 2.75% (representing an interest rate of 3.65% at December 31, 2020). As of December 31, 2020, we had $15.0 million in borrowings outstanding under our revolving line of credit.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we operate primarily in the U.S., we are exposed to foreign currency risk. A portion of our research and development is performed abroad.</w:t>
      </w:r>
    </w:p>
    <w:p>
      <w:pPr>
        <w:spacing w:after="0" w:line="16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losses were immaterial for 2020, 2019 and 2018. Neither a five percent increase nor decrease from current exchange rates would have had a material effect on our operating results or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consolidated financial statements, including the reports of the independent registered public accounting firm, starting on page F-1, which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Chief Executive Officer and Chief Financial Officer, with the participation of other members of management, have evaluated the effectiveness of our disclosure controls and procedures (as defined Rules 13a-15(e) and 15d-15(e) under the Securities Exchange Act of 1934, as amended) as of the year ended December 31, 2020. Based on such evaluations, our Chief Executive Officer and Chief Financial Officer concluded that, as of such date, our disclosure controls and procedures were effective (at the reasonable assurance level) to ensure that the information required to be included in this Annual Report on Form 10-K has been recorded, processed, summarized, and reported within the time periods specified in the SEC’s rules and forms and to ensure that such information was accumulated and communicated to management to allow for timely decisions regarding disclosure.</w:t>
      </w:r>
    </w:p>
    <w:p>
      <w:pPr>
        <w:spacing w:after="0" w:line="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Management’s report on internal control over financial reporting is included on page F-1 of this annual report on Form 10-K, and incorporated herein by reference. During our fourth quarter of 2020, there were no changes in our internal control over financial reporting (as defined in Rule 13a-15(f) or 15d-15(f)).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8-K, Item 5.02(e). Compensatory Arrangements of Certain Officers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10, 2021, the Company entered into new employment agreements with each of A.J. Kazimi, our Chief Executive Officer (the “</w:t>
      </w:r>
      <w:r>
        <w:rPr>
          <w:rFonts w:ascii="Arial" w:cs="Arial" w:eastAsia="Arial" w:hAnsi="Arial"/>
          <w:sz w:val="18"/>
          <w:szCs w:val="18"/>
          <w:u w:val="single" w:color="auto"/>
          <w:color w:val="auto"/>
        </w:rPr>
        <w:t>Kazimi</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Martin Cearnal, our Executive Vice President and Chief Commercial Officer (the “</w:t>
      </w:r>
      <w:r>
        <w:rPr>
          <w:rFonts w:ascii="Arial" w:cs="Arial" w:eastAsia="Arial" w:hAnsi="Arial"/>
          <w:sz w:val="18"/>
          <w:szCs w:val="18"/>
          <w:u w:val="single" w:color="auto"/>
          <w:color w:val="auto"/>
        </w:rPr>
        <w:t>Cearnal Employment Agreement</w:t>
      </w:r>
      <w:r>
        <w:rPr>
          <w:rFonts w:ascii="Arial" w:cs="Arial" w:eastAsia="Arial" w:hAnsi="Arial"/>
          <w:sz w:val="18"/>
          <w:szCs w:val="18"/>
          <w:color w:val="auto"/>
        </w:rPr>
        <w:t>”), Leo Pavliv, our Executive Vice President, Operations and Chief Development Officer (the “</w:t>
      </w:r>
      <w:r>
        <w:rPr>
          <w:rFonts w:ascii="Arial" w:cs="Arial" w:eastAsia="Arial" w:hAnsi="Arial"/>
          <w:sz w:val="18"/>
          <w:szCs w:val="18"/>
          <w:u w:val="single" w:color="auto"/>
          <w:color w:val="auto"/>
        </w:rPr>
        <w:t>Pavliv Employment Agreement</w:t>
      </w:r>
      <w:r>
        <w:rPr>
          <w:rFonts w:ascii="Arial" w:cs="Arial" w:eastAsia="Arial" w:hAnsi="Arial"/>
          <w:sz w:val="18"/>
          <w:szCs w:val="18"/>
          <w:color w:val="auto"/>
        </w:rPr>
        <w:t>”), James Herman, our Senior Vice President, National Accounts and Chief Compliance Officer (the “</w:t>
      </w:r>
      <w:r>
        <w:rPr>
          <w:rFonts w:ascii="Arial" w:cs="Arial" w:eastAsia="Arial" w:hAnsi="Arial"/>
          <w:sz w:val="18"/>
          <w:szCs w:val="18"/>
          <w:u w:val="single" w:color="auto"/>
          <w:color w:val="auto"/>
        </w:rPr>
        <w:t>Herman Employment Agreement</w:t>
      </w:r>
      <w:r>
        <w:rPr>
          <w:rFonts w:ascii="Arial" w:cs="Arial" w:eastAsia="Arial" w:hAnsi="Arial"/>
          <w:sz w:val="18"/>
          <w:szCs w:val="18"/>
          <w:color w:val="auto"/>
        </w:rPr>
        <w:t>,” and Michael Bonner, our Senior Director, Finance and Accounting and Chief Financial Officer (the “</w:t>
      </w:r>
      <w:r>
        <w:rPr>
          <w:rFonts w:ascii="Arial" w:cs="Arial" w:eastAsia="Arial" w:hAnsi="Arial"/>
          <w:sz w:val="18"/>
          <w:szCs w:val="18"/>
          <w:u w:val="single" w:color="auto"/>
          <w:color w:val="auto"/>
        </w:rPr>
        <w:t>Bonner Employment Agreement</w:t>
      </w:r>
      <w:r>
        <w:rPr>
          <w:rFonts w:ascii="Arial" w:cs="Arial" w:eastAsia="Arial" w:hAnsi="Arial"/>
          <w:sz w:val="18"/>
          <w:szCs w:val="18"/>
          <w:color w:val="auto"/>
        </w:rPr>
        <w:t>”), and together with the Kazimi Employment Agreement, the Cearnal Employment Agreement, the Pavliv Employment Agreement, and the Herman Employment Agreement, the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The Employment Agreements were effective as of January 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Employment Agreement provides for a salary for services performed, a potential annual bonus and a grant of restricted common shares pursuant to a restricted stock agreement. Under the terms of each Employment Agreement, employment is at-will and may be terminated by the Company at any time, with or without notice and with or without cause. Similarly, each of Mr. Kazimi, Mr. Cearnal, Mr. Pavliv, Mr. Bonner, and Mr. Herman may terminate his respective employment with us at any time, with or without notice. The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termination or change in control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Kazimi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Kazimi Employment Agreement, Mr. Kazimi will serve as the Company’s Chief Executive Officer and will receive a base salary of $610,132.</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Kazimi Employment Agreement are qualified in their entirety by reference to the Kazimi Employment Agreement, which is included as Exhibit 10.11 to this Annual Report on Form 10-K and are incorporated by reference into this Item. The foregoing description of the Kazimi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Cearnal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Cearnal Employment Agreement, Mr. Cearnal will serve as the Company’s Executive Vice President and Chief Commercial Officer and will receive a base salary of $336,500.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Cearnal Employment Agreement are qualified in their entirety by reference to the Cearnal Employment Agreement, which is included as Exhibit 10.12 to this Annual Report on Form 10-K and are incorporated by reference into this Item. The foregoing description of the Cearnal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Pavliv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Pavliv Employment Agreement, Mr. Pavliv will serve as the Company’s Executive Vice President, Operations and Chief Development Officer and will receive a base salary of $437,500.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Pavliv Employment Agreement are qualified in their entirety by reference to the Pavliv Employment Agreement, which is included as Exhibit 10.13 to this Annual Report on Form 10-K and are incorporated by reference into this Item. The foregoing description of the Pavliv Employment Agreement does not purport to be complete and is qualified in its entirety by reference to such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Herman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Herman Employment Agreement, Mr. Herman will serve as the Company’s Senior Vice President, National Accounts and Chief Compliance Officer and will receive a base salary of $270,000.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Herman Employment Agreement are qualified in their entirety by reference to the Herman Employment Agreement, which is included as Exhibit 10.15 to this Annual Report on Form 10-K and are incorporated by reference into this Item. The foregoing description of the Herman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Bonner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Bonner Employment Agreement, Mr. Bonner will serve as the Company’s Senior Director, Finance and Accounting and Chief Financial Officer and will receive a base salary of $220,000.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Bonner Employment Agreement are qualified in their entirety by reference to the Bonner Employment Agreement, which is included as Exhibit 10.14 to this Annual Report on Form 10-K and are incorporated by reference into this Item. The foregoing description of the Bonner Employment Agreement does not purport to be complete and is qualified in its entirety by reference to such exhibit.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information called for by Part III of Form 10-K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Item 14 – Principal Accounting Fees and Services), is incorporated by reference from our proxy statement related to our 2021 annual meeting of shareholders, which is expected to be filed with the SEC on or around 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2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800" w:type="dxa"/>
            <w:vAlign w:val="bottom"/>
            <w:tcBorders>
              <w:top w:val="single" w:sz="8" w:color="auto"/>
            </w:tcBorders>
            <w:gridSpan w:val="6"/>
          </w:tcPr>
          <w:p>
            <w:pPr>
              <w:ind w:left="340"/>
              <w:spacing w:after="0"/>
              <w:rPr>
                <w:sz w:val="20"/>
                <w:szCs w:val="20"/>
                <w:color w:val="auto"/>
              </w:rPr>
            </w:pPr>
            <w:r>
              <w:rPr>
                <w:rFonts w:ascii="Arial" w:cs="Arial" w:eastAsia="Arial" w:hAnsi="Arial"/>
                <w:sz w:val="18"/>
                <w:szCs w:val="18"/>
                <w:i w:val="1"/>
                <w:iCs w:val="1"/>
                <w:color w:val="auto"/>
              </w:rPr>
              <w:t>a.  Documents filed as part of this report:</w:t>
            </w:r>
          </w:p>
        </w:tc>
        <w:tc>
          <w:tcPr>
            <w:tcW w:w="382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40" w:type="dxa"/>
            <w:vAlign w:val="bottom"/>
          </w:tcPr>
          <w:p>
            <w:pPr>
              <w:ind w:left="660"/>
              <w:spacing w:after="0"/>
              <w:rPr>
                <w:sz w:val="20"/>
                <w:szCs w:val="20"/>
                <w:color w:val="auto"/>
              </w:rPr>
            </w:pPr>
            <w:r>
              <w:rPr>
                <w:rFonts w:ascii="Arial" w:cs="Arial" w:eastAsia="Arial" w:hAnsi="Arial"/>
                <w:sz w:val="18"/>
                <w:szCs w:val="18"/>
                <w:color w:val="auto"/>
              </w:rPr>
              <w:t>1.</w:t>
            </w:r>
          </w:p>
        </w:tc>
        <w:tc>
          <w:tcPr>
            <w:tcW w:w="6680" w:type="dxa"/>
            <w:vAlign w:val="bottom"/>
            <w:gridSpan w:val="8"/>
          </w:tcPr>
          <w:p>
            <w:pPr>
              <w:ind w:left="40"/>
              <w:spacing w:after="0"/>
              <w:rPr>
                <w:sz w:val="20"/>
                <w:szCs w:val="20"/>
                <w:color w:val="auto"/>
              </w:rPr>
            </w:pPr>
            <w:r>
              <w:rPr>
                <w:rFonts w:ascii="Arial" w:cs="Arial" w:eastAsia="Arial" w:hAnsi="Arial"/>
                <w:sz w:val="18"/>
                <w:szCs w:val="18"/>
                <w:color w:val="auto"/>
              </w:rPr>
              <w:t>Financial Statements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3"/>
              </w:rPr>
              <w:t>Page Number</w:t>
            </w:r>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620" w:type="dxa"/>
            <w:vAlign w:val="bottom"/>
            <w:gridSpan w:val="9"/>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Management’s Report on Internal Control over Financial Reporting</w:t>
              </w:r>
            </w:hyperlink>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13"/>
          </w:tcPr>
          <w:p>
            <w:pPr>
              <w:jc w:val="center"/>
              <w:ind w:right="760"/>
              <w:spacing w:after="0"/>
              <w:rPr>
                <w:rFonts w:ascii="Arial" w:cs="Arial" w:eastAsia="Arial" w:hAnsi="Arial"/>
                <w:sz w:val="18"/>
                <w:szCs w:val="18"/>
                <w:color w:val="3051F2"/>
                <w:w w:val="88"/>
              </w:rPr>
            </w:pPr>
            <w:r>
              <w:rPr>
                <w:rFonts w:ascii="Arial" w:cs="Arial" w:eastAsia="Arial" w:hAnsi="Arial"/>
                <w:sz w:val="18"/>
                <w:szCs w:val="18"/>
                <w:color w:val="3051F2"/>
                <w:w w:val="88"/>
              </w:rPr>
              <w:t>F-</w:t>
            </w:r>
            <w:hyperlink w:anchor="page84">
              <w:r>
                <w:rPr>
                  <w:rFonts w:ascii="Arial" w:cs="Arial" w:eastAsia="Arial" w:hAnsi="Arial"/>
                  <w:sz w:val="18"/>
                  <w:szCs w:val="18"/>
                  <w:color w:val="3051F2"/>
                  <w:w w:val="88"/>
                </w:rPr>
                <w:t>1</w:t>
              </w:r>
            </w:hyperlink>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20" w:type="dxa"/>
            <w:vAlign w:val="bottom"/>
            <w:gridSpan w:val="9"/>
          </w:tcPr>
          <w:p>
            <w:pPr>
              <w:ind w:left="20"/>
              <w:spacing w:after="0"/>
              <w:rPr>
                <w:rFonts w:ascii="Arial" w:cs="Arial" w:eastAsia="Arial" w:hAnsi="Arial"/>
                <w:sz w:val="18"/>
                <w:szCs w:val="18"/>
                <w:u w:val="single" w:color="auto"/>
                <w:color w:val="0000FF"/>
                <w:w w:val="99"/>
              </w:rPr>
            </w:pPr>
            <w:hyperlink w:anchor="page85">
              <w:r>
                <w:rPr>
                  <w:rFonts w:ascii="Arial" w:cs="Arial" w:eastAsia="Arial" w:hAnsi="Arial"/>
                  <w:sz w:val="18"/>
                  <w:szCs w:val="18"/>
                  <w:u w:val="single" w:color="auto"/>
                  <w:color w:val="0000FF"/>
                  <w:w w:val="99"/>
                </w:rPr>
                <w:t>Report of Independent Registered Public Accounting Firm – Consolidated Financial Statements</w:t>
              </w:r>
            </w:hyperlink>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13"/>
          </w:tcPr>
          <w:p>
            <w:pPr>
              <w:jc w:val="center"/>
              <w:ind w:right="760"/>
              <w:spacing w:after="0"/>
              <w:rPr>
                <w:rFonts w:ascii="Arial" w:cs="Arial" w:eastAsia="Arial" w:hAnsi="Arial"/>
                <w:sz w:val="18"/>
                <w:szCs w:val="18"/>
                <w:color w:val="3051F2"/>
                <w:w w:val="88"/>
              </w:rPr>
            </w:pPr>
            <w:r>
              <w:rPr>
                <w:rFonts w:ascii="Arial" w:cs="Arial" w:eastAsia="Arial" w:hAnsi="Arial"/>
                <w:sz w:val="18"/>
                <w:szCs w:val="18"/>
                <w:color w:val="3051F2"/>
                <w:w w:val="88"/>
              </w:rPr>
              <w:t>F-</w:t>
            </w:r>
            <w:hyperlink w:anchor="page85">
              <w:r>
                <w:rPr>
                  <w:rFonts w:ascii="Arial" w:cs="Arial" w:eastAsia="Arial" w:hAnsi="Arial"/>
                  <w:sz w:val="18"/>
                  <w:szCs w:val="18"/>
                  <w:color w:val="3051F2"/>
                  <w:w w:val="88"/>
                </w:rPr>
                <w:t>2</w:t>
              </w:r>
            </w:hyperlink>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620" w:type="dxa"/>
            <w:vAlign w:val="bottom"/>
            <w:gridSpan w:val="9"/>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Consolidated Balance Sheets</w:t>
              </w:r>
            </w:hyperlink>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13"/>
          </w:tcPr>
          <w:p>
            <w:pPr>
              <w:jc w:val="center"/>
              <w:ind w:right="760"/>
              <w:spacing w:after="0"/>
              <w:rPr>
                <w:rFonts w:ascii="Arial" w:cs="Arial" w:eastAsia="Arial" w:hAnsi="Arial"/>
                <w:sz w:val="18"/>
                <w:szCs w:val="18"/>
                <w:color w:val="3051F2"/>
                <w:w w:val="88"/>
              </w:rPr>
            </w:pPr>
            <w:r>
              <w:rPr>
                <w:rFonts w:ascii="Arial" w:cs="Arial" w:eastAsia="Arial" w:hAnsi="Arial"/>
                <w:sz w:val="18"/>
                <w:szCs w:val="18"/>
                <w:color w:val="3051F2"/>
                <w:w w:val="88"/>
              </w:rPr>
              <w:t>F-</w:t>
            </w:r>
            <w:hyperlink w:anchor="page88">
              <w:r>
                <w:rPr>
                  <w:rFonts w:ascii="Arial" w:cs="Arial" w:eastAsia="Arial" w:hAnsi="Arial"/>
                  <w:sz w:val="18"/>
                  <w:szCs w:val="18"/>
                  <w:color w:val="3051F2"/>
                  <w:w w:val="88"/>
                </w:rPr>
                <w:t>5</w:t>
              </w:r>
            </w:hyperlink>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20" w:type="dxa"/>
            <w:vAlign w:val="bottom"/>
            <w:gridSpan w:val="9"/>
          </w:tcPr>
          <w:p>
            <w:pPr>
              <w:ind w:left="20"/>
              <w:spacing w:after="0"/>
              <w:rPr>
                <w:rFonts w:ascii="Arial" w:cs="Arial" w:eastAsia="Arial" w:hAnsi="Arial"/>
                <w:sz w:val="18"/>
                <w:szCs w:val="18"/>
                <w:u w:val="single" w:color="auto"/>
                <w:color w:val="0000CC"/>
              </w:rPr>
            </w:pPr>
            <w:hyperlink w:anchor="page89">
              <w:r>
                <w:rPr>
                  <w:rFonts w:ascii="Arial" w:cs="Arial" w:eastAsia="Arial" w:hAnsi="Arial"/>
                  <w:sz w:val="18"/>
                  <w:szCs w:val="18"/>
                  <w:u w:val="single" w:color="auto"/>
                  <w:color w:val="0000CC"/>
                </w:rPr>
                <w:t>Consolidated Statements of Operations</w:t>
              </w:r>
            </w:hyperlink>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13"/>
          </w:tcPr>
          <w:p>
            <w:pPr>
              <w:jc w:val="center"/>
              <w:ind w:right="760"/>
              <w:spacing w:after="0"/>
              <w:rPr>
                <w:rFonts w:ascii="Arial" w:cs="Arial" w:eastAsia="Arial" w:hAnsi="Arial"/>
                <w:sz w:val="18"/>
                <w:szCs w:val="18"/>
                <w:color w:val="3051F2"/>
                <w:w w:val="88"/>
              </w:rPr>
            </w:pPr>
            <w:r>
              <w:rPr>
                <w:rFonts w:ascii="Arial" w:cs="Arial" w:eastAsia="Arial" w:hAnsi="Arial"/>
                <w:sz w:val="18"/>
                <w:szCs w:val="18"/>
                <w:color w:val="3051F2"/>
                <w:w w:val="88"/>
              </w:rPr>
              <w:t>F-</w:t>
            </w:r>
            <w:hyperlink w:anchor="page89">
              <w:r>
                <w:rPr>
                  <w:rFonts w:ascii="Arial" w:cs="Arial" w:eastAsia="Arial" w:hAnsi="Arial"/>
                  <w:sz w:val="18"/>
                  <w:szCs w:val="18"/>
                  <w:color w:val="3051F2"/>
                  <w:w w:val="88"/>
                </w:rPr>
                <w:t>6</w:t>
              </w:r>
            </w:hyperlink>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20" w:type="dxa"/>
            <w:vAlign w:val="bottom"/>
            <w:gridSpan w:val="9"/>
          </w:tcPr>
          <w:p>
            <w:pPr>
              <w:ind w:left="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Consolidated Statements of Cash Flows</w:t>
              </w:r>
            </w:hyperlink>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13"/>
          </w:tcPr>
          <w:p>
            <w:pPr>
              <w:jc w:val="center"/>
              <w:ind w:right="760"/>
              <w:spacing w:after="0"/>
              <w:rPr>
                <w:rFonts w:ascii="Arial" w:cs="Arial" w:eastAsia="Arial" w:hAnsi="Arial"/>
                <w:sz w:val="18"/>
                <w:szCs w:val="18"/>
                <w:color w:val="3051F2"/>
                <w:w w:val="88"/>
              </w:rPr>
            </w:pPr>
            <w:r>
              <w:rPr>
                <w:rFonts w:ascii="Arial" w:cs="Arial" w:eastAsia="Arial" w:hAnsi="Arial"/>
                <w:sz w:val="18"/>
                <w:szCs w:val="18"/>
                <w:color w:val="3051F2"/>
                <w:w w:val="88"/>
              </w:rPr>
              <w:t>F-</w:t>
            </w:r>
            <w:hyperlink w:anchor="page90">
              <w:r>
                <w:rPr>
                  <w:rFonts w:ascii="Arial" w:cs="Arial" w:eastAsia="Arial" w:hAnsi="Arial"/>
                  <w:sz w:val="18"/>
                  <w:szCs w:val="18"/>
                  <w:color w:val="3051F2"/>
                  <w:w w:val="88"/>
                </w:rPr>
                <w:t>7</w:t>
              </w:r>
            </w:hyperlink>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20" w:type="dxa"/>
            <w:vAlign w:val="bottom"/>
            <w:gridSpan w:val="9"/>
          </w:tcPr>
          <w:p>
            <w:pPr>
              <w:ind w:lef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Consolidated Statements of Equity</w:t>
              </w:r>
            </w:hyperlink>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13"/>
          </w:tcPr>
          <w:p>
            <w:pPr>
              <w:jc w:val="center"/>
              <w:ind w:right="760"/>
              <w:spacing w:after="0"/>
              <w:rPr>
                <w:rFonts w:ascii="Arial" w:cs="Arial" w:eastAsia="Arial" w:hAnsi="Arial"/>
                <w:sz w:val="18"/>
                <w:szCs w:val="18"/>
                <w:color w:val="3051F2"/>
                <w:w w:val="88"/>
              </w:rPr>
            </w:pPr>
            <w:r>
              <w:rPr>
                <w:rFonts w:ascii="Arial" w:cs="Arial" w:eastAsia="Arial" w:hAnsi="Arial"/>
                <w:sz w:val="18"/>
                <w:szCs w:val="18"/>
                <w:color w:val="3051F2"/>
                <w:w w:val="88"/>
              </w:rPr>
              <w:t>F-</w:t>
            </w:r>
            <w:hyperlink w:anchor="page92">
              <w:r>
                <w:rPr>
                  <w:rFonts w:ascii="Arial" w:cs="Arial" w:eastAsia="Arial" w:hAnsi="Arial"/>
                  <w:sz w:val="18"/>
                  <w:szCs w:val="18"/>
                  <w:color w:val="3051F2"/>
                  <w:w w:val="88"/>
                </w:rPr>
                <w:t>9</w:t>
              </w:r>
            </w:hyperlink>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20" w:type="dxa"/>
            <w:vAlign w:val="bottom"/>
            <w:gridSpan w:val="9"/>
          </w:tcPr>
          <w:p>
            <w:pPr>
              <w:ind w:left="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Notes to the Consolidated Financial Statements</w:t>
              </w:r>
            </w:hyperlink>
          </w:p>
        </w:tc>
        <w:tc>
          <w:tcPr>
            <w:tcW w:w="700" w:type="dxa"/>
            <w:vAlign w:val="bottom"/>
          </w:tcPr>
          <w:p>
            <w:pPr>
              <w:spacing w:after="0"/>
              <w:rPr>
                <w:sz w:val="24"/>
                <w:szCs w:val="24"/>
                <w:color w:val="auto"/>
              </w:rPr>
            </w:pPr>
          </w:p>
        </w:tc>
        <w:tc>
          <w:tcPr>
            <w:tcW w:w="1360" w:type="dxa"/>
            <w:vAlign w:val="bottom"/>
            <w:gridSpan w:val="15"/>
          </w:tcPr>
          <w:p>
            <w:pPr>
              <w:jc w:val="center"/>
              <w:ind w:right="420"/>
              <w:spacing w:after="0"/>
              <w:rPr>
                <w:rFonts w:ascii="Arial" w:cs="Arial" w:eastAsia="Arial" w:hAnsi="Arial"/>
                <w:sz w:val="18"/>
                <w:szCs w:val="18"/>
                <w:color w:val="3051F2"/>
                <w:w w:val="91"/>
              </w:rPr>
            </w:pPr>
            <w:r>
              <w:rPr>
                <w:rFonts w:ascii="Arial" w:cs="Arial" w:eastAsia="Arial" w:hAnsi="Arial"/>
                <w:sz w:val="18"/>
                <w:szCs w:val="18"/>
                <w:color w:val="3051F2"/>
                <w:w w:val="91"/>
              </w:rPr>
              <w:t>F-</w:t>
            </w:r>
            <w:hyperlink w:anchor="page93">
              <w:r>
                <w:rPr>
                  <w:rFonts w:ascii="Arial" w:cs="Arial" w:eastAsia="Arial" w:hAnsi="Arial"/>
                  <w:sz w:val="18"/>
                  <w:szCs w:val="18"/>
                  <w:color w:val="3051F2"/>
                  <w:w w:val="91"/>
                </w:rPr>
                <w:t>10</w:t>
              </w:r>
            </w:hyperlink>
          </w:p>
        </w:tc>
        <w:tc>
          <w:tcPr>
            <w:tcW w:w="0" w:type="dxa"/>
            <w:vAlign w:val="bottom"/>
          </w:tcPr>
          <w:p>
            <w:pPr>
              <w:spacing w:after="0"/>
              <w:rPr>
                <w:sz w:val="1"/>
                <w:szCs w:val="1"/>
                <w:color w:val="auto"/>
              </w:rPr>
            </w:pPr>
          </w:p>
        </w:tc>
      </w:tr>
      <w:tr>
        <w:trPr>
          <w:trHeight w:val="385"/>
        </w:trPr>
        <w:tc>
          <w:tcPr>
            <w:tcW w:w="940" w:type="dxa"/>
            <w:vAlign w:val="bottom"/>
          </w:tcPr>
          <w:p>
            <w:pPr>
              <w:ind w:left="660"/>
              <w:spacing w:after="0"/>
              <w:rPr>
                <w:sz w:val="20"/>
                <w:szCs w:val="20"/>
                <w:color w:val="auto"/>
              </w:rPr>
            </w:pPr>
            <w:r>
              <w:rPr>
                <w:rFonts w:ascii="Arial" w:cs="Arial" w:eastAsia="Arial" w:hAnsi="Arial"/>
                <w:sz w:val="18"/>
                <w:szCs w:val="18"/>
                <w:color w:val="auto"/>
              </w:rPr>
              <w:t>(2)</w:t>
            </w:r>
          </w:p>
        </w:tc>
        <w:tc>
          <w:tcPr>
            <w:tcW w:w="6680" w:type="dxa"/>
            <w:vAlign w:val="bottom"/>
            <w:gridSpan w:val="8"/>
          </w:tcPr>
          <w:p>
            <w:pPr>
              <w:ind w:left="100"/>
              <w:spacing w:after="0"/>
              <w:rPr>
                <w:sz w:val="20"/>
                <w:szCs w:val="20"/>
                <w:color w:val="auto"/>
              </w:rPr>
            </w:pPr>
            <w:r>
              <w:rPr>
                <w:rFonts w:ascii="Arial" w:cs="Arial" w:eastAsia="Arial" w:hAnsi="Arial"/>
                <w:sz w:val="18"/>
                <w:szCs w:val="18"/>
                <w:color w:val="auto"/>
              </w:rPr>
              <w:t>Financial Statement Schedule</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20" w:type="dxa"/>
            <w:vAlign w:val="bottom"/>
            <w:gridSpan w:val="9"/>
          </w:tcPr>
          <w:p>
            <w:pPr>
              <w:ind w:left="20"/>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Valuation and Qualifying Accounts</w:t>
              </w:r>
            </w:hyperlink>
          </w:p>
        </w:tc>
        <w:tc>
          <w:tcPr>
            <w:tcW w:w="700" w:type="dxa"/>
            <w:vAlign w:val="bottom"/>
          </w:tcPr>
          <w:p>
            <w:pPr>
              <w:spacing w:after="0"/>
              <w:rPr>
                <w:sz w:val="24"/>
                <w:szCs w:val="24"/>
                <w:color w:val="auto"/>
              </w:rPr>
            </w:pPr>
          </w:p>
        </w:tc>
        <w:tc>
          <w:tcPr>
            <w:tcW w:w="1360" w:type="dxa"/>
            <w:vAlign w:val="bottom"/>
            <w:gridSpan w:val="15"/>
          </w:tcPr>
          <w:p>
            <w:pPr>
              <w:jc w:val="center"/>
              <w:ind w:right="420"/>
              <w:spacing w:after="0"/>
              <w:rPr>
                <w:rFonts w:ascii="Arial" w:cs="Arial" w:eastAsia="Arial" w:hAnsi="Arial"/>
                <w:sz w:val="18"/>
                <w:szCs w:val="18"/>
                <w:color w:val="auto"/>
                <w:w w:val="91"/>
              </w:rPr>
            </w:pPr>
            <w:r>
              <w:rPr>
                <w:rFonts w:ascii="Arial" w:cs="Arial" w:eastAsia="Arial" w:hAnsi="Arial"/>
                <w:sz w:val="18"/>
                <w:szCs w:val="18"/>
                <w:color w:val="auto"/>
                <w:w w:val="91"/>
              </w:rPr>
              <w:t>F-</w:t>
            </w:r>
            <w:hyperlink w:anchor="page123">
              <w:r>
                <w:rPr>
                  <w:rFonts w:ascii="Arial" w:cs="Arial" w:eastAsia="Arial" w:hAnsi="Arial"/>
                  <w:sz w:val="18"/>
                  <w:szCs w:val="18"/>
                  <w:u w:val="single" w:color="auto"/>
                  <w:color w:val="0000FF"/>
                  <w:w w:val="91"/>
                </w:rPr>
                <w:t>40</w:t>
              </w:r>
            </w:hyperlink>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i w:val="1"/>
                <w:iCs w:val="1"/>
                <w:color w:val="auto"/>
              </w:rPr>
              <w:t>b. Exhibits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20" w:type="dxa"/>
            <w:vAlign w:val="bottom"/>
            <w:gridSpan w:val="3"/>
            <w:vMerge w:val="restart"/>
          </w:tcPr>
          <w:p>
            <w:pPr>
              <w:ind w:left="1480"/>
              <w:spacing w:after="0"/>
              <w:rPr>
                <w:sz w:val="20"/>
                <w:szCs w:val="20"/>
                <w:color w:val="auto"/>
              </w:rPr>
            </w:pPr>
            <w:r>
              <w:rPr>
                <w:rFonts w:ascii="Arial" w:cs="Arial" w:eastAsia="Arial" w:hAnsi="Arial"/>
                <w:sz w:val="16"/>
                <w:szCs w:val="16"/>
                <w:b w:val="1"/>
                <w:bCs w:val="1"/>
                <w:color w:val="auto"/>
              </w:rPr>
              <w:t>Description</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2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940" w:type="dxa"/>
            <w:vAlign w:val="bottom"/>
            <w:tcBorders>
              <w:top w:val="single" w:sz="8" w:color="auto"/>
            </w:tcBorders>
          </w:tcPr>
          <w:p>
            <w:pPr>
              <w:jc w:val="center"/>
              <w:ind w:left="551"/>
              <w:spacing w:after="0"/>
              <w:rPr>
                <w:sz w:val="20"/>
                <w:szCs w:val="20"/>
                <w:color w:val="auto"/>
              </w:rPr>
            </w:pPr>
            <w:r>
              <w:rPr>
                <w:rFonts w:ascii="Arial" w:cs="Arial" w:eastAsia="Arial" w:hAnsi="Arial"/>
                <w:sz w:val="18"/>
                <w:szCs w:val="18"/>
                <w:color w:val="auto"/>
                <w:w w:val="87"/>
              </w:rPr>
              <w:t>3.1</w:t>
            </w: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980" w:type="dxa"/>
            <w:vAlign w:val="bottom"/>
            <w:tcBorders>
              <w:top w:val="single" w:sz="8" w:color="auto"/>
            </w:tcBorders>
            <w:gridSpan w:val="21"/>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Third Amended and Restated Charter of Cumberland Pharmaceuticals Inc., incorporated herein by reference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to the corresponding exhibit to Amendment No. 19 of the Registrant’s Registration Statement on Form S-1</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(File No. 333-142535) as filed with the SEC on July 17, 2009</w:t>
              </w:r>
            </w:hyperlink>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left="551"/>
              <w:spacing w:after="0"/>
              <w:rPr>
                <w:sz w:val="20"/>
                <w:szCs w:val="20"/>
                <w:color w:val="auto"/>
              </w:rPr>
            </w:pPr>
            <w:r>
              <w:rPr>
                <w:rFonts w:ascii="Arial" w:cs="Arial" w:eastAsia="Arial" w:hAnsi="Arial"/>
                <w:sz w:val="18"/>
                <w:szCs w:val="18"/>
                <w:color w:val="auto"/>
                <w:w w:val="87"/>
              </w:rPr>
              <w:t>3.2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gridSpan w:val="21"/>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Second Amended and Restated Bylaws of Cumberland Pharmaceuticals Inc., incorporated herein by reference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to the corresponding exhibit to Amendment No. 19 of the Registrant’s Registration Statement on Form S-1</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(File No. 333-142535) as filed with the SEC on July 17, 2009</w:t>
              </w:r>
            </w:hyperlink>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jc w:val="center"/>
              <w:ind w:left="551"/>
              <w:spacing w:after="0"/>
              <w:rPr>
                <w:sz w:val="20"/>
                <w:szCs w:val="20"/>
                <w:color w:val="auto"/>
              </w:rPr>
            </w:pPr>
            <w:r>
              <w:rPr>
                <w:rFonts w:ascii="Arial" w:cs="Arial" w:eastAsia="Arial" w:hAnsi="Arial"/>
                <w:sz w:val="18"/>
                <w:szCs w:val="18"/>
                <w:color w:val="auto"/>
                <w:w w:val="87"/>
              </w:rPr>
              <w:t>4.1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80" w:type="dxa"/>
            <w:vAlign w:val="bottom"/>
            <w:gridSpan w:val="21"/>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Specimen Common Stock Certificate of Cumberland Pharmaceuticals Inc., incorporated herein by reference</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8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to the corresponding exhibit to Amendment No. 5 of the Registrant’s Registration Statement on Form S-1</w:t>
              </w:r>
            </w:hyperlink>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(File No. 333-142535) as filed with the SEC on August 6, 2007</w:t>
              </w:r>
            </w:hyperlink>
          </w:p>
        </w:tc>
        <w:tc>
          <w:tcPr>
            <w:tcW w:w="13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left="551"/>
              <w:spacing w:after="0"/>
              <w:rPr>
                <w:sz w:val="20"/>
                <w:szCs w:val="20"/>
                <w:color w:val="auto"/>
              </w:rPr>
            </w:pPr>
            <w:r>
              <w:rPr>
                <w:rFonts w:ascii="Arial" w:cs="Arial" w:eastAsia="Arial" w:hAnsi="Arial"/>
                <w:sz w:val="18"/>
                <w:szCs w:val="18"/>
                <w:color w:val="auto"/>
                <w:w w:val="87"/>
              </w:rPr>
              <w:t>4.2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gridSpan w:val="21"/>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Preferred Stock Terms, Rights, and Provisions, incorporated herein by reference to the corresponding exhibit</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to Registrant's Registration Statement Form S-3 (File No. 333-221402) as filed with the SEC on December</w:t>
              </w:r>
            </w:hyperlink>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19, 2017</w:t>
              </w:r>
            </w:hyperlink>
          </w:p>
        </w:tc>
        <w:tc>
          <w:tcPr>
            <w:tcW w:w="2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jc w:val="center"/>
              <w:ind w:left="551"/>
              <w:spacing w:after="0"/>
              <w:rPr>
                <w:sz w:val="20"/>
                <w:szCs w:val="20"/>
                <w:color w:val="auto"/>
              </w:rPr>
            </w:pPr>
            <w:r>
              <w:rPr>
                <w:rFonts w:ascii="Arial" w:cs="Arial" w:eastAsia="Arial" w:hAnsi="Arial"/>
                <w:sz w:val="18"/>
                <w:szCs w:val="18"/>
                <w:color w:val="auto"/>
                <w:w w:val="87"/>
              </w:rPr>
              <w:t>4.3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80" w:type="dxa"/>
            <w:vAlign w:val="bottom"/>
            <w:gridSpan w:val="21"/>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Form of Senior Indenture, incorporated herein by reference to the corresponding exhibit to Registrant's</w:t>
              </w:r>
            </w:hyperlink>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0" w:type="dxa"/>
            <w:vAlign w:val="bottom"/>
            <w:tcBorders>
              <w:top w:val="single" w:sz="8" w:color="0000FF"/>
            </w:tcBorders>
            <w:gridSpan w:val="11"/>
          </w:tcPr>
          <w:p>
            <w:pPr>
              <w:spacing w:after="0"/>
              <w:rPr>
                <w:rFonts w:ascii="Arial" w:cs="Arial" w:eastAsia="Arial" w:hAnsi="Arial"/>
                <w:sz w:val="18"/>
                <w:szCs w:val="18"/>
                <w:u w:val="single" w:color="auto"/>
                <w:color w:val="0000FF"/>
                <w:w w:val="93"/>
              </w:rPr>
            </w:pPr>
            <w:hyperlink r:id="rId92">
              <w:r>
                <w:rPr>
                  <w:rFonts w:ascii="Arial" w:cs="Arial" w:eastAsia="Arial" w:hAnsi="Arial"/>
                  <w:sz w:val="18"/>
                  <w:szCs w:val="18"/>
                  <w:u w:val="single" w:color="auto"/>
                  <w:color w:val="0000FF"/>
                  <w:w w:val="93"/>
                </w:rPr>
                <w:t>Registration Statement Form S-3 (File No. 333-221402) as filed with the SEC on November 7, 2017</w:t>
              </w:r>
            </w:hyperlink>
          </w:p>
        </w:tc>
        <w:tc>
          <w:tcPr>
            <w:tcW w:w="500" w:type="dxa"/>
            <w:vAlign w:val="bottom"/>
            <w:gridSpan w:val="8"/>
          </w:tcPr>
          <w:p>
            <w:pPr>
              <w:spacing w:after="0"/>
              <w:rPr>
                <w:sz w:val="19"/>
                <w:szCs w:val="19"/>
                <w:color w:val="auto"/>
              </w:rPr>
            </w:pP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40" w:type="dxa"/>
            <w:vAlign w:val="bottom"/>
          </w:tcPr>
          <w:p>
            <w:pPr>
              <w:jc w:val="center"/>
              <w:ind w:left="551"/>
              <w:spacing w:after="0"/>
              <w:rPr>
                <w:sz w:val="20"/>
                <w:szCs w:val="20"/>
                <w:color w:val="auto"/>
              </w:rPr>
            </w:pPr>
            <w:r>
              <w:rPr>
                <w:rFonts w:ascii="Arial" w:cs="Arial" w:eastAsia="Arial" w:hAnsi="Arial"/>
                <w:sz w:val="18"/>
                <w:szCs w:val="18"/>
                <w:color w:val="auto"/>
                <w:w w:val="87"/>
              </w:rPr>
              <w:t>4.4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80" w:type="dxa"/>
            <w:vAlign w:val="bottom"/>
            <w:gridSpan w:val="21"/>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Form of Subordinated Indenture, incorporated herein by reference to the corresponding exhibit to Registrant's</w:t>
              </w:r>
            </w:hyperlink>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00" w:type="dxa"/>
            <w:vAlign w:val="bottom"/>
            <w:tcBorders>
              <w:top w:val="single" w:sz="8" w:color="0000FF"/>
            </w:tcBorders>
            <w:gridSpan w:val="19"/>
          </w:tcPr>
          <w:p>
            <w:pPr>
              <w:spacing w:after="0"/>
              <w:rPr>
                <w:rFonts w:ascii="Arial" w:cs="Arial" w:eastAsia="Arial" w:hAnsi="Arial"/>
                <w:sz w:val="18"/>
                <w:szCs w:val="18"/>
                <w:u w:val="single" w:color="auto"/>
                <w:color w:val="0000FF"/>
                <w:w w:val="99"/>
              </w:rPr>
            </w:pPr>
            <w:hyperlink r:id="rId93">
              <w:r>
                <w:rPr>
                  <w:rFonts w:ascii="Arial" w:cs="Arial" w:eastAsia="Arial" w:hAnsi="Arial"/>
                  <w:sz w:val="18"/>
                  <w:szCs w:val="18"/>
                  <w:u w:val="single" w:color="auto"/>
                  <w:color w:val="0000FF"/>
                  <w:w w:val="99"/>
                </w:rPr>
                <w:t>Registration Statement Form S-3 (File No. 333-221402) as filed with the SEC on November 7, 2017</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9" w:name="page80"/>
    <w:bookmarkEnd w:id="79"/>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91"/>
              </w:rPr>
              <w:t>4.5#</w:t>
            </w:r>
          </w:p>
        </w:tc>
        <w:tc>
          <w:tcPr>
            <w:tcW w:w="8000" w:type="dxa"/>
            <w:vAlign w:val="bottom"/>
            <w:gridSpan w:val="32"/>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Form of Option Agreement under 1999 Stock Option Plan of Cumberland Pharmaceuticals Inc., incorporated</w:t>
              </w:r>
            </w:hyperlink>
          </w:p>
        </w:tc>
      </w:tr>
      <w:tr>
        <w:trPr>
          <w:trHeight w:val="156"/>
        </w:trPr>
        <w:tc>
          <w:tcPr>
            <w:tcW w:w="1200" w:type="dxa"/>
            <w:vAlign w:val="bottom"/>
          </w:tcPr>
          <w:p>
            <w:pPr>
              <w:spacing w:after="0"/>
              <w:rPr>
                <w:sz w:val="13"/>
                <w:szCs w:val="13"/>
                <w:color w:val="auto"/>
              </w:rPr>
            </w:pPr>
          </w:p>
        </w:tc>
        <w:tc>
          <w:tcPr>
            <w:tcW w:w="7880" w:type="dxa"/>
            <w:vAlign w:val="bottom"/>
            <w:tcBorders>
              <w:top w:val="single" w:sz="8" w:color="0000FF"/>
            </w:tcBorders>
            <w:gridSpan w:val="26"/>
          </w:tcPr>
          <w:p>
            <w:pPr>
              <w:spacing w:after="0" w:line="15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herein by reference to the corresponding exhibit to the Registrant’s Registration Statement on Form S-1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No. 333-142535) as filed with the SEC on May 1, 2007</w:t>
              </w:r>
            </w:hyperlink>
          </w:p>
        </w:tc>
        <w:tc>
          <w:tcPr>
            <w:tcW w:w="38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87"/>
              </w:rPr>
              <w:t>4.6.1#</w:t>
            </w:r>
          </w:p>
        </w:tc>
        <w:tc>
          <w:tcPr>
            <w:tcW w:w="8000" w:type="dxa"/>
            <w:vAlign w:val="bottom"/>
            <w:gridSpan w:val="32"/>
          </w:tcPr>
          <w:p>
            <w:pPr>
              <w:spacing w:after="0"/>
              <w:rPr>
                <w:rFonts w:ascii="Arial" w:cs="Arial" w:eastAsia="Arial" w:hAnsi="Arial"/>
                <w:sz w:val="18"/>
                <w:szCs w:val="18"/>
                <w:color w:val="0000FF"/>
                <w:w w:val="96"/>
              </w:rPr>
            </w:pPr>
            <w:hyperlink r:id="rId96">
              <w:r>
                <w:rPr>
                  <w:rFonts w:ascii="Arial" w:cs="Arial" w:eastAsia="Arial" w:hAnsi="Arial"/>
                  <w:sz w:val="18"/>
                  <w:szCs w:val="18"/>
                  <w:color w:val="0000FF"/>
                  <w:w w:val="96"/>
                </w:rPr>
                <w:t>Form of Incentive Stock Option Agreement under the Amended and Restated 2007 Long-Term Incentive</w:t>
              </w:r>
            </w:hyperlink>
          </w:p>
        </w:tc>
      </w:tr>
      <w:tr>
        <w:trPr>
          <w:trHeight w:val="156"/>
        </w:trPr>
        <w:tc>
          <w:tcPr>
            <w:tcW w:w="1200" w:type="dxa"/>
            <w:vAlign w:val="bottom"/>
          </w:tcPr>
          <w:p>
            <w:pPr>
              <w:spacing w:after="0"/>
              <w:rPr>
                <w:sz w:val="13"/>
                <w:szCs w:val="13"/>
                <w:color w:val="auto"/>
              </w:rPr>
            </w:pPr>
          </w:p>
        </w:tc>
        <w:tc>
          <w:tcPr>
            <w:tcW w:w="7560" w:type="dxa"/>
            <w:vAlign w:val="bottom"/>
            <w:tcBorders>
              <w:top w:val="single" w:sz="8" w:color="0000FF"/>
            </w:tcBorders>
            <w:gridSpan w:val="18"/>
          </w:tcPr>
          <w:p>
            <w:pPr>
              <w:spacing w:after="0" w:line="156" w:lineRule="exact"/>
              <w:rPr>
                <w:rFonts w:ascii="Arial" w:cs="Arial" w:eastAsia="Arial" w:hAnsi="Arial"/>
                <w:sz w:val="18"/>
                <w:szCs w:val="18"/>
                <w:color w:val="0000FF"/>
                <w:w w:val="98"/>
              </w:rPr>
            </w:pPr>
            <w:hyperlink r:id="rId96">
              <w:r>
                <w:rPr>
                  <w:rFonts w:ascii="Arial" w:cs="Arial" w:eastAsia="Arial" w:hAnsi="Arial"/>
                  <w:sz w:val="18"/>
                  <w:szCs w:val="18"/>
                  <w:color w:val="0000FF"/>
                  <w:w w:val="98"/>
                </w:rPr>
                <w:t>Compensation Plan of Cumberland Pharmaceuticals Inc. incorporated herein by reference to the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690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corresponding exhibit to the Registrant’s Annual Report on Form 10-K (File No. 001-33637) as</w:t>
              </w:r>
            </w:hyperlink>
          </w:p>
        </w:tc>
        <w:tc>
          <w:tcPr>
            <w:tcW w:w="1100" w:type="dxa"/>
            <w:vAlign w:val="bottom"/>
            <w:gridSpan w:val="22"/>
          </w:tcPr>
          <w:p>
            <w:pPr>
              <w:ind w:left="20"/>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filed with the</w:t>
              </w:r>
            </w:hyperlink>
          </w:p>
        </w:tc>
      </w:tr>
      <w:tr>
        <w:trPr>
          <w:trHeight w:val="155"/>
        </w:trPr>
        <w:tc>
          <w:tcPr>
            <w:tcW w:w="12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SEC on March 12, 2013</w:t>
              </w:r>
            </w:hyperlink>
          </w:p>
        </w:tc>
        <w:tc>
          <w:tcPr>
            <w:tcW w:w="61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87"/>
              </w:rPr>
              <w:t>4.6.2#</w:t>
            </w:r>
          </w:p>
        </w:tc>
        <w:tc>
          <w:tcPr>
            <w:tcW w:w="8000" w:type="dxa"/>
            <w:vAlign w:val="bottom"/>
            <w:gridSpan w:val="32"/>
          </w:tcPr>
          <w:p>
            <w:pPr>
              <w:spacing w:after="0"/>
              <w:rPr>
                <w:rFonts w:ascii="Arial" w:cs="Arial" w:eastAsia="Arial" w:hAnsi="Arial"/>
                <w:sz w:val="18"/>
                <w:szCs w:val="18"/>
                <w:color w:val="0000FF"/>
                <w:w w:val="91"/>
              </w:rPr>
            </w:pPr>
            <w:hyperlink r:id="rId97">
              <w:r>
                <w:rPr>
                  <w:rFonts w:ascii="Arial" w:cs="Arial" w:eastAsia="Arial" w:hAnsi="Arial"/>
                  <w:sz w:val="18"/>
                  <w:szCs w:val="18"/>
                  <w:color w:val="0000FF"/>
                  <w:w w:val="91"/>
                </w:rPr>
                <w:t>Form of Non-Statutory Stock Option Agreement under the Amended and Restated 2007 Long-Term Incentive</w:t>
              </w:r>
            </w:hyperlink>
          </w:p>
        </w:tc>
      </w:tr>
      <w:tr>
        <w:trPr>
          <w:trHeight w:val="156"/>
        </w:trPr>
        <w:tc>
          <w:tcPr>
            <w:tcW w:w="1200" w:type="dxa"/>
            <w:vAlign w:val="bottom"/>
          </w:tcPr>
          <w:p>
            <w:pPr>
              <w:spacing w:after="0"/>
              <w:rPr>
                <w:sz w:val="13"/>
                <w:szCs w:val="13"/>
                <w:color w:val="auto"/>
              </w:rPr>
            </w:pPr>
          </w:p>
        </w:tc>
        <w:tc>
          <w:tcPr>
            <w:tcW w:w="79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Compensation Plan of Cumberland Pharmaceuticals Inc. incorporated herein by reference to the</w:t>
              </w:r>
            </w:hyperlink>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690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corresponding exhibit to the Registrant’s Annual Report on Form 10-K (File No. 001-33637) as</w:t>
              </w:r>
            </w:hyperlink>
          </w:p>
        </w:tc>
        <w:tc>
          <w:tcPr>
            <w:tcW w:w="1100" w:type="dxa"/>
            <w:vAlign w:val="bottom"/>
            <w:gridSpan w:val="22"/>
          </w:tcPr>
          <w:p>
            <w:pPr>
              <w:ind w:left="20"/>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filed with the</w:t>
              </w:r>
            </w:hyperlink>
          </w:p>
        </w:tc>
      </w:tr>
      <w:tr>
        <w:trPr>
          <w:trHeight w:val="155"/>
        </w:trPr>
        <w:tc>
          <w:tcPr>
            <w:tcW w:w="12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SEC on March 12, 2013</w:t>
              </w:r>
            </w:hyperlink>
          </w:p>
        </w:tc>
        <w:tc>
          <w:tcPr>
            <w:tcW w:w="61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91"/>
              </w:rPr>
              <w:t>4.7#</w:t>
            </w:r>
          </w:p>
        </w:tc>
        <w:tc>
          <w:tcPr>
            <w:tcW w:w="8000" w:type="dxa"/>
            <w:vAlign w:val="bottom"/>
            <w:gridSpan w:val="32"/>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Non-Statutory Stock Option Agreement under the Amended and Restated 2007 Directors’</w:t>
              </w:r>
            </w:hyperlink>
          </w:p>
        </w:tc>
      </w:tr>
      <w:tr>
        <w:trPr>
          <w:trHeight w:val="156"/>
        </w:trPr>
        <w:tc>
          <w:tcPr>
            <w:tcW w:w="1200" w:type="dxa"/>
            <w:vAlign w:val="bottom"/>
          </w:tcPr>
          <w:p>
            <w:pPr>
              <w:spacing w:after="0"/>
              <w:rPr>
                <w:sz w:val="13"/>
                <w:szCs w:val="13"/>
                <w:color w:val="auto"/>
              </w:rPr>
            </w:pPr>
          </w:p>
        </w:tc>
        <w:tc>
          <w:tcPr>
            <w:tcW w:w="710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Compensation Plan of Cumberland Pharmaceuticals Inc. incorporated herein by reference to the</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690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corresponding exhibit to the Registrant’s Annual Report on Form 10-K (File No. 001-33637) as</w:t>
              </w:r>
            </w:hyperlink>
          </w:p>
        </w:tc>
        <w:tc>
          <w:tcPr>
            <w:tcW w:w="1100" w:type="dxa"/>
            <w:vAlign w:val="bottom"/>
            <w:gridSpan w:val="22"/>
          </w:tcPr>
          <w:p>
            <w:pPr>
              <w:ind w:left="20"/>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filed with the</w:t>
              </w:r>
            </w:hyperlink>
          </w:p>
        </w:tc>
      </w:tr>
      <w:tr>
        <w:trPr>
          <w:trHeight w:val="155"/>
        </w:trPr>
        <w:tc>
          <w:tcPr>
            <w:tcW w:w="12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SEC on March 12, 2013</w:t>
              </w:r>
            </w:hyperlink>
          </w:p>
        </w:tc>
        <w:tc>
          <w:tcPr>
            <w:tcW w:w="61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4.8</w:t>
            </w:r>
          </w:p>
        </w:tc>
        <w:tc>
          <w:tcPr>
            <w:tcW w:w="8000" w:type="dxa"/>
            <w:vAlign w:val="bottom"/>
            <w:gridSpan w:val="32"/>
          </w:tcPr>
          <w:p>
            <w:pPr>
              <w:spacing w:after="0"/>
              <w:rPr>
                <w:rFonts w:ascii="Arial" w:cs="Arial" w:eastAsia="Arial" w:hAnsi="Arial"/>
                <w:sz w:val="18"/>
                <w:szCs w:val="18"/>
                <w:color w:val="0000FF"/>
                <w:w w:val="93"/>
              </w:rPr>
            </w:pPr>
            <w:hyperlink r:id="rId99">
              <w:r>
                <w:rPr>
                  <w:rFonts w:ascii="Arial" w:cs="Arial" w:eastAsia="Arial" w:hAnsi="Arial"/>
                  <w:sz w:val="18"/>
                  <w:szCs w:val="18"/>
                  <w:color w:val="0000FF"/>
                  <w:w w:val="93"/>
                </w:rPr>
                <w:t>Warrant to Purchase Common Stock of Cumberland Pharmaceuticals Inc., issued to Bank of America, N.A.</w:t>
              </w:r>
            </w:hyperlink>
          </w:p>
        </w:tc>
      </w:tr>
      <w:tr>
        <w:trPr>
          <w:trHeight w:val="156"/>
        </w:trPr>
        <w:tc>
          <w:tcPr>
            <w:tcW w:w="1200" w:type="dxa"/>
            <w:vAlign w:val="bottom"/>
          </w:tcPr>
          <w:p>
            <w:pPr>
              <w:spacing w:after="0"/>
              <w:rPr>
                <w:sz w:val="13"/>
                <w:szCs w:val="13"/>
                <w:color w:val="auto"/>
              </w:rPr>
            </w:pPr>
          </w:p>
        </w:tc>
        <w:tc>
          <w:tcPr>
            <w:tcW w:w="774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on July 22, 2009, incorporated herein by reference to the corresponding exhibit to the Registrant’s Annual</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76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Report on Form 10-K (File No. 001-33637) as filed with the SEC on March 19, 2010</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4.9</w:t>
            </w:r>
          </w:p>
        </w:tc>
        <w:tc>
          <w:tcPr>
            <w:tcW w:w="8000" w:type="dxa"/>
            <w:vAlign w:val="bottom"/>
            <w:gridSpan w:val="32"/>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Form of Senior Indenture, incorporated herein by reference to the corresponding exhibit to Registrant's</w:t>
              </w:r>
            </w:hyperlink>
          </w:p>
        </w:tc>
      </w:tr>
      <w:tr>
        <w:trPr>
          <w:trHeight w:val="224"/>
        </w:trPr>
        <w:tc>
          <w:tcPr>
            <w:tcW w:w="1200" w:type="dxa"/>
            <w:vAlign w:val="bottom"/>
          </w:tcPr>
          <w:p>
            <w:pPr>
              <w:spacing w:after="0"/>
              <w:rPr>
                <w:sz w:val="19"/>
                <w:szCs w:val="19"/>
                <w:color w:val="auto"/>
              </w:rPr>
            </w:pPr>
          </w:p>
        </w:tc>
        <w:tc>
          <w:tcPr>
            <w:tcW w:w="7400" w:type="dxa"/>
            <w:vAlign w:val="bottom"/>
            <w:tcBorders>
              <w:top w:val="single" w:sz="8" w:color="0000FF"/>
            </w:tcBorders>
            <w:gridSpan w:val="14"/>
          </w:tcPr>
          <w:p>
            <w:pPr>
              <w:spacing w:after="0"/>
              <w:rPr>
                <w:rFonts w:ascii="Arial" w:cs="Arial" w:eastAsia="Arial" w:hAnsi="Arial"/>
                <w:sz w:val="18"/>
                <w:szCs w:val="18"/>
                <w:u w:val="single" w:color="auto"/>
                <w:color w:val="0000FF"/>
                <w:w w:val="90"/>
              </w:rPr>
            </w:pPr>
            <w:hyperlink r:id="rId92">
              <w:r>
                <w:rPr>
                  <w:rFonts w:ascii="Arial" w:cs="Arial" w:eastAsia="Arial" w:hAnsi="Arial"/>
                  <w:sz w:val="18"/>
                  <w:szCs w:val="18"/>
                  <w:u w:val="single" w:color="auto"/>
                  <w:color w:val="0000FF"/>
                  <w:w w:val="90"/>
                </w:rPr>
                <w:t>Registration Statement Form S-3 (File No. 333-184091) as filed with the SEC on September 25, 2012.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5"/>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91"/>
              </w:rPr>
              <w:t>4.10</w:t>
            </w:r>
          </w:p>
        </w:tc>
        <w:tc>
          <w:tcPr>
            <w:tcW w:w="8000" w:type="dxa"/>
            <w:vAlign w:val="bottom"/>
            <w:gridSpan w:val="32"/>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Form of Subordinated Indenture, incorporated herein by reference to the corresponding exhibit to Registrant's</w:t>
              </w:r>
            </w:hyperlink>
          </w:p>
        </w:tc>
      </w:tr>
      <w:tr>
        <w:trPr>
          <w:trHeight w:val="224"/>
        </w:trPr>
        <w:tc>
          <w:tcPr>
            <w:tcW w:w="1200" w:type="dxa"/>
            <w:vAlign w:val="bottom"/>
          </w:tcPr>
          <w:p>
            <w:pPr>
              <w:spacing w:after="0"/>
              <w:rPr>
                <w:sz w:val="19"/>
                <w:szCs w:val="19"/>
                <w:color w:val="auto"/>
              </w:rPr>
            </w:pPr>
          </w:p>
        </w:tc>
        <w:tc>
          <w:tcPr>
            <w:tcW w:w="7940" w:type="dxa"/>
            <w:vAlign w:val="bottom"/>
            <w:tcBorders>
              <w:top w:val="single" w:sz="8" w:color="0000FF"/>
            </w:tcBorders>
            <w:gridSpan w:val="29"/>
          </w:tcPr>
          <w:p>
            <w:pPr>
              <w:spacing w:after="0"/>
              <w:rPr>
                <w:rFonts w:ascii="Arial" w:cs="Arial" w:eastAsia="Arial" w:hAnsi="Arial"/>
                <w:sz w:val="18"/>
                <w:szCs w:val="18"/>
                <w:u w:val="single" w:color="auto"/>
                <w:color w:val="0000FF"/>
                <w:w w:val="98"/>
              </w:rPr>
            </w:pPr>
            <w:hyperlink r:id="rId93">
              <w:r>
                <w:rPr>
                  <w:rFonts w:ascii="Arial" w:cs="Arial" w:eastAsia="Arial" w:hAnsi="Arial"/>
                  <w:sz w:val="18"/>
                  <w:szCs w:val="18"/>
                  <w:u w:val="single" w:color="auto"/>
                  <w:color w:val="0000FF"/>
                  <w:w w:val="98"/>
                </w:rPr>
                <w:t>Registration Statement Form S-3 (File No. 333-184091) as filed with the SEC on September 25, 2012</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6"/>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5"/>
              </w:rPr>
              <w:t>4.11</w:t>
            </w:r>
          </w:p>
        </w:tc>
        <w:tc>
          <w:tcPr>
            <w:tcW w:w="8000" w:type="dxa"/>
            <w:vAlign w:val="bottom"/>
            <w:gridSpan w:val="32"/>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Description of Cumberland Pharmaceutical's Common Stock</w:t>
              </w:r>
            </w:hyperlink>
          </w:p>
        </w:tc>
      </w:tr>
      <w:tr>
        <w:trPr>
          <w:trHeight w:val="243"/>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88"/>
              </w:rPr>
              <w:t>10.7†</w:t>
            </w:r>
          </w:p>
        </w:tc>
        <w:tc>
          <w:tcPr>
            <w:tcW w:w="8000" w:type="dxa"/>
            <w:vAlign w:val="bottom"/>
            <w:gridSpan w:val="32"/>
          </w:tcPr>
          <w:p>
            <w:pP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Exclusive Distribution Agreement, effective as of July 1, 2010, by and between Cardinal Health 105, Inc. and</w:t>
              </w:r>
            </w:hyperlink>
          </w:p>
        </w:tc>
      </w:tr>
      <w:tr>
        <w:trPr>
          <w:trHeight w:val="155"/>
        </w:trPr>
        <w:tc>
          <w:tcPr>
            <w:tcW w:w="1200" w:type="dxa"/>
            <w:vAlign w:val="bottom"/>
          </w:tcPr>
          <w:p>
            <w:pPr>
              <w:spacing w:after="0"/>
              <w:rPr>
                <w:sz w:val="13"/>
                <w:szCs w:val="13"/>
                <w:color w:val="auto"/>
              </w:rPr>
            </w:pPr>
          </w:p>
        </w:tc>
        <w:tc>
          <w:tcPr>
            <w:tcW w:w="7920" w:type="dxa"/>
            <w:vAlign w:val="bottom"/>
            <w:tcBorders>
              <w:top w:val="single" w:sz="8" w:color="0000FF"/>
            </w:tcBorders>
            <w:gridSpan w:val="28"/>
          </w:tcPr>
          <w:p>
            <w:pPr>
              <w:spacing w:after="0" w:line="156"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Cumberland Pharmaceuticals Inc., incorporated herein by reference to the corresponding exhibit of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8000" w:type="dxa"/>
            <w:vAlign w:val="bottom"/>
            <w:gridSpan w:val="32"/>
          </w:tcPr>
          <w:p>
            <w:pPr>
              <w:spacing w:after="0"/>
              <w:rPr>
                <w:rFonts w:ascii="Arial" w:cs="Arial" w:eastAsia="Arial" w:hAnsi="Arial"/>
                <w:sz w:val="18"/>
                <w:szCs w:val="18"/>
                <w:u w:val="single" w:color="auto"/>
                <w:color w:val="0000FF"/>
                <w:w w:val="96"/>
              </w:rPr>
            </w:pPr>
            <w:hyperlink r:id="rId100">
              <w:r>
                <w:rPr>
                  <w:rFonts w:ascii="Arial" w:cs="Arial" w:eastAsia="Arial" w:hAnsi="Arial"/>
                  <w:sz w:val="18"/>
                  <w:szCs w:val="18"/>
                  <w:u w:val="single" w:color="auto"/>
                  <w:color w:val="0000FF"/>
                  <w:w w:val="96"/>
                </w:rPr>
                <w:t>Registrant’s Current Report on Form 8-K (File No. 001-33637) as filed with the SEC on August 13, 2010</w:t>
              </w:r>
            </w:hyperlink>
          </w:p>
        </w:tc>
      </w:tr>
      <w:tr>
        <w:trPr>
          <w:trHeight w:val="215"/>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9"/>
              </w:rPr>
              <w:t>10.7.1†</w:t>
            </w:r>
          </w:p>
        </w:tc>
        <w:tc>
          <w:tcPr>
            <w:tcW w:w="7520" w:type="dxa"/>
            <w:vAlign w:val="bottom"/>
            <w:tcBorders>
              <w:bottom w:val="single" w:sz="8" w:color="0000FF"/>
            </w:tcBorders>
            <w:gridSpan w:val="16"/>
          </w:tcPr>
          <w:p>
            <w:pPr>
              <w:spacing w:after="0"/>
              <w:rPr>
                <w:rFonts w:ascii="Arial" w:cs="Arial" w:eastAsia="Arial" w:hAnsi="Arial"/>
                <w:sz w:val="18"/>
                <w:szCs w:val="18"/>
                <w:color w:val="0000FF"/>
                <w:w w:val="91"/>
              </w:rPr>
            </w:pPr>
            <w:hyperlink r:id="rId101">
              <w:r>
                <w:rPr>
                  <w:rFonts w:ascii="Arial" w:cs="Arial" w:eastAsia="Arial" w:hAnsi="Arial"/>
                  <w:sz w:val="18"/>
                  <w:szCs w:val="18"/>
                  <w:color w:val="0000FF"/>
                  <w:w w:val="91"/>
                </w:rPr>
                <w:t>First Amendment to Exclusive Distribution Agreement, dated March 31, 2013, by and between Cardinal</w:t>
              </w:r>
            </w:hyperlink>
          </w:p>
        </w:tc>
        <w:tc>
          <w:tcPr>
            <w:tcW w:w="480" w:type="dxa"/>
            <w:vAlign w:val="bottom"/>
            <w:gridSpan w:val="16"/>
          </w:tcPr>
          <w:p>
            <w:pPr>
              <w:spacing w:after="0"/>
              <w:rPr>
                <w:sz w:val="18"/>
                <w:szCs w:val="18"/>
                <w:color w:val="auto"/>
              </w:rPr>
            </w:pPr>
          </w:p>
        </w:tc>
      </w:tr>
      <w:tr>
        <w:trPr>
          <w:trHeight w:val="155"/>
        </w:trPr>
        <w:tc>
          <w:tcPr>
            <w:tcW w:w="1200" w:type="dxa"/>
            <w:vAlign w:val="bottom"/>
          </w:tcPr>
          <w:p>
            <w:pPr>
              <w:spacing w:after="0"/>
              <w:rPr>
                <w:sz w:val="13"/>
                <w:szCs w:val="13"/>
                <w:color w:val="auto"/>
              </w:rPr>
            </w:pPr>
          </w:p>
        </w:tc>
        <w:tc>
          <w:tcPr>
            <w:tcW w:w="8000" w:type="dxa"/>
            <w:vAlign w:val="bottom"/>
            <w:gridSpan w:val="32"/>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Health 105, Inc. and Cumberland Pharmaceuticals Inc., incorporated herein by reference to the corresponding</w:t>
              </w:r>
            </w:hyperlink>
          </w:p>
        </w:tc>
      </w:tr>
      <w:tr>
        <w:trPr>
          <w:trHeight w:val="142"/>
        </w:trPr>
        <w:tc>
          <w:tcPr>
            <w:tcW w:w="1200" w:type="dxa"/>
            <w:vAlign w:val="bottom"/>
          </w:tcPr>
          <w:p>
            <w:pPr>
              <w:spacing w:after="0"/>
              <w:rPr>
                <w:sz w:val="12"/>
                <w:szCs w:val="12"/>
                <w:color w:val="auto"/>
              </w:rPr>
            </w:pPr>
          </w:p>
        </w:tc>
        <w:tc>
          <w:tcPr>
            <w:tcW w:w="7960" w:type="dxa"/>
            <w:vAlign w:val="bottom"/>
            <w:tcBorders>
              <w:top w:val="single" w:sz="8" w:color="0000FF"/>
            </w:tcBorders>
            <w:gridSpan w:val="30"/>
          </w:tcPr>
          <w:p>
            <w:pPr>
              <w:spacing w:after="0" w:line="142" w:lineRule="exact"/>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exhibit of the Registrant's Current Report on Form 8-K (File No. 001-33637) as filed with the SEC on June 3,</w:t>
              </w:r>
            </w:hyperlink>
          </w:p>
        </w:tc>
        <w:tc>
          <w:tcPr>
            <w:tcW w:w="40" w:type="dxa"/>
            <w:vAlign w:val="bottom"/>
            <w:gridSpan w:val="2"/>
          </w:tcPr>
          <w:p>
            <w:pPr>
              <w:spacing w:after="0"/>
              <w:rPr>
                <w:sz w:val="12"/>
                <w:szCs w:val="12"/>
                <w:color w:val="auto"/>
              </w:rPr>
            </w:pPr>
          </w:p>
        </w:tc>
      </w:tr>
      <w:tr>
        <w:trPr>
          <w:trHeight w:val="189"/>
        </w:trPr>
        <w:tc>
          <w:tcPr>
            <w:tcW w:w="1200" w:type="dxa"/>
            <w:vAlign w:val="bottom"/>
          </w:tcPr>
          <w:p>
            <w:pPr>
              <w:spacing w:after="0"/>
              <w:rPr>
                <w:sz w:val="16"/>
                <w:szCs w:val="16"/>
                <w:color w:val="auto"/>
              </w:rPr>
            </w:pPr>
          </w:p>
        </w:tc>
        <w:tc>
          <w:tcPr>
            <w:tcW w:w="360" w:type="dxa"/>
            <w:vAlign w:val="bottom"/>
            <w:tcBorders>
              <w:bottom w:val="single" w:sz="8" w:color="0000FF"/>
            </w:tcBorders>
          </w:tcPr>
          <w:p>
            <w:pPr>
              <w:spacing w:after="0" w:line="189" w:lineRule="exact"/>
              <w:rPr>
                <w:rFonts w:ascii="Arial" w:cs="Arial" w:eastAsia="Arial" w:hAnsi="Arial"/>
                <w:sz w:val="18"/>
                <w:szCs w:val="18"/>
                <w:color w:val="0000FF"/>
                <w:w w:val="84"/>
              </w:rPr>
            </w:pPr>
            <w:hyperlink r:id="rId101">
              <w:r>
                <w:rPr>
                  <w:rFonts w:ascii="Arial" w:cs="Arial" w:eastAsia="Arial" w:hAnsi="Arial"/>
                  <w:sz w:val="18"/>
                  <w:szCs w:val="18"/>
                  <w:color w:val="0000FF"/>
                  <w:w w:val="84"/>
                </w:rPr>
                <w:t>2013</w:t>
              </w:r>
            </w:hyperlink>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0"/>
              </w:rPr>
              <w:t>10.10†</w:t>
            </w:r>
          </w:p>
        </w:tc>
        <w:tc>
          <w:tcPr>
            <w:tcW w:w="8000" w:type="dxa"/>
            <w:vAlign w:val="bottom"/>
            <w:gridSpan w:val="32"/>
          </w:tcPr>
          <w:p>
            <w:pPr>
              <w:spacing w:after="0"/>
              <w:rPr>
                <w:rFonts w:ascii="Arial" w:cs="Arial" w:eastAsia="Arial" w:hAnsi="Arial"/>
                <w:sz w:val="18"/>
                <w:szCs w:val="18"/>
                <w:color w:val="0000FF"/>
              </w:rPr>
            </w:pPr>
            <w:hyperlink r:id="rId102">
              <w:r>
                <w:rPr>
                  <w:rFonts w:ascii="Arial" w:cs="Arial" w:eastAsia="Arial" w:hAnsi="Arial"/>
                  <w:sz w:val="18"/>
                  <w:szCs w:val="18"/>
                  <w:color w:val="0000FF"/>
                </w:rPr>
                <w:t>License Agreement, dated May 28, 1999, by and between Vanderbilt University and Cumberland</w:t>
              </w:r>
            </w:hyperlink>
          </w:p>
        </w:tc>
      </w:tr>
      <w:tr>
        <w:trPr>
          <w:trHeight w:val="155"/>
        </w:trPr>
        <w:tc>
          <w:tcPr>
            <w:tcW w:w="120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8"/>
              </w:rPr>
            </w:pPr>
            <w:hyperlink r:id="rId102">
              <w:r>
                <w:rPr>
                  <w:rFonts w:ascii="Arial" w:cs="Arial" w:eastAsia="Arial" w:hAnsi="Arial"/>
                  <w:sz w:val="18"/>
                  <w:szCs w:val="18"/>
                  <w:color w:val="0000FF"/>
                  <w:w w:val="88"/>
                </w:rPr>
                <w:t>Pharmaceuticals Inc., incorporated herein by reference to the corresponding exhibit to Amendment</w:t>
              </w:r>
            </w:hyperlink>
          </w:p>
        </w:tc>
        <w:tc>
          <w:tcPr>
            <w:tcW w:w="780" w:type="dxa"/>
            <w:vAlign w:val="bottom"/>
            <w:tcBorders>
              <w:bottom w:val="single" w:sz="8" w:color="0000FF"/>
            </w:tcBorders>
            <w:gridSpan w:val="12"/>
          </w:tcPr>
          <w:p>
            <w:pPr>
              <w:ind w:left="180"/>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No. 3 of</w:t>
              </w:r>
            </w:hyperlink>
          </w:p>
        </w:tc>
        <w:tc>
          <w:tcPr>
            <w:tcW w:w="240" w:type="dxa"/>
            <w:vAlign w:val="bottom"/>
            <w:gridSpan w:val="9"/>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8000" w:type="dxa"/>
            <w:vAlign w:val="bottom"/>
            <w:gridSpan w:val="32"/>
          </w:tcPr>
          <w:p>
            <w:pPr>
              <w:spacing w:after="0" w:line="15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the Registrant’s Registration Statement on Form S-1 (File No. 333-142535) as filed with the SEC on July 11,</w:t>
              </w:r>
            </w:hyperlink>
          </w:p>
        </w:tc>
      </w:tr>
      <w:tr>
        <w:trPr>
          <w:trHeight w:val="155"/>
        </w:trPr>
        <w:tc>
          <w:tcPr>
            <w:tcW w:w="12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02">
              <w:r>
                <w:rPr>
                  <w:rFonts w:ascii="Arial" w:cs="Arial" w:eastAsia="Arial" w:hAnsi="Arial"/>
                  <w:sz w:val="18"/>
                  <w:szCs w:val="18"/>
                  <w:color w:val="0000FF"/>
                  <w:w w:val="84"/>
                </w:rPr>
                <w:t>2007</w:t>
              </w:r>
            </w:hyperlink>
          </w:p>
        </w:tc>
        <w:tc>
          <w:tcPr>
            <w:tcW w:w="13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87"/>
              </w:rPr>
              <w:t>10.11#</w:t>
            </w:r>
          </w:p>
        </w:tc>
        <w:tc>
          <w:tcPr>
            <w:tcW w:w="8000" w:type="dxa"/>
            <w:vAlign w:val="bottom"/>
            <w:gridSpan w:val="32"/>
          </w:tcPr>
          <w:p>
            <w:pPr>
              <w:spacing w:after="0"/>
              <w:rPr>
                <w:rFonts w:ascii="Arial" w:cs="Arial" w:eastAsia="Arial" w:hAnsi="Arial"/>
                <w:sz w:val="18"/>
                <w:szCs w:val="18"/>
                <w:color w:val="0000FF"/>
                <w:w w:val="93"/>
              </w:rPr>
            </w:pPr>
            <w:hyperlink w:anchor="page129">
              <w:r>
                <w:rPr>
                  <w:rFonts w:ascii="Arial" w:cs="Arial" w:eastAsia="Arial" w:hAnsi="Arial"/>
                  <w:sz w:val="18"/>
                  <w:szCs w:val="18"/>
                  <w:color w:val="0000FF"/>
                  <w:w w:val="93"/>
                </w:rPr>
                <w:t>Employment Agreement dated March 8, 2021, effective as of January 1, 2021, by and between A.J. Kazimi</w:t>
              </w:r>
            </w:hyperlink>
          </w:p>
        </w:tc>
      </w:tr>
      <w:tr>
        <w:trPr>
          <w:trHeight w:val="155"/>
        </w:trPr>
        <w:tc>
          <w:tcPr>
            <w:tcW w:w="12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129">
              <w:r>
                <w:rPr>
                  <w:rFonts w:ascii="Arial" w:cs="Arial" w:eastAsia="Arial" w:hAnsi="Arial"/>
                  <w:sz w:val="18"/>
                  <w:szCs w:val="18"/>
                  <w:color w:val="0000FF"/>
                  <w:w w:val="89"/>
                </w:rPr>
                <w:t>and Cumberland Pharmaceuticals Inc.</w:t>
              </w:r>
            </w:hyperlink>
          </w:p>
        </w:tc>
        <w:tc>
          <w:tcPr>
            <w:tcW w:w="4980" w:type="dxa"/>
            <w:vAlign w:val="bottom"/>
            <w:tcBorders>
              <w:top w:val="single" w:sz="8" w:color="0000FF"/>
            </w:tcBorders>
            <w:gridSpan w:val="18"/>
          </w:tcPr>
          <w:p>
            <w:pPr>
              <w:spacing w:after="0"/>
              <w:rPr>
                <w:sz w:val="13"/>
                <w:szCs w:val="13"/>
                <w:color w:val="auto"/>
              </w:rPr>
            </w:pPr>
          </w:p>
        </w:tc>
        <w:tc>
          <w:tcPr>
            <w:tcW w:w="14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9"/>
              </w:rPr>
              <w:t>10 .12#</w:t>
            </w:r>
          </w:p>
        </w:tc>
        <w:tc>
          <w:tcPr>
            <w:tcW w:w="8000" w:type="dxa"/>
            <w:vAlign w:val="bottom"/>
            <w:gridSpan w:val="32"/>
          </w:tcPr>
          <w:p>
            <w:pPr>
              <w:spacing w:after="0"/>
              <w:rPr>
                <w:rFonts w:ascii="Arial" w:cs="Arial" w:eastAsia="Arial" w:hAnsi="Arial"/>
                <w:sz w:val="18"/>
                <w:szCs w:val="18"/>
                <w:color w:val="0000FF"/>
                <w:w w:val="95"/>
              </w:rPr>
            </w:pPr>
            <w:hyperlink w:anchor="page135">
              <w:r>
                <w:rPr>
                  <w:rFonts w:ascii="Arial" w:cs="Arial" w:eastAsia="Arial" w:hAnsi="Arial"/>
                  <w:sz w:val="18"/>
                  <w:szCs w:val="18"/>
                  <w:u w:val="single" w:color="auto"/>
                  <w:color w:val="0000FF"/>
                  <w:w w:val="95"/>
                </w:rPr>
                <w:t>Employment Agreement dated March 8,</w:t>
              </w:r>
              <w:r>
                <w:rPr>
                  <w:rFonts w:ascii="Arial" w:cs="Arial" w:eastAsia="Arial" w:hAnsi="Arial"/>
                  <w:sz w:val="18"/>
                  <w:szCs w:val="18"/>
                  <w:color w:val="0000FF"/>
                  <w:w w:val="95"/>
                </w:rPr>
                <w:t xml:space="preserve"> 2021, effective as of January 1, 2021, by and between Martin E.</w:t>
              </w:r>
            </w:hyperlink>
          </w:p>
        </w:tc>
      </w:tr>
      <w:tr>
        <w:trPr>
          <w:trHeight w:val="155"/>
        </w:trPr>
        <w:tc>
          <w:tcPr>
            <w:tcW w:w="1200" w:type="dxa"/>
            <w:vAlign w:val="bottom"/>
          </w:tcPr>
          <w:p>
            <w:pPr>
              <w:spacing w:after="0"/>
              <w:rPr>
                <w:sz w:val="13"/>
                <w:szCs w:val="13"/>
                <w:color w:val="auto"/>
              </w:rPr>
            </w:pPr>
          </w:p>
        </w:tc>
        <w:tc>
          <w:tcPr>
            <w:tcW w:w="2860" w:type="dxa"/>
            <w:vAlign w:val="bottom"/>
            <w:tcBorders>
              <w:bottom w:val="single" w:sz="8" w:color="0000FF"/>
            </w:tcBorders>
            <w:gridSpan w:val="4"/>
          </w:tcPr>
          <w:p>
            <w:pPr>
              <w:spacing w:after="0" w:line="156" w:lineRule="exact"/>
              <w:rPr>
                <w:rFonts w:ascii="Arial" w:cs="Arial" w:eastAsia="Arial" w:hAnsi="Arial"/>
                <w:sz w:val="18"/>
                <w:szCs w:val="18"/>
                <w:color w:val="0000FF"/>
                <w:w w:val="83"/>
              </w:rPr>
            </w:pPr>
            <w:hyperlink w:anchor="page135">
              <w:r>
                <w:rPr>
                  <w:rFonts w:ascii="Arial" w:cs="Arial" w:eastAsia="Arial" w:hAnsi="Arial"/>
                  <w:sz w:val="18"/>
                  <w:szCs w:val="18"/>
                  <w:color w:val="0000FF"/>
                  <w:w w:val="83"/>
                </w:rPr>
                <w:t>Cearnal and Cumberland Pharmaceuticals</w:t>
              </w:r>
            </w:hyperlink>
          </w:p>
        </w:tc>
        <w:tc>
          <w:tcPr>
            <w:tcW w:w="480" w:type="dxa"/>
            <w:vAlign w:val="bottom"/>
            <w:tcBorders>
              <w:top w:val="single" w:sz="8" w:color="0000FF"/>
              <w:bottom w:val="single" w:sz="8" w:color="0000FF"/>
            </w:tcBorders>
            <w:gridSpan w:val="2"/>
          </w:tcPr>
          <w:p>
            <w:pPr>
              <w:ind w:left="200"/>
              <w:spacing w:after="0" w:line="156" w:lineRule="exact"/>
              <w:rPr>
                <w:rFonts w:ascii="Arial" w:cs="Arial" w:eastAsia="Arial" w:hAnsi="Arial"/>
                <w:sz w:val="18"/>
                <w:szCs w:val="18"/>
                <w:color w:val="0000FF"/>
                <w:w w:val="89"/>
              </w:rPr>
            </w:pPr>
            <w:hyperlink w:anchor="page135">
              <w:r>
                <w:rPr>
                  <w:rFonts w:ascii="Arial" w:cs="Arial" w:eastAsia="Arial" w:hAnsi="Arial"/>
                  <w:sz w:val="18"/>
                  <w:szCs w:val="18"/>
                  <w:color w:val="0000FF"/>
                  <w:w w:val="89"/>
                </w:rPr>
                <w:t>Inc.</w:t>
              </w:r>
            </w:hyperlink>
          </w:p>
        </w:tc>
        <w:tc>
          <w:tcPr>
            <w:tcW w:w="4200" w:type="dxa"/>
            <w:vAlign w:val="bottom"/>
            <w:tcBorders>
              <w:top w:val="single" w:sz="8" w:color="0000FF"/>
            </w:tcBorders>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4"/>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0"/>
              </w:rPr>
              <w:t>10.13#</w:t>
            </w:r>
          </w:p>
        </w:tc>
        <w:tc>
          <w:tcPr>
            <w:tcW w:w="8000" w:type="dxa"/>
            <w:vAlign w:val="bottom"/>
            <w:gridSpan w:val="32"/>
          </w:tcPr>
          <w:p>
            <w:pPr>
              <w:spacing w:after="0"/>
              <w:rPr>
                <w:rFonts w:ascii="Arial" w:cs="Arial" w:eastAsia="Arial" w:hAnsi="Arial"/>
                <w:sz w:val="18"/>
                <w:szCs w:val="18"/>
                <w:color w:val="0000FF"/>
                <w:w w:val="92"/>
              </w:rPr>
            </w:pPr>
            <w:hyperlink w:anchor="page141">
              <w:r>
                <w:rPr>
                  <w:rFonts w:ascii="Arial" w:cs="Arial" w:eastAsia="Arial" w:hAnsi="Arial"/>
                  <w:sz w:val="18"/>
                  <w:szCs w:val="18"/>
                  <w:u w:val="single" w:color="auto"/>
                  <w:color w:val="0000FF"/>
                  <w:w w:val="92"/>
                </w:rPr>
                <w:t>Employment Agreement dated March 8,</w:t>
              </w:r>
              <w:r>
                <w:rPr>
                  <w:rFonts w:ascii="Arial" w:cs="Arial" w:eastAsia="Arial" w:hAnsi="Arial"/>
                  <w:sz w:val="18"/>
                  <w:szCs w:val="18"/>
                  <w:color w:val="0000FF"/>
                  <w:w w:val="92"/>
                </w:rPr>
                <w:t xml:space="preserve"> 2021, effective as of January 1, 2021, by and between Leo B. Pavliv</w:t>
              </w:r>
            </w:hyperlink>
          </w:p>
        </w:tc>
      </w:tr>
      <w:tr>
        <w:trPr>
          <w:trHeight w:val="155"/>
        </w:trPr>
        <w:tc>
          <w:tcPr>
            <w:tcW w:w="1200" w:type="dxa"/>
            <w:vAlign w:val="bottom"/>
          </w:tcPr>
          <w:p>
            <w:pPr>
              <w:spacing w:after="0"/>
              <w:rPr>
                <w:sz w:val="13"/>
                <w:szCs w:val="13"/>
                <w:color w:val="auto"/>
              </w:rPr>
            </w:pPr>
          </w:p>
        </w:tc>
        <w:tc>
          <w:tcPr>
            <w:tcW w:w="2740" w:type="dxa"/>
            <w:vAlign w:val="bottom"/>
            <w:tcBorders>
              <w:bottom w:val="single" w:sz="8" w:color="0000FF"/>
            </w:tcBorders>
            <w:gridSpan w:val="3"/>
          </w:tcPr>
          <w:p>
            <w:pPr>
              <w:spacing w:after="0" w:line="156" w:lineRule="exact"/>
              <w:rPr>
                <w:rFonts w:ascii="Arial" w:cs="Arial" w:eastAsia="Arial" w:hAnsi="Arial"/>
                <w:sz w:val="18"/>
                <w:szCs w:val="18"/>
                <w:color w:val="0000FF"/>
                <w:w w:val="89"/>
              </w:rPr>
            </w:pPr>
            <w:hyperlink w:anchor="page141">
              <w:r>
                <w:rPr>
                  <w:rFonts w:ascii="Arial" w:cs="Arial" w:eastAsia="Arial" w:hAnsi="Arial"/>
                  <w:sz w:val="18"/>
                  <w:szCs w:val="18"/>
                  <w:color w:val="0000FF"/>
                  <w:w w:val="89"/>
                </w:rPr>
                <w:t>and Cumberland Pharmaceuticals Inc.</w:t>
              </w:r>
            </w:hyperlink>
          </w:p>
        </w:tc>
        <w:tc>
          <w:tcPr>
            <w:tcW w:w="1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140" w:type="dxa"/>
            <w:vAlign w:val="bottom"/>
            <w:tcBorders>
              <w:top w:val="single" w:sz="8" w:color="0000FF"/>
            </w:tcBorders>
            <w:gridSpan w:val="8"/>
          </w:tcPr>
          <w:p>
            <w:pPr>
              <w:spacing w:after="0"/>
              <w:rPr>
                <w:sz w:val="13"/>
                <w:szCs w:val="13"/>
                <w:color w:val="auto"/>
              </w:rPr>
            </w:pPr>
          </w:p>
        </w:tc>
        <w:tc>
          <w:tcPr>
            <w:tcW w:w="120" w:type="dxa"/>
            <w:vAlign w:val="bottom"/>
            <w:tcBorders>
              <w:top w:val="single" w:sz="8" w:color="0000FF"/>
            </w:tcBorders>
            <w:gridSpan w:val="4"/>
          </w:tcPr>
          <w:p>
            <w:pPr>
              <w:spacing w:after="0"/>
              <w:rPr>
                <w:sz w:val="13"/>
                <w:szCs w:val="13"/>
                <w:color w:val="auto"/>
              </w:rPr>
            </w:pPr>
          </w:p>
        </w:tc>
        <w:tc>
          <w:tcPr>
            <w:tcW w:w="240" w:type="dxa"/>
            <w:vAlign w:val="bottom"/>
            <w:tcBorders>
              <w:top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0"/>
              </w:rPr>
              <w:t>10.14#</w:t>
            </w:r>
          </w:p>
        </w:tc>
        <w:tc>
          <w:tcPr>
            <w:tcW w:w="8000" w:type="dxa"/>
            <w:vAlign w:val="bottom"/>
            <w:gridSpan w:val="32"/>
          </w:tcPr>
          <w:p>
            <w:pPr>
              <w:spacing w:after="0"/>
              <w:rPr>
                <w:rFonts w:ascii="Arial" w:cs="Arial" w:eastAsia="Arial" w:hAnsi="Arial"/>
                <w:sz w:val="18"/>
                <w:szCs w:val="18"/>
                <w:color w:val="0000FF"/>
                <w:w w:val="94"/>
              </w:rPr>
            </w:pPr>
            <w:hyperlink w:anchor="page147">
              <w:r>
                <w:rPr>
                  <w:rFonts w:ascii="Arial" w:cs="Arial" w:eastAsia="Arial" w:hAnsi="Arial"/>
                  <w:sz w:val="18"/>
                  <w:szCs w:val="18"/>
                  <w:u w:val="single" w:color="auto"/>
                  <w:color w:val="0000FF"/>
                  <w:w w:val="94"/>
                </w:rPr>
                <w:t>Employment Agreement dated March 8,</w:t>
              </w:r>
              <w:r>
                <w:rPr>
                  <w:rFonts w:ascii="Arial" w:cs="Arial" w:eastAsia="Arial" w:hAnsi="Arial"/>
                  <w:sz w:val="18"/>
                  <w:szCs w:val="18"/>
                  <w:color w:val="0000FF"/>
                  <w:w w:val="94"/>
                </w:rPr>
                <w:t xml:space="preserve"> 2021, effective as of January 1, 2021, by and between Michael P.</w:t>
              </w:r>
            </w:hyperlink>
          </w:p>
        </w:tc>
      </w:tr>
      <w:tr>
        <w:trPr>
          <w:trHeight w:val="156"/>
        </w:trPr>
        <w:tc>
          <w:tcPr>
            <w:tcW w:w="1200" w:type="dxa"/>
            <w:vAlign w:val="bottom"/>
          </w:tcPr>
          <w:p>
            <w:pPr>
              <w:spacing w:after="0"/>
              <w:rPr>
                <w:sz w:val="13"/>
                <w:szCs w:val="13"/>
                <w:color w:val="auto"/>
              </w:rPr>
            </w:pPr>
          </w:p>
        </w:tc>
        <w:tc>
          <w:tcPr>
            <w:tcW w:w="2860" w:type="dxa"/>
            <w:vAlign w:val="bottom"/>
            <w:gridSpan w:val="4"/>
          </w:tcPr>
          <w:p>
            <w:pPr>
              <w:spacing w:after="0" w:line="156" w:lineRule="exact"/>
              <w:rPr>
                <w:rFonts w:ascii="Arial" w:cs="Arial" w:eastAsia="Arial" w:hAnsi="Arial"/>
                <w:sz w:val="18"/>
                <w:szCs w:val="18"/>
                <w:color w:val="0000FF"/>
                <w:w w:val="84"/>
              </w:rPr>
            </w:pPr>
            <w:hyperlink w:anchor="page147">
              <w:r>
                <w:rPr>
                  <w:rFonts w:ascii="Arial" w:cs="Arial" w:eastAsia="Arial" w:hAnsi="Arial"/>
                  <w:sz w:val="18"/>
                  <w:szCs w:val="18"/>
                  <w:color w:val="0000FF"/>
                  <w:w w:val="84"/>
                </w:rPr>
                <w:t>Bonner and Cumberland Pharmaceuticals</w:t>
              </w:r>
            </w:hyperlink>
          </w:p>
        </w:tc>
        <w:tc>
          <w:tcPr>
            <w:tcW w:w="4760" w:type="dxa"/>
            <w:vAlign w:val="bottom"/>
            <w:tcBorders>
              <w:top w:val="single" w:sz="8" w:color="0000FF"/>
            </w:tcBorders>
            <w:gridSpan w:val="15"/>
          </w:tcPr>
          <w:p>
            <w:pPr>
              <w:ind w:left="180"/>
              <w:spacing w:after="0" w:line="156" w:lineRule="exact"/>
              <w:rPr>
                <w:rFonts w:ascii="Arial" w:cs="Arial" w:eastAsia="Arial" w:hAnsi="Arial"/>
                <w:sz w:val="18"/>
                <w:szCs w:val="18"/>
                <w:color w:val="0000FF"/>
              </w:rPr>
            </w:pPr>
            <w:hyperlink w:anchor="page147">
              <w:r>
                <w:rPr>
                  <w:rFonts w:ascii="Arial" w:cs="Arial" w:eastAsia="Arial" w:hAnsi="Arial"/>
                  <w:sz w:val="18"/>
                  <w:szCs w:val="18"/>
                  <w:color w:val="0000FF"/>
                </w:rPr>
                <w:t>Inc.</w:t>
              </w:r>
            </w:hyperlink>
          </w:p>
        </w:tc>
        <w:tc>
          <w:tcPr>
            <w:tcW w:w="380" w:type="dxa"/>
            <w:vAlign w:val="bottom"/>
            <w:gridSpan w:val="13"/>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500" w:type="dxa"/>
            <w:vAlign w:val="bottom"/>
            <w:gridSpan w:val="17"/>
          </w:tcPr>
          <w:p>
            <w:pPr>
              <w:spacing w:after="0" w:line="20" w:lineRule="exact"/>
              <w:rPr>
                <w:sz w:val="1"/>
                <w:szCs w:val="1"/>
                <w:color w:val="auto"/>
              </w:rPr>
            </w:pPr>
          </w:p>
        </w:tc>
      </w:tr>
      <w:tr>
        <w:trPr>
          <w:trHeight w:val="264"/>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0"/>
              </w:rPr>
              <w:t>10.15#</w:t>
            </w:r>
          </w:p>
        </w:tc>
        <w:tc>
          <w:tcPr>
            <w:tcW w:w="8000" w:type="dxa"/>
            <w:vAlign w:val="bottom"/>
            <w:gridSpan w:val="32"/>
          </w:tcPr>
          <w:p>
            <w:pPr>
              <w:spacing w:after="0"/>
              <w:rPr>
                <w:rFonts w:ascii="Arial" w:cs="Arial" w:eastAsia="Arial" w:hAnsi="Arial"/>
                <w:sz w:val="18"/>
                <w:szCs w:val="18"/>
                <w:color w:val="0000FF"/>
                <w:w w:val="95"/>
              </w:rPr>
            </w:pPr>
            <w:hyperlink w:anchor="page153">
              <w:r>
                <w:rPr>
                  <w:rFonts w:ascii="Arial" w:cs="Arial" w:eastAsia="Arial" w:hAnsi="Arial"/>
                  <w:sz w:val="18"/>
                  <w:szCs w:val="18"/>
                  <w:color w:val="0000FF"/>
                  <w:w w:val="95"/>
                </w:rPr>
                <w:t>Employment Agreement dated March 8, 2021, effective as of January 1, 2021, by and between James L.</w:t>
              </w:r>
            </w:hyperlink>
          </w:p>
        </w:tc>
      </w:tr>
      <w:tr>
        <w:trPr>
          <w:trHeight w:val="155"/>
        </w:trPr>
        <w:tc>
          <w:tcPr>
            <w:tcW w:w="120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w:anchor="page153">
              <w:r>
                <w:rPr>
                  <w:rFonts w:ascii="Arial" w:cs="Arial" w:eastAsia="Arial" w:hAnsi="Arial"/>
                  <w:sz w:val="18"/>
                  <w:szCs w:val="18"/>
                  <w:color w:val="0000FF"/>
                  <w:w w:val="89"/>
                </w:rPr>
                <w:t>Herman and Cumberland Pharmaceuticals Inc.</w:t>
              </w:r>
            </w:hyperlink>
          </w:p>
        </w:tc>
        <w:tc>
          <w:tcPr>
            <w:tcW w:w="4140" w:type="dxa"/>
            <w:vAlign w:val="bottom"/>
            <w:tcBorders>
              <w:top w:val="single" w:sz="8" w:color="0000FF"/>
            </w:tcBorders>
            <w:gridSpan w:val="8"/>
          </w:tcPr>
          <w:p>
            <w:pPr>
              <w:spacing w:after="0"/>
              <w:rPr>
                <w:sz w:val="13"/>
                <w:szCs w:val="13"/>
                <w:color w:val="auto"/>
              </w:rPr>
            </w:pPr>
          </w:p>
        </w:tc>
        <w:tc>
          <w:tcPr>
            <w:tcW w:w="500" w:type="dxa"/>
            <w:vAlign w:val="bottom"/>
            <w:gridSpan w:val="17"/>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19"/>
          </w:cols>
          <w:pgMar w:left="840" w:top="1440" w:right="1440" w:bottom="1440" w:gutter="0" w:footer="0" w:header="0"/>
        </w:sectPr>
      </w:pPr>
    </w:p>
    <w:bookmarkStart w:id="80" w:name="page81"/>
    <w:bookmarkEnd w:id="80"/>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center"/>
              <w:ind w:right="490"/>
              <w:spacing w:after="0"/>
              <w:rPr>
                <w:sz w:val="20"/>
                <w:szCs w:val="20"/>
                <w:color w:val="auto"/>
              </w:rPr>
            </w:pPr>
            <w:r>
              <w:rPr>
                <w:rFonts w:ascii="Arial" w:cs="Arial" w:eastAsia="Arial" w:hAnsi="Arial"/>
                <w:sz w:val="18"/>
                <w:szCs w:val="18"/>
                <w:color w:val="auto"/>
                <w:w w:val="90"/>
              </w:rPr>
              <w:t>10.17#</w:t>
            </w:r>
          </w:p>
        </w:tc>
        <w:tc>
          <w:tcPr>
            <w:tcW w:w="8000" w:type="dxa"/>
            <w:vAlign w:val="bottom"/>
            <w:gridSpan w:val="38"/>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1999 Stock Option Plan of Cumberland Pharmaceuticals Inc., incorporated herein by reference to the</w:t>
              </w:r>
            </w:hyperlink>
          </w:p>
        </w:tc>
      </w:tr>
      <w:tr>
        <w:trPr>
          <w:trHeight w:val="156"/>
        </w:trPr>
        <w:tc>
          <w:tcPr>
            <w:tcW w:w="1240" w:type="dxa"/>
            <w:vAlign w:val="bottom"/>
          </w:tcPr>
          <w:p>
            <w:pPr>
              <w:spacing w:after="0"/>
              <w:rPr>
                <w:sz w:val="13"/>
                <w:szCs w:val="13"/>
                <w:color w:val="auto"/>
              </w:rPr>
            </w:pPr>
          </w:p>
        </w:tc>
        <w:tc>
          <w:tcPr>
            <w:tcW w:w="728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corresponding exhibit to the Registrant’s Registration Statement on Form S-1 (File No. 333-142535)</w:t>
              </w:r>
            </w:hyperlink>
          </w:p>
        </w:tc>
        <w:tc>
          <w:tcPr>
            <w:tcW w:w="720" w:type="dxa"/>
            <w:vAlign w:val="bottom"/>
            <w:gridSpan w:val="25"/>
          </w:tcPr>
          <w:p>
            <w:pPr>
              <w:jc w:val="right"/>
              <w:ind w:right="180"/>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as filed</w:t>
              </w:r>
            </w:hyperlink>
          </w:p>
        </w:tc>
      </w:tr>
      <w:tr>
        <w:trPr>
          <w:trHeight w:val="156"/>
        </w:trPr>
        <w:tc>
          <w:tcPr>
            <w:tcW w:w="1240" w:type="dxa"/>
            <w:vAlign w:val="bottom"/>
          </w:tcPr>
          <w:p>
            <w:pPr>
              <w:spacing w:after="0"/>
              <w:rPr>
                <w:sz w:val="13"/>
                <w:szCs w:val="13"/>
                <w:color w:val="auto"/>
              </w:rPr>
            </w:pPr>
          </w:p>
        </w:tc>
        <w:tc>
          <w:tcPr>
            <w:tcW w:w="78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with the SEC on May 1,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40" w:type="dxa"/>
            <w:vAlign w:val="bottom"/>
          </w:tcPr>
          <w:p>
            <w:pPr>
              <w:jc w:val="center"/>
              <w:ind w:right="490"/>
              <w:spacing w:after="0"/>
              <w:rPr>
                <w:sz w:val="20"/>
                <w:szCs w:val="20"/>
                <w:color w:val="auto"/>
              </w:rPr>
            </w:pPr>
            <w:r>
              <w:rPr>
                <w:rFonts w:ascii="Arial" w:cs="Arial" w:eastAsia="Arial" w:hAnsi="Arial"/>
                <w:sz w:val="18"/>
                <w:szCs w:val="18"/>
                <w:color w:val="auto"/>
                <w:w w:val="90"/>
              </w:rPr>
              <w:t>10.18#</w:t>
            </w:r>
          </w:p>
        </w:tc>
        <w:tc>
          <w:tcPr>
            <w:tcW w:w="8000" w:type="dxa"/>
            <w:vAlign w:val="bottom"/>
            <w:gridSpan w:val="38"/>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Amended and Restated 2007 Long-Term Incentive Compensation Plan of Cumberland Pharmaceuticals Inc.,</w:t>
              </w:r>
            </w:hyperlink>
          </w:p>
        </w:tc>
      </w:tr>
      <w:tr>
        <w:trPr>
          <w:trHeight w:val="155"/>
        </w:trPr>
        <w:tc>
          <w:tcPr>
            <w:tcW w:w="1240" w:type="dxa"/>
            <w:vAlign w:val="bottom"/>
          </w:tcPr>
          <w:p>
            <w:pPr>
              <w:spacing w:after="0"/>
              <w:rPr>
                <w:sz w:val="13"/>
                <w:szCs w:val="13"/>
                <w:color w:val="auto"/>
              </w:rPr>
            </w:pPr>
          </w:p>
        </w:tc>
        <w:tc>
          <w:tcPr>
            <w:tcW w:w="784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05">
              <w:r>
                <w:rPr>
                  <w:rFonts w:ascii="Arial" w:cs="Arial" w:eastAsia="Arial" w:hAnsi="Arial"/>
                  <w:sz w:val="18"/>
                  <w:szCs w:val="18"/>
                  <w:color w:val="0000FF"/>
                  <w:w w:val="93"/>
                </w:rPr>
                <w:t>incorporated herein by reference to Appendix A of the Registrant’s Schedule 14A as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March 12, 2012 and approved by the Registrant's shareholders on April 17, 2012</w:t>
              </w:r>
            </w:hyperlink>
          </w:p>
        </w:tc>
        <w:tc>
          <w:tcPr>
            <w:tcW w:w="18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40" w:type="dxa"/>
            <w:vAlign w:val="bottom"/>
          </w:tcPr>
          <w:p>
            <w:pPr>
              <w:jc w:val="center"/>
              <w:ind w:right="490"/>
              <w:spacing w:after="0"/>
              <w:rPr>
                <w:sz w:val="20"/>
                <w:szCs w:val="20"/>
                <w:color w:val="auto"/>
              </w:rPr>
            </w:pPr>
            <w:r>
              <w:rPr>
                <w:rFonts w:ascii="Arial" w:cs="Arial" w:eastAsia="Arial" w:hAnsi="Arial"/>
                <w:sz w:val="18"/>
                <w:szCs w:val="18"/>
                <w:color w:val="auto"/>
                <w:w w:val="90"/>
              </w:rPr>
              <w:t>10.19#</w:t>
            </w:r>
          </w:p>
        </w:tc>
        <w:tc>
          <w:tcPr>
            <w:tcW w:w="8000" w:type="dxa"/>
            <w:vAlign w:val="bottom"/>
            <w:gridSpan w:val="38"/>
          </w:tcPr>
          <w:p>
            <w:pPr>
              <w:spacing w:after="0"/>
              <w:rPr>
                <w:rFonts w:ascii="Arial" w:cs="Arial" w:eastAsia="Arial" w:hAnsi="Arial"/>
                <w:sz w:val="18"/>
                <w:szCs w:val="18"/>
                <w:color w:val="0000FF"/>
                <w:w w:val="95"/>
              </w:rPr>
            </w:pPr>
            <w:hyperlink r:id="rId105">
              <w:r>
                <w:rPr>
                  <w:rFonts w:ascii="Arial" w:cs="Arial" w:eastAsia="Arial" w:hAnsi="Arial"/>
                  <w:sz w:val="18"/>
                  <w:szCs w:val="18"/>
                  <w:color w:val="0000FF"/>
                  <w:w w:val="95"/>
                </w:rPr>
                <w:t>Amended and Restated 2007 Directors’ Incentive Plan of Cumberland Pharmaceuticals Inc., incorporated</w:t>
              </w:r>
            </w:hyperlink>
          </w:p>
        </w:tc>
      </w:tr>
      <w:tr>
        <w:trPr>
          <w:trHeight w:val="155"/>
        </w:trPr>
        <w:tc>
          <w:tcPr>
            <w:tcW w:w="1240" w:type="dxa"/>
            <w:vAlign w:val="bottom"/>
          </w:tcPr>
          <w:p>
            <w:pPr>
              <w:spacing w:after="0"/>
              <w:rPr>
                <w:sz w:val="13"/>
                <w:szCs w:val="13"/>
                <w:color w:val="auto"/>
              </w:rPr>
            </w:pPr>
          </w:p>
        </w:tc>
        <w:tc>
          <w:tcPr>
            <w:tcW w:w="760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herein by reference to Appendix B of the Registrant's Schedule 14A as filed with the SEC on March 12,</w:t>
              </w:r>
            </w:hyperlink>
          </w:p>
        </w:tc>
        <w:tc>
          <w:tcPr>
            <w:tcW w:w="360" w:type="dxa"/>
            <w:vAlign w:val="bottom"/>
            <w:gridSpan w:val="17"/>
          </w:tcPr>
          <w:p>
            <w:pPr>
              <w:jc w:val="right"/>
              <w:ind w:right="80"/>
              <w:spacing w:after="0" w:line="155" w:lineRule="exact"/>
              <w:rPr>
                <w:rFonts w:ascii="Arial" w:cs="Arial" w:eastAsia="Arial" w:hAnsi="Arial"/>
                <w:sz w:val="16"/>
                <w:szCs w:val="16"/>
                <w:color w:val="0000FF"/>
                <w:w w:val="72"/>
              </w:rPr>
            </w:pPr>
            <w:hyperlink r:id="rId105">
              <w:r>
                <w:rPr>
                  <w:rFonts w:ascii="Arial" w:cs="Arial" w:eastAsia="Arial" w:hAnsi="Arial"/>
                  <w:sz w:val="16"/>
                  <w:szCs w:val="16"/>
                  <w:color w:val="0000FF"/>
                  <w:w w:val="72"/>
                </w:rPr>
                <w:t>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79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and approved by the Registrant's shareholders on April 17,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40" w:type="dxa"/>
            <w:vAlign w:val="bottom"/>
          </w:tcPr>
          <w:p>
            <w:pPr>
              <w:jc w:val="center"/>
              <w:ind w:right="510"/>
              <w:spacing w:after="0"/>
              <w:rPr>
                <w:sz w:val="20"/>
                <w:szCs w:val="20"/>
                <w:color w:val="auto"/>
              </w:rPr>
            </w:pPr>
            <w:r>
              <w:rPr>
                <w:rFonts w:ascii="Arial" w:cs="Arial" w:eastAsia="Arial" w:hAnsi="Arial"/>
                <w:sz w:val="18"/>
                <w:szCs w:val="18"/>
                <w:color w:val="auto"/>
                <w:w w:val="88"/>
              </w:rPr>
              <w:t>10.20</w:t>
            </w:r>
          </w:p>
        </w:tc>
        <w:tc>
          <w:tcPr>
            <w:tcW w:w="8000" w:type="dxa"/>
            <w:vAlign w:val="bottom"/>
            <w:gridSpan w:val="38"/>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Form of Indemnification Agreement between Cumberland Pharmaceuticals Inc. and all members of its Board</w:t>
              </w:r>
            </w:hyperlink>
          </w:p>
        </w:tc>
      </w:tr>
      <w:tr>
        <w:trPr>
          <w:trHeight w:val="156"/>
        </w:trPr>
        <w:tc>
          <w:tcPr>
            <w:tcW w:w="1240" w:type="dxa"/>
            <w:vAlign w:val="bottom"/>
          </w:tcPr>
          <w:p>
            <w:pPr>
              <w:spacing w:after="0"/>
              <w:rPr>
                <w:sz w:val="13"/>
                <w:szCs w:val="13"/>
                <w:color w:val="auto"/>
              </w:rPr>
            </w:pPr>
          </w:p>
        </w:tc>
        <w:tc>
          <w:tcPr>
            <w:tcW w:w="788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106">
              <w:r>
                <w:rPr>
                  <w:rFonts w:ascii="Arial" w:cs="Arial" w:eastAsia="Arial" w:hAnsi="Arial"/>
                  <w:sz w:val="18"/>
                  <w:szCs w:val="18"/>
                  <w:color w:val="0000FF"/>
                  <w:w w:val="93"/>
                </w:rPr>
                <w:t>of Directors, incorporated herein by reference to the corresponding exhibit to the Registrant’s Registration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7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Statement on Form S-1 (File No. 333-142535) as filed with the SEC on May 1,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40" w:type="dxa"/>
            <w:vAlign w:val="bottom"/>
          </w:tcPr>
          <w:p>
            <w:pPr>
              <w:jc w:val="center"/>
              <w:ind w:right="490"/>
              <w:spacing w:after="0"/>
              <w:rPr>
                <w:sz w:val="20"/>
                <w:szCs w:val="20"/>
                <w:color w:val="auto"/>
              </w:rPr>
            </w:pPr>
            <w:r>
              <w:rPr>
                <w:rFonts w:ascii="Arial" w:cs="Arial" w:eastAsia="Arial" w:hAnsi="Arial"/>
                <w:sz w:val="18"/>
                <w:szCs w:val="18"/>
                <w:color w:val="auto"/>
                <w:w w:val="90"/>
              </w:rPr>
              <w:t>10.21†</w:t>
            </w:r>
          </w:p>
        </w:tc>
        <w:tc>
          <w:tcPr>
            <w:tcW w:w="8000" w:type="dxa"/>
            <w:vAlign w:val="bottom"/>
            <w:gridSpan w:val="38"/>
          </w:tcPr>
          <w:p>
            <w:pPr>
              <w:spacing w:after="0"/>
              <w:rPr>
                <w:rFonts w:ascii="Arial" w:cs="Arial" w:eastAsia="Arial" w:hAnsi="Arial"/>
                <w:sz w:val="18"/>
                <w:szCs w:val="18"/>
                <w:color w:val="0000FF"/>
                <w:w w:val="97"/>
              </w:rPr>
            </w:pPr>
            <w:hyperlink r:id="rId107">
              <w:r>
                <w:rPr>
                  <w:rFonts w:ascii="Arial" w:cs="Arial" w:eastAsia="Arial" w:hAnsi="Arial"/>
                  <w:sz w:val="18"/>
                  <w:szCs w:val="18"/>
                  <w:color w:val="0000FF"/>
                  <w:w w:val="97"/>
                </w:rPr>
                <w:t>Lease Agreement, dated September 10, 2005, by and between Nashville Hines Development, LLC and</w:t>
              </w:r>
            </w:hyperlink>
          </w:p>
        </w:tc>
      </w:tr>
      <w:tr>
        <w:trPr>
          <w:trHeight w:val="156"/>
        </w:trPr>
        <w:tc>
          <w:tcPr>
            <w:tcW w:w="124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Cumberland Pharmaceuticals Inc., incorporated herein by reference to the corresponding exhibit to</w:t>
              </w:r>
            </w:hyperlink>
          </w:p>
        </w:tc>
        <w:tc>
          <w:tcPr>
            <w:tcW w:w="2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8000" w:type="dxa"/>
            <w:vAlign w:val="bottom"/>
            <w:gridSpan w:val="38"/>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Amendment No. 3 of the Registrant’s Registration Statement on Form S-1 (File No. 333-142535) as filed with</w:t>
              </w:r>
            </w:hyperlink>
          </w:p>
        </w:tc>
      </w:tr>
      <w:tr>
        <w:trPr>
          <w:trHeight w:val="155"/>
        </w:trPr>
        <w:tc>
          <w:tcPr>
            <w:tcW w:w="1240" w:type="dxa"/>
            <w:vAlign w:val="bottom"/>
          </w:tcPr>
          <w:p>
            <w:pPr>
              <w:spacing w:after="0"/>
              <w:rPr>
                <w:sz w:val="13"/>
                <w:szCs w:val="13"/>
                <w:color w:val="auto"/>
              </w:rPr>
            </w:pPr>
          </w:p>
        </w:tc>
        <w:tc>
          <w:tcPr>
            <w:tcW w:w="1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the SEC on July 11, 2007</w:t>
              </w:r>
            </w:hyperlink>
          </w:p>
        </w:tc>
        <w:tc>
          <w:tcPr>
            <w:tcW w:w="614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40" w:type="dxa"/>
            <w:vAlign w:val="bottom"/>
          </w:tcPr>
          <w:p>
            <w:pPr>
              <w:jc w:val="center"/>
              <w:ind w:right="510"/>
              <w:spacing w:after="0"/>
              <w:rPr>
                <w:sz w:val="20"/>
                <w:szCs w:val="20"/>
                <w:color w:val="auto"/>
              </w:rPr>
            </w:pPr>
            <w:r>
              <w:rPr>
                <w:rFonts w:ascii="Arial" w:cs="Arial" w:eastAsia="Arial" w:hAnsi="Arial"/>
                <w:sz w:val="18"/>
                <w:szCs w:val="18"/>
                <w:color w:val="auto"/>
                <w:w w:val="91"/>
              </w:rPr>
              <w:t>10.21.1†</w:t>
            </w:r>
          </w:p>
        </w:tc>
        <w:tc>
          <w:tcPr>
            <w:tcW w:w="8000" w:type="dxa"/>
            <w:vAlign w:val="bottom"/>
            <w:gridSpan w:val="38"/>
          </w:tcPr>
          <w:p>
            <w:pPr>
              <w:spacing w:after="0"/>
              <w:rPr>
                <w:rFonts w:ascii="Arial" w:cs="Arial" w:eastAsia="Arial" w:hAnsi="Arial"/>
                <w:sz w:val="18"/>
                <w:szCs w:val="18"/>
                <w:color w:val="0000FF"/>
                <w:w w:val="95"/>
              </w:rPr>
            </w:pPr>
            <w:hyperlink r:id="rId108">
              <w:r>
                <w:rPr>
                  <w:rFonts w:ascii="Arial" w:cs="Arial" w:eastAsia="Arial" w:hAnsi="Arial"/>
                  <w:sz w:val="18"/>
                  <w:szCs w:val="18"/>
                  <w:color w:val="0000FF"/>
                  <w:w w:val="95"/>
                </w:rPr>
                <w:t>First Amendment to Office Lease Agreement, dated April 25, 2008, by and between 2525 West End, LLC</w:t>
              </w:r>
            </w:hyperlink>
          </w:p>
        </w:tc>
      </w:tr>
      <w:tr>
        <w:trPr>
          <w:trHeight w:val="156"/>
        </w:trPr>
        <w:tc>
          <w:tcPr>
            <w:tcW w:w="124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(successor in interest to Nashville Hines Development LLC) and Cumberland Pharmaceuticals Inc.,</w:t>
              </w:r>
            </w:hyperlink>
          </w:p>
        </w:tc>
        <w:tc>
          <w:tcPr>
            <w:tcW w:w="4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8000" w:type="dxa"/>
            <w:vAlign w:val="bottom"/>
            <w:gridSpan w:val="38"/>
          </w:tcPr>
          <w:p>
            <w:pPr>
              <w:spacing w:after="0" w:line="156" w:lineRule="exact"/>
              <w:rPr>
                <w:rFonts w:ascii="Arial" w:cs="Arial" w:eastAsia="Arial" w:hAnsi="Arial"/>
                <w:sz w:val="18"/>
                <w:szCs w:val="18"/>
                <w:color w:val="0000FF"/>
                <w:w w:val="97"/>
              </w:rPr>
            </w:pPr>
            <w:hyperlink r:id="rId108">
              <w:r>
                <w:rPr>
                  <w:rFonts w:ascii="Arial" w:cs="Arial" w:eastAsia="Arial" w:hAnsi="Arial"/>
                  <w:sz w:val="18"/>
                  <w:szCs w:val="18"/>
                  <w:color w:val="0000FF"/>
                  <w:w w:val="97"/>
                </w:rPr>
                <w:t>incorporated herein by reference to the corresponding exhibit to Amendment No. 10 of the Registrant’s</w:t>
              </w:r>
            </w:hyperlink>
          </w:p>
        </w:tc>
      </w:tr>
      <w:tr>
        <w:trPr>
          <w:trHeight w:val="224"/>
        </w:trPr>
        <w:tc>
          <w:tcPr>
            <w:tcW w:w="1240" w:type="dxa"/>
            <w:vAlign w:val="bottom"/>
          </w:tcPr>
          <w:p>
            <w:pPr>
              <w:spacing w:after="0"/>
              <w:rPr>
                <w:sz w:val="19"/>
                <w:szCs w:val="19"/>
                <w:color w:val="auto"/>
              </w:rPr>
            </w:pPr>
          </w:p>
        </w:tc>
        <w:tc>
          <w:tcPr>
            <w:tcW w:w="7420" w:type="dxa"/>
            <w:vAlign w:val="bottom"/>
            <w:tcBorders>
              <w:top w:val="single" w:sz="8" w:color="0000FF"/>
            </w:tcBorders>
            <w:gridSpan w:val="17"/>
          </w:tcPr>
          <w:p>
            <w:pPr>
              <w:spacing w:after="0"/>
              <w:rPr>
                <w:rFonts w:ascii="Arial" w:cs="Arial" w:eastAsia="Arial" w:hAnsi="Arial"/>
                <w:sz w:val="18"/>
                <w:szCs w:val="18"/>
                <w:u w:val="single" w:color="auto"/>
                <w:color w:val="0000FF"/>
                <w:w w:val="95"/>
              </w:rPr>
            </w:pPr>
            <w:hyperlink r:id="rId108">
              <w:r>
                <w:rPr>
                  <w:rFonts w:ascii="Arial" w:cs="Arial" w:eastAsia="Arial" w:hAnsi="Arial"/>
                  <w:sz w:val="18"/>
                  <w:szCs w:val="18"/>
                  <w:u w:val="single" w:color="auto"/>
                  <w:color w:val="0000FF"/>
                  <w:w w:val="95"/>
                </w:rPr>
                <w:t>Registration Statement on Form S-1 (File No. 333-142535) as filed with the SEC on May 21, 2008</w:t>
              </w:r>
            </w:hyperlink>
          </w:p>
        </w:tc>
        <w:tc>
          <w:tcPr>
            <w:tcW w:w="140" w:type="dxa"/>
            <w:vAlign w:val="bottom"/>
          </w:tcPr>
          <w:p>
            <w:pPr>
              <w:spacing w:after="0"/>
              <w:rPr>
                <w:sz w:val="19"/>
                <w:szCs w:val="19"/>
                <w:color w:val="auto"/>
              </w:rPr>
            </w:pPr>
          </w:p>
        </w:tc>
        <w:tc>
          <w:tcPr>
            <w:tcW w:w="1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5"/>
        </w:trPr>
        <w:tc>
          <w:tcPr>
            <w:tcW w:w="1240" w:type="dxa"/>
            <w:vAlign w:val="bottom"/>
          </w:tcPr>
          <w:p>
            <w:pPr>
              <w:jc w:val="center"/>
              <w:ind w:right="510"/>
              <w:spacing w:after="0"/>
              <w:rPr>
                <w:sz w:val="20"/>
                <w:szCs w:val="20"/>
                <w:color w:val="auto"/>
              </w:rPr>
            </w:pPr>
            <w:r>
              <w:rPr>
                <w:rFonts w:ascii="Arial" w:cs="Arial" w:eastAsia="Arial" w:hAnsi="Arial"/>
                <w:sz w:val="18"/>
                <w:szCs w:val="18"/>
                <w:color w:val="auto"/>
                <w:w w:val="91"/>
              </w:rPr>
              <w:t>10.21.2†</w:t>
            </w:r>
          </w:p>
        </w:tc>
        <w:tc>
          <w:tcPr>
            <w:tcW w:w="8000" w:type="dxa"/>
            <w:vAlign w:val="bottom"/>
            <w:gridSpan w:val="38"/>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Second Amendment to Office Lease Agreement, dated March 2, 2010, by and between 2525 West End, LLC</w:t>
              </w:r>
            </w:hyperlink>
          </w:p>
        </w:tc>
      </w:tr>
      <w:tr>
        <w:trPr>
          <w:trHeight w:val="156"/>
        </w:trPr>
        <w:tc>
          <w:tcPr>
            <w:tcW w:w="124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(successor in interest to Nashville Hines Development LLC) and Cumberland Pharmaceuticals Inc.,</w:t>
              </w:r>
            </w:hyperlink>
          </w:p>
        </w:tc>
        <w:tc>
          <w:tcPr>
            <w:tcW w:w="6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8000" w:type="dxa"/>
            <w:vAlign w:val="bottom"/>
            <w:gridSpan w:val="38"/>
          </w:tcPr>
          <w:p>
            <w:pPr>
              <w:spacing w:after="0" w:line="156" w:lineRule="exact"/>
              <w:rPr>
                <w:rFonts w:ascii="Arial" w:cs="Arial" w:eastAsia="Arial" w:hAnsi="Arial"/>
                <w:sz w:val="18"/>
                <w:szCs w:val="18"/>
                <w:color w:val="0000FF"/>
                <w:w w:val="94"/>
              </w:rPr>
            </w:pPr>
            <w:hyperlink r:id="rId109">
              <w:r>
                <w:rPr>
                  <w:rFonts w:ascii="Arial" w:cs="Arial" w:eastAsia="Arial" w:hAnsi="Arial"/>
                  <w:sz w:val="18"/>
                  <w:szCs w:val="18"/>
                  <w:color w:val="0000FF"/>
                  <w:w w:val="94"/>
                </w:rPr>
                <w:t>incorporated herein by reference to the corresponding exhibit to the Registrant’s Quarterly Report on Form</w:t>
              </w:r>
            </w:hyperlink>
          </w:p>
        </w:tc>
      </w:tr>
      <w:tr>
        <w:trPr>
          <w:trHeight w:val="155"/>
        </w:trPr>
        <w:tc>
          <w:tcPr>
            <w:tcW w:w="12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10-Q (File No. 001-33637) as filed with the SEC on May 17, 2010</w:t>
              </w:r>
            </w:hyperlink>
          </w:p>
        </w:tc>
        <w:tc>
          <w:tcPr>
            <w:tcW w:w="29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240" w:type="dxa"/>
            <w:vAlign w:val="bottom"/>
          </w:tcPr>
          <w:p>
            <w:pPr>
              <w:jc w:val="center"/>
              <w:ind w:right="510"/>
              <w:spacing w:after="0"/>
              <w:rPr>
                <w:sz w:val="20"/>
                <w:szCs w:val="20"/>
                <w:color w:val="auto"/>
              </w:rPr>
            </w:pPr>
            <w:r>
              <w:rPr>
                <w:rFonts w:ascii="Arial" w:cs="Arial" w:eastAsia="Arial" w:hAnsi="Arial"/>
                <w:sz w:val="18"/>
                <w:szCs w:val="18"/>
                <w:color w:val="auto"/>
                <w:w w:val="91"/>
              </w:rPr>
              <w:t>10.21.3†</w:t>
            </w:r>
          </w:p>
        </w:tc>
        <w:tc>
          <w:tcPr>
            <w:tcW w:w="8000" w:type="dxa"/>
            <w:vAlign w:val="bottom"/>
            <w:gridSpan w:val="38"/>
          </w:tcPr>
          <w:p>
            <w:pPr>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Third Amendment to Office Lease Agreement, dated September 29, 2015, by and between 2525 West End,</w:t>
              </w:r>
            </w:hyperlink>
          </w:p>
        </w:tc>
      </w:tr>
      <w:tr>
        <w:trPr>
          <w:trHeight w:val="155"/>
        </w:trPr>
        <w:tc>
          <w:tcPr>
            <w:tcW w:w="1240" w:type="dxa"/>
            <w:vAlign w:val="bottom"/>
          </w:tcPr>
          <w:p>
            <w:pPr>
              <w:spacing w:after="0"/>
              <w:rPr>
                <w:sz w:val="13"/>
                <w:szCs w:val="13"/>
                <w:color w:val="auto"/>
              </w:rPr>
            </w:pPr>
          </w:p>
        </w:tc>
        <w:tc>
          <w:tcPr>
            <w:tcW w:w="776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LLC (successor in interest to Nashville Hines Development LLC) and Cumberland Pharmaceuticals Inc.,</w:t>
              </w:r>
            </w:hyperlink>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8000" w:type="dxa"/>
            <w:vAlign w:val="bottom"/>
            <w:gridSpan w:val="38"/>
          </w:tcPr>
          <w:p>
            <w:pPr>
              <w:spacing w:after="0" w:line="156" w:lineRule="exact"/>
              <w:rPr>
                <w:rFonts w:ascii="Arial" w:cs="Arial" w:eastAsia="Arial" w:hAnsi="Arial"/>
                <w:sz w:val="18"/>
                <w:szCs w:val="18"/>
                <w:color w:val="0000FF"/>
                <w:w w:val="94"/>
              </w:rPr>
            </w:pPr>
            <w:hyperlink r:id="rId110">
              <w:r>
                <w:rPr>
                  <w:rFonts w:ascii="Arial" w:cs="Arial" w:eastAsia="Arial" w:hAnsi="Arial"/>
                  <w:sz w:val="18"/>
                  <w:szCs w:val="18"/>
                  <w:color w:val="0000FF"/>
                  <w:w w:val="94"/>
                </w:rPr>
                <w:t>incorporated herein by reference to the corresponding exhibit to the Registrant's Quarterly Report on Form</w:t>
              </w:r>
            </w:hyperlink>
          </w:p>
        </w:tc>
      </w:tr>
      <w:tr>
        <w:trPr>
          <w:trHeight w:val="155"/>
        </w:trPr>
        <w:tc>
          <w:tcPr>
            <w:tcW w:w="124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10-Q (File No. 001-33637) as filed with the SEC on November 6, 2015</w:t>
              </w:r>
            </w:hyperlink>
          </w:p>
        </w:tc>
        <w:tc>
          <w:tcPr>
            <w:tcW w:w="254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240" w:type="dxa"/>
            <w:vAlign w:val="bottom"/>
          </w:tcPr>
          <w:p>
            <w:pPr>
              <w:jc w:val="center"/>
              <w:ind w:right="490"/>
              <w:spacing w:after="0"/>
              <w:rPr>
                <w:sz w:val="20"/>
                <w:szCs w:val="20"/>
                <w:color w:val="auto"/>
              </w:rPr>
            </w:pPr>
            <w:r>
              <w:rPr>
                <w:rFonts w:ascii="Arial" w:cs="Arial" w:eastAsia="Arial" w:hAnsi="Arial"/>
                <w:sz w:val="18"/>
                <w:szCs w:val="18"/>
                <w:color w:val="auto"/>
                <w:w w:val="90"/>
              </w:rPr>
              <w:t>10.23†</w:t>
            </w:r>
          </w:p>
        </w:tc>
        <w:tc>
          <w:tcPr>
            <w:tcW w:w="8000" w:type="dxa"/>
            <w:vAlign w:val="bottom"/>
            <w:gridSpan w:val="38"/>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Amended and Restated Lease Agreement, dated November 11, 2004, by and between The Gateway to</w:t>
              </w:r>
            </w:hyperlink>
          </w:p>
        </w:tc>
      </w:tr>
      <w:tr>
        <w:trPr>
          <w:trHeight w:val="155"/>
        </w:trPr>
        <w:tc>
          <w:tcPr>
            <w:tcW w:w="1240" w:type="dxa"/>
            <w:vAlign w:val="bottom"/>
          </w:tcPr>
          <w:p>
            <w:pPr>
              <w:spacing w:after="0"/>
              <w:rPr>
                <w:sz w:val="13"/>
                <w:szCs w:val="13"/>
                <w:color w:val="auto"/>
              </w:rPr>
            </w:pPr>
          </w:p>
        </w:tc>
        <w:tc>
          <w:tcPr>
            <w:tcW w:w="734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Nashville LLC and Cumberland Emerging Technologies, Inc., incorporated herein by reference to the</w:t>
              </w:r>
            </w:hyperlink>
          </w:p>
        </w:tc>
        <w:tc>
          <w:tcPr>
            <w:tcW w:w="22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732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corresponding exhibit to the Registrant’s Registration Statement on Form S-1 (File No. 333-142535)</w:t>
              </w:r>
            </w:hyperlink>
          </w:p>
        </w:tc>
        <w:tc>
          <w:tcPr>
            <w:tcW w:w="680" w:type="dxa"/>
            <w:vAlign w:val="bottom"/>
            <w:gridSpan w:val="24"/>
          </w:tcPr>
          <w:p>
            <w:pPr>
              <w:jc w:val="right"/>
              <w:ind w:right="180"/>
              <w:spacing w:after="0" w:line="156" w:lineRule="exact"/>
              <w:rPr>
                <w:rFonts w:ascii="Arial" w:cs="Arial" w:eastAsia="Arial" w:hAnsi="Arial"/>
                <w:sz w:val="18"/>
                <w:szCs w:val="18"/>
                <w:color w:val="0000FF"/>
                <w:w w:val="84"/>
              </w:rPr>
            </w:pPr>
            <w:hyperlink r:id="rId111">
              <w:r>
                <w:rPr>
                  <w:rFonts w:ascii="Arial" w:cs="Arial" w:eastAsia="Arial" w:hAnsi="Arial"/>
                  <w:sz w:val="18"/>
                  <w:szCs w:val="18"/>
                  <w:color w:val="0000FF"/>
                  <w:w w:val="84"/>
                </w:rPr>
                <w:t>as filed</w:t>
              </w:r>
            </w:hyperlink>
          </w:p>
        </w:tc>
      </w:tr>
      <w:tr>
        <w:trPr>
          <w:trHeight w:val="156"/>
        </w:trPr>
        <w:tc>
          <w:tcPr>
            <w:tcW w:w="1240" w:type="dxa"/>
            <w:vAlign w:val="bottom"/>
          </w:tcPr>
          <w:p>
            <w:pPr>
              <w:spacing w:after="0"/>
              <w:rPr>
                <w:sz w:val="13"/>
                <w:szCs w:val="13"/>
                <w:color w:val="auto"/>
              </w:rPr>
            </w:pPr>
          </w:p>
        </w:tc>
        <w:tc>
          <w:tcPr>
            <w:tcW w:w="78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with the SEC on May 1, 2007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87"/>
        </w:trPr>
        <w:tc>
          <w:tcPr>
            <w:tcW w:w="1240" w:type="dxa"/>
            <w:vAlign w:val="bottom"/>
          </w:tcPr>
          <w:p>
            <w:pPr>
              <w:jc w:val="center"/>
              <w:ind w:right="510"/>
              <w:spacing w:after="0"/>
              <w:rPr>
                <w:sz w:val="20"/>
                <w:szCs w:val="20"/>
                <w:color w:val="auto"/>
              </w:rPr>
            </w:pPr>
            <w:r>
              <w:rPr>
                <w:rFonts w:ascii="Arial" w:cs="Arial" w:eastAsia="Arial" w:hAnsi="Arial"/>
                <w:sz w:val="18"/>
                <w:szCs w:val="18"/>
                <w:color w:val="auto"/>
                <w:w w:val="88"/>
              </w:rPr>
              <w:t>10.24</w:t>
            </w:r>
          </w:p>
        </w:tc>
        <w:tc>
          <w:tcPr>
            <w:tcW w:w="8000" w:type="dxa"/>
            <w:vAlign w:val="bottom"/>
            <w:gridSpan w:val="38"/>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First Amendment to Amended and Restated Lease Agreement, dated August 23, 2005, by and between The</w:t>
              </w:r>
            </w:hyperlink>
          </w:p>
        </w:tc>
      </w:tr>
      <w:tr>
        <w:trPr>
          <w:trHeight w:val="156"/>
        </w:trPr>
        <w:tc>
          <w:tcPr>
            <w:tcW w:w="1240" w:type="dxa"/>
            <w:vAlign w:val="bottom"/>
          </w:tcPr>
          <w:p>
            <w:pPr>
              <w:spacing w:after="0"/>
              <w:rPr>
                <w:sz w:val="13"/>
                <w:szCs w:val="13"/>
                <w:color w:val="auto"/>
              </w:rPr>
            </w:pPr>
          </w:p>
        </w:tc>
        <w:tc>
          <w:tcPr>
            <w:tcW w:w="778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Gateway to Nashville LLC and Cumberland Emerging Technologies, Inc., incorporated herein by reference</w:t>
              </w:r>
            </w:hyperlink>
          </w:p>
        </w:tc>
        <w:tc>
          <w:tcPr>
            <w:tcW w:w="220" w:type="dxa"/>
            <w:vAlign w:val="bottom"/>
            <w:gridSpan w:val="10"/>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to</w:t>
              </w:r>
            </w:hyperlink>
          </w:p>
        </w:tc>
      </w:tr>
      <w:tr>
        <w:trPr>
          <w:trHeight w:val="155"/>
        </w:trPr>
        <w:tc>
          <w:tcPr>
            <w:tcW w:w="1240" w:type="dxa"/>
            <w:vAlign w:val="bottom"/>
          </w:tcPr>
          <w:p>
            <w:pPr>
              <w:spacing w:after="0"/>
              <w:rPr>
                <w:sz w:val="13"/>
                <w:szCs w:val="13"/>
                <w:color w:val="auto"/>
              </w:rPr>
            </w:pPr>
          </w:p>
        </w:tc>
        <w:tc>
          <w:tcPr>
            <w:tcW w:w="7960" w:type="dxa"/>
            <w:vAlign w:val="bottom"/>
            <w:tcBorders>
              <w:top w:val="single" w:sz="8" w:color="0000FF"/>
            </w:tcBorders>
            <w:gridSpan w:val="36"/>
          </w:tcPr>
          <w:p>
            <w:pPr>
              <w:spacing w:after="0" w:line="15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the corresponding exhibit to the Registrant’s Registration Statement on Form S-1 (File No. 333-142535) as</w:t>
              </w:r>
            </w:hyperlink>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filed with the SEC on May 1, 2007</w:t>
              </w:r>
            </w:hyperlink>
          </w:p>
        </w:tc>
        <w:tc>
          <w:tcPr>
            <w:tcW w:w="5220" w:type="dxa"/>
            <w:vAlign w:val="bottom"/>
            <w:tcBorders>
              <w:top w:val="single" w:sz="8" w:color="0000FF"/>
            </w:tcBorders>
            <w:gridSpan w:val="2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240" w:type="dxa"/>
            <w:vAlign w:val="bottom"/>
          </w:tcPr>
          <w:p>
            <w:pPr>
              <w:jc w:val="center"/>
              <w:ind w:right="490"/>
              <w:spacing w:after="0"/>
              <w:rPr>
                <w:sz w:val="20"/>
                <w:szCs w:val="20"/>
                <w:color w:val="auto"/>
              </w:rPr>
            </w:pPr>
            <w:r>
              <w:rPr>
                <w:rFonts w:ascii="Arial" w:cs="Arial" w:eastAsia="Arial" w:hAnsi="Arial"/>
                <w:sz w:val="18"/>
                <w:szCs w:val="18"/>
                <w:color w:val="auto"/>
                <w:w w:val="89"/>
              </w:rPr>
              <w:t>10.24.1</w:t>
            </w:r>
          </w:p>
        </w:tc>
        <w:tc>
          <w:tcPr>
            <w:tcW w:w="8000" w:type="dxa"/>
            <w:vAlign w:val="bottom"/>
            <w:gridSpan w:val="38"/>
          </w:tcPr>
          <w:p>
            <w:pPr>
              <w:spacing w:after="0"/>
              <w:rPr>
                <w:rFonts w:ascii="Arial" w:cs="Arial" w:eastAsia="Arial" w:hAnsi="Arial"/>
                <w:sz w:val="18"/>
                <w:szCs w:val="18"/>
                <w:color w:val="0000FF"/>
                <w:w w:val="90"/>
              </w:rPr>
            </w:pPr>
            <w:hyperlink r:id="rId113">
              <w:r>
                <w:rPr>
                  <w:rFonts w:ascii="Arial" w:cs="Arial" w:eastAsia="Arial" w:hAnsi="Arial"/>
                  <w:sz w:val="18"/>
                  <w:szCs w:val="18"/>
                  <w:color w:val="0000FF"/>
                  <w:w w:val="90"/>
                </w:rPr>
                <w:t>Second Amendment to Amended and Restated Lease Agreement, dated January 9, 2006, by and between The</w:t>
              </w:r>
            </w:hyperlink>
          </w:p>
        </w:tc>
      </w:tr>
      <w:tr>
        <w:trPr>
          <w:trHeight w:val="155"/>
        </w:trPr>
        <w:tc>
          <w:tcPr>
            <w:tcW w:w="1240" w:type="dxa"/>
            <w:vAlign w:val="bottom"/>
          </w:tcPr>
          <w:p>
            <w:pPr>
              <w:spacing w:after="0"/>
              <w:rPr>
                <w:sz w:val="13"/>
                <w:szCs w:val="13"/>
                <w:color w:val="auto"/>
              </w:rPr>
            </w:pPr>
          </w:p>
        </w:tc>
        <w:tc>
          <w:tcPr>
            <w:tcW w:w="7900" w:type="dxa"/>
            <w:vAlign w:val="bottom"/>
            <w:tcBorders>
              <w:top w:val="single" w:sz="8" w:color="0000FF"/>
            </w:tcBorders>
            <w:gridSpan w:val="33"/>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Gateway to Nashville LLC and Cumberland Emerging Technologies, Inc., incorporated herein by reference to</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7960" w:type="dxa"/>
            <w:vAlign w:val="bottom"/>
            <w:tcBorders>
              <w:top w:val="single" w:sz="8" w:color="0000FF"/>
            </w:tcBorders>
            <w:gridSpan w:val="36"/>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the corresponding exhibit to Amendment No. 10 of the Registrant’s Registration Statement on Form S-1 (File</w:t>
              </w:r>
            </w:hyperlink>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79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No. 333-142535) as filed with the SEC on May 21, 2008</w:t>
              </w:r>
            </w:hyperlink>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40" w:type="dxa"/>
            <w:vAlign w:val="bottom"/>
            <w:gridSpan w:val="16"/>
          </w:tcPr>
          <w:p>
            <w:pPr>
              <w:spacing w:after="0" w:line="20" w:lineRule="exact"/>
              <w:rPr>
                <w:sz w:val="1"/>
                <w:szCs w:val="1"/>
                <w:color w:val="auto"/>
              </w:rPr>
            </w:pPr>
          </w:p>
        </w:tc>
      </w:tr>
      <w:tr>
        <w:trPr>
          <w:trHeight w:val="277"/>
        </w:trPr>
        <w:tc>
          <w:tcPr>
            <w:tcW w:w="1240" w:type="dxa"/>
            <w:vAlign w:val="bottom"/>
          </w:tcPr>
          <w:p>
            <w:pPr>
              <w:jc w:val="center"/>
              <w:ind w:right="510"/>
              <w:spacing w:after="0"/>
              <w:rPr>
                <w:sz w:val="20"/>
                <w:szCs w:val="20"/>
                <w:color w:val="auto"/>
              </w:rPr>
            </w:pPr>
            <w:r>
              <w:rPr>
                <w:rFonts w:ascii="Arial" w:cs="Arial" w:eastAsia="Arial" w:hAnsi="Arial"/>
                <w:sz w:val="18"/>
                <w:szCs w:val="18"/>
                <w:color w:val="auto"/>
                <w:w w:val="91"/>
              </w:rPr>
              <w:t>10.24.2†</w:t>
            </w:r>
          </w:p>
        </w:tc>
        <w:tc>
          <w:tcPr>
            <w:tcW w:w="7560" w:type="dxa"/>
            <w:vAlign w:val="bottom"/>
            <w:tcBorders>
              <w:bottom w:val="single" w:sz="8" w:color="0000FF"/>
            </w:tcBorders>
            <w:gridSpan w:val="18"/>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Third Amendment to Amended and Restated Lease Agreement, dated July 3, 2012, by and between The</w:t>
              </w:r>
            </w:hyperlink>
          </w:p>
        </w:tc>
        <w:tc>
          <w:tcPr>
            <w:tcW w:w="440" w:type="dxa"/>
            <w:vAlign w:val="bottom"/>
            <w:gridSpan w:val="20"/>
          </w:tcPr>
          <w:p>
            <w:pPr>
              <w:spacing w:after="0"/>
              <w:rPr>
                <w:sz w:val="24"/>
                <w:szCs w:val="24"/>
                <w:color w:val="auto"/>
              </w:rPr>
            </w:pPr>
          </w:p>
        </w:tc>
      </w:tr>
      <w:tr>
        <w:trPr>
          <w:trHeight w:val="155"/>
        </w:trPr>
        <w:tc>
          <w:tcPr>
            <w:tcW w:w="1240" w:type="dxa"/>
            <w:vAlign w:val="bottom"/>
          </w:tcPr>
          <w:p>
            <w:pPr>
              <w:spacing w:after="0"/>
              <w:rPr>
                <w:sz w:val="13"/>
                <w:szCs w:val="13"/>
                <w:color w:val="auto"/>
              </w:rPr>
            </w:pPr>
          </w:p>
        </w:tc>
        <w:tc>
          <w:tcPr>
            <w:tcW w:w="8000" w:type="dxa"/>
            <w:vAlign w:val="bottom"/>
            <w:gridSpan w:val="38"/>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Gateway to Nashville LLC and Cumberland Emerging Technologies, Inc., incorporated herein by reference to</w:t>
              </w:r>
            </w:hyperlink>
          </w:p>
        </w:tc>
      </w:tr>
      <w:tr>
        <w:trPr>
          <w:trHeight w:val="156"/>
        </w:trPr>
        <w:tc>
          <w:tcPr>
            <w:tcW w:w="1240" w:type="dxa"/>
            <w:vAlign w:val="bottom"/>
          </w:tcPr>
          <w:p>
            <w:pPr>
              <w:spacing w:after="0"/>
              <w:rPr>
                <w:sz w:val="13"/>
                <w:szCs w:val="13"/>
                <w:color w:val="auto"/>
              </w:rPr>
            </w:pPr>
          </w:p>
        </w:tc>
        <w:tc>
          <w:tcPr>
            <w:tcW w:w="7960" w:type="dxa"/>
            <w:vAlign w:val="bottom"/>
            <w:tcBorders>
              <w:top w:val="single" w:sz="8" w:color="0000FF"/>
            </w:tcBorders>
            <w:gridSpan w:val="36"/>
          </w:tcPr>
          <w:p>
            <w:pPr>
              <w:spacing w:after="0" w:line="156"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the corresponding exhibit to the Registrant's Quarterly Report on Form 10-Q (File No. 001-33637) as filed</w:t>
              </w:r>
            </w:hyperlink>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with the SEC on August 9, 2012</w:t>
              </w:r>
            </w:hyperlink>
          </w:p>
        </w:tc>
        <w:tc>
          <w:tcPr>
            <w:tcW w:w="5320" w:type="dxa"/>
            <w:vAlign w:val="bottom"/>
            <w:tcBorders>
              <w:top w:val="single" w:sz="8" w:color="0000FF"/>
            </w:tcBorders>
            <w:gridSpan w:val="19"/>
          </w:tcPr>
          <w:p>
            <w:pPr>
              <w:spacing w:after="0"/>
              <w:rPr>
                <w:sz w:val="13"/>
                <w:szCs w:val="13"/>
                <w:color w:val="auto"/>
              </w:rPr>
            </w:pPr>
          </w:p>
        </w:tc>
        <w:tc>
          <w:tcPr>
            <w:tcW w:w="340" w:type="dxa"/>
            <w:vAlign w:val="bottom"/>
            <w:gridSpan w:val="16"/>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79"/>
          </w:cols>
          <w:pgMar w:left="780" w:top="1440" w:right="1440" w:bottom="1440" w:gutter="0" w:footer="0" w:header="0"/>
        </w:sectPr>
      </w:pPr>
    </w:p>
    <w:bookmarkStart w:id="81" w:name="page82"/>
    <w:bookmarkEnd w:id="8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10.25†</w:t>
            </w:r>
          </w:p>
        </w:tc>
        <w:tc>
          <w:tcPr>
            <w:tcW w:w="8020" w:type="dxa"/>
            <w:vAlign w:val="bottom"/>
            <w:gridSpan w:val="33"/>
          </w:tcPr>
          <w:p>
            <w:pPr>
              <w:spacing w:after="0"/>
              <w:rPr>
                <w:rFonts w:ascii="Arial" w:cs="Arial" w:eastAsia="Arial" w:hAnsi="Arial"/>
                <w:sz w:val="18"/>
                <w:szCs w:val="18"/>
                <w:color w:val="0000FF"/>
                <w:w w:val="90"/>
              </w:rPr>
            </w:pPr>
            <w:hyperlink r:id="rId116">
              <w:r>
                <w:rPr>
                  <w:rFonts w:ascii="Arial" w:cs="Arial" w:eastAsia="Arial" w:hAnsi="Arial"/>
                  <w:sz w:val="18"/>
                  <w:szCs w:val="18"/>
                  <w:color w:val="0000FF"/>
                  <w:w w:val="90"/>
                </w:rPr>
                <w:t>License and Supply Agreement, dated November 16, 2015, by and between Cumberland Pharmaceuticals Inc.</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and Gastro-Entero Logic, LLC incorporated herein by reference to the corresponding exhibit of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140" w:type="dxa"/>
            <w:vAlign w:val="bottom"/>
            <w:tcBorders>
              <w:top w:val="single" w:sz="8" w:color="0000FF"/>
            </w:tcBorders>
            <w:gridSpan w:val="10"/>
          </w:tcPr>
          <w:p>
            <w:pPr>
              <w:spacing w:after="0"/>
              <w:rPr>
                <w:rFonts w:ascii="Arial" w:cs="Arial" w:eastAsia="Arial" w:hAnsi="Arial"/>
                <w:sz w:val="18"/>
                <w:szCs w:val="18"/>
                <w:u w:val="single" w:color="auto"/>
                <w:color w:val="0000FF"/>
                <w:w w:val="91"/>
              </w:rPr>
            </w:pPr>
            <w:hyperlink r:id="rId116">
              <w:r>
                <w:rPr>
                  <w:rFonts w:ascii="Arial" w:cs="Arial" w:eastAsia="Arial" w:hAnsi="Arial"/>
                  <w:sz w:val="18"/>
                  <w:szCs w:val="18"/>
                  <w:u w:val="single" w:color="auto"/>
                  <w:color w:val="0000FF"/>
                  <w:w w:val="91"/>
                </w:rPr>
                <w:t>Registrant's Annual Report on Form 10-K (File No. 001-33637) as filed with the SEC on March 14,</w:t>
              </w:r>
            </w:hyperlink>
          </w:p>
        </w:tc>
        <w:tc>
          <w:tcPr>
            <w:tcW w:w="460" w:type="dxa"/>
            <w:vAlign w:val="bottom"/>
            <w:gridSpan w:val="6"/>
          </w:tcPr>
          <w:p>
            <w:pPr>
              <w:ind w:left="100"/>
              <w:spacing w:after="0"/>
              <w:rPr>
                <w:rFonts w:ascii="Arial" w:cs="Arial" w:eastAsia="Arial" w:hAnsi="Arial"/>
                <w:sz w:val="18"/>
                <w:szCs w:val="18"/>
                <w:u w:val="single" w:color="auto"/>
                <w:color w:val="0000FF"/>
                <w:w w:val="84"/>
              </w:rPr>
            </w:pPr>
            <w:hyperlink r:id="rId116">
              <w:r>
                <w:rPr>
                  <w:rFonts w:ascii="Arial" w:cs="Arial" w:eastAsia="Arial" w:hAnsi="Arial"/>
                  <w:sz w:val="18"/>
                  <w:szCs w:val="18"/>
                  <w:u w:val="single" w:color="auto"/>
                  <w:color w:val="0000FF"/>
                  <w:w w:val="84"/>
                </w:rPr>
                <w:t>2016</w:t>
              </w:r>
            </w:hyperlink>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10.28†</w:t>
            </w:r>
          </w:p>
        </w:tc>
        <w:tc>
          <w:tcPr>
            <w:tcW w:w="8020" w:type="dxa"/>
            <w:vAlign w:val="bottom"/>
            <w:gridSpan w:val="33"/>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Asset Purchase and Royalty Agreement for Kristalose dated November 15, 2011 by and between Mylan Inc.</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and Cumberland Pharmaceuticals Inc., incorporated herein by reference to the corresponding exhibit of the</w:t>
              </w:r>
            </w:hyperlink>
          </w:p>
        </w:tc>
        <w:tc>
          <w:tcPr>
            <w:tcW w:w="1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20" w:type="dxa"/>
            <w:vAlign w:val="bottom"/>
            <w:gridSpan w:val="33"/>
          </w:tcPr>
          <w:p>
            <w:pPr>
              <w:spacing w:after="0"/>
              <w:rPr>
                <w:rFonts w:ascii="Arial" w:cs="Arial" w:eastAsia="Arial" w:hAnsi="Arial"/>
                <w:sz w:val="18"/>
                <w:szCs w:val="18"/>
                <w:u w:val="single" w:color="auto"/>
                <w:color w:val="0000FF"/>
                <w:w w:val="93"/>
              </w:rPr>
            </w:pPr>
            <w:hyperlink r:id="rId117">
              <w:r>
                <w:rPr>
                  <w:rFonts w:ascii="Arial" w:cs="Arial" w:eastAsia="Arial" w:hAnsi="Arial"/>
                  <w:sz w:val="18"/>
                  <w:szCs w:val="18"/>
                  <w:u w:val="single" w:color="auto"/>
                  <w:color w:val="0000FF"/>
                  <w:w w:val="93"/>
                </w:rPr>
                <w:t>Registrant’s Current Report on Form 8-K (File No. 001-33637) as filed with the SEC on November 22, 2011</w:t>
              </w:r>
            </w:hyperlink>
          </w:p>
        </w:tc>
        <w:tc>
          <w:tcPr>
            <w:tcW w:w="0" w:type="dxa"/>
            <w:vAlign w:val="bottom"/>
          </w:tcPr>
          <w:p>
            <w:pPr>
              <w:spacing w:after="0"/>
              <w:rPr>
                <w:sz w:val="1"/>
                <w:szCs w:val="1"/>
                <w:color w:val="auto"/>
              </w:rPr>
            </w:pPr>
          </w:p>
        </w:tc>
      </w:tr>
      <w:tr>
        <w:trPr>
          <w:trHeight w:val="229"/>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10.30#</w:t>
            </w:r>
          </w:p>
        </w:tc>
        <w:tc>
          <w:tcPr>
            <w:tcW w:w="8020" w:type="dxa"/>
            <w:vAlign w:val="bottom"/>
            <w:gridSpan w:val="33"/>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Supplemental Executive Retirement and Savings Plan, incorporated herein by reference to the corresponding</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840" w:type="dxa"/>
            <w:vAlign w:val="bottom"/>
            <w:tcBorders>
              <w:top w:val="single" w:sz="8" w:color="0000FF"/>
            </w:tcBorders>
            <w:gridSpan w:val="24"/>
          </w:tcPr>
          <w:p>
            <w:pPr>
              <w:spacing w:after="0" w:line="156"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exhibit to the Registrant's Current Report on Form 8-K (File No. 001-33637) as filed with the SEC on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18">
              <w:r>
                <w:rPr>
                  <w:rFonts w:ascii="Arial" w:cs="Arial" w:eastAsia="Arial" w:hAnsi="Arial"/>
                  <w:sz w:val="18"/>
                  <w:szCs w:val="18"/>
                  <w:color w:val="0000FF"/>
                  <w:w w:val="85"/>
                </w:rPr>
                <w:t>24, 2012</w:t>
              </w:r>
            </w:hyperlink>
          </w:p>
        </w:tc>
        <w:tc>
          <w:tcPr>
            <w:tcW w:w="18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10.31†</w:t>
            </w:r>
          </w:p>
        </w:tc>
        <w:tc>
          <w:tcPr>
            <w:tcW w:w="8020" w:type="dxa"/>
            <w:vAlign w:val="bottom"/>
            <w:gridSpan w:val="33"/>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Settlement Agreement, dated November 9, 2012, by and between Cumberland Pharmaceuticals Inc., Paddock</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98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Laboratories, LLC and Perrigo Company incorporated herein by reference to the corresponding exhibit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900" w:type="dxa"/>
            <w:vAlign w:val="bottom"/>
            <w:tcBorders>
              <w:top w:val="single" w:sz="8" w:color="0000FF"/>
            </w:tcBorders>
            <w:gridSpan w:val="27"/>
          </w:tcPr>
          <w:p>
            <w:pPr>
              <w:spacing w:after="0"/>
              <w:rPr>
                <w:rFonts w:ascii="Arial" w:cs="Arial" w:eastAsia="Arial" w:hAnsi="Arial"/>
                <w:sz w:val="18"/>
                <w:szCs w:val="18"/>
                <w:u w:val="single" w:color="auto"/>
                <w:color w:val="0000FF"/>
                <w:w w:val="95"/>
              </w:rPr>
            </w:pPr>
            <w:hyperlink r:id="rId119">
              <w:r>
                <w:rPr>
                  <w:rFonts w:ascii="Arial" w:cs="Arial" w:eastAsia="Arial" w:hAnsi="Arial"/>
                  <w:sz w:val="18"/>
                  <w:szCs w:val="18"/>
                  <w:u w:val="single" w:color="auto"/>
                  <w:color w:val="0000FF"/>
                  <w:w w:val="95"/>
                </w:rPr>
                <w:t>Registrant’s Annual Report on Form 10-K (File No. 001-33637) as filed with the SEC on March 12, 2013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10.32†</w:t>
            </w:r>
          </w:p>
        </w:tc>
        <w:tc>
          <w:tcPr>
            <w:tcW w:w="8020" w:type="dxa"/>
            <w:vAlign w:val="bottom"/>
            <w:gridSpan w:val="33"/>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License and Supply Agreement, dated November 9, 2012, by and between Cumberland Pharmaceuticals Inc.,</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92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Paddock Laboratories, LLC and Perrigo Company incorporated herein by reference to the corresponding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exhibit to the Registrant’s Annual Report on Form 10-K (File No. 001-33637) as filed with the SEC on</w:t>
              </w:r>
            </w:hyperlink>
          </w:p>
        </w:tc>
        <w:tc>
          <w:tcPr>
            <w:tcW w:w="480" w:type="dxa"/>
            <w:vAlign w:val="bottom"/>
            <w:tcBorders>
              <w:bottom w:val="single" w:sz="8" w:color="0000FF"/>
            </w:tcBorders>
            <w:gridSpan w:val="18"/>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March</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20" w:type="dxa"/>
            <w:vAlign w:val="bottom"/>
            <w:tcBorders>
              <w:bottom w:val="single" w:sz="8" w:color="0000FF"/>
            </w:tcBorders>
          </w:tcPr>
          <w:p>
            <w:pPr>
              <w:spacing w:after="0" w:line="156" w:lineRule="exact"/>
              <w:rPr>
                <w:rFonts w:ascii="Arial" w:cs="Arial" w:eastAsia="Arial" w:hAnsi="Arial"/>
                <w:sz w:val="18"/>
                <w:szCs w:val="18"/>
                <w:color w:val="0000FF"/>
                <w:w w:val="85"/>
              </w:rPr>
            </w:pPr>
            <w:hyperlink r:id="rId120">
              <w:r>
                <w:rPr>
                  <w:rFonts w:ascii="Arial" w:cs="Arial" w:eastAsia="Arial" w:hAnsi="Arial"/>
                  <w:sz w:val="18"/>
                  <w:szCs w:val="18"/>
                  <w:color w:val="0000FF"/>
                  <w:w w:val="85"/>
                </w:rPr>
                <w:t>12, 2013</w:t>
              </w:r>
            </w:hyperlink>
          </w:p>
        </w:tc>
        <w:tc>
          <w:tcPr>
            <w:tcW w:w="1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10.34</w:t>
            </w:r>
          </w:p>
        </w:tc>
        <w:tc>
          <w:tcPr>
            <w:tcW w:w="7700" w:type="dxa"/>
            <w:vAlign w:val="bottom"/>
            <w:tcBorders>
              <w:bottom w:val="single" w:sz="8" w:color="0000FF"/>
            </w:tcBorders>
            <w:gridSpan w:val="18"/>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Revolving Credit Loan Agreement, dated July 31, 2017, by and between Cumberland Pharmaceuticals Inc.</w:t>
              </w:r>
            </w:hyperlink>
          </w:p>
        </w:tc>
        <w:tc>
          <w:tcPr>
            <w:tcW w:w="32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20" w:type="dxa"/>
            <w:vAlign w:val="bottom"/>
            <w:gridSpan w:val="33"/>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and Pinnacle Bank incorporated herein by reference to the corresponding exhibit to the Registrant's Quarterly</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Report on Form 10-Q (File No. 001-33637) as filed with the SEC on November 8, 2017</w:t>
              </w:r>
            </w:hyperlink>
          </w:p>
        </w:tc>
        <w:tc>
          <w:tcPr>
            <w:tcW w:w="16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10.35</w:t>
            </w:r>
          </w:p>
        </w:tc>
        <w:tc>
          <w:tcPr>
            <w:tcW w:w="8020" w:type="dxa"/>
            <w:vAlign w:val="bottom"/>
            <w:gridSpan w:val="33"/>
          </w:tcPr>
          <w:p>
            <w:pPr>
              <w:spacing w:after="0"/>
              <w:rPr>
                <w:rFonts w:ascii="Arial" w:cs="Arial" w:eastAsia="Arial" w:hAnsi="Arial"/>
                <w:sz w:val="18"/>
                <w:szCs w:val="18"/>
                <w:color w:val="0000FF"/>
              </w:rPr>
            </w:pPr>
            <w:hyperlink r:id="rId93">
              <w:r>
                <w:rPr>
                  <w:rFonts w:ascii="Arial" w:cs="Arial" w:eastAsia="Arial" w:hAnsi="Arial"/>
                  <w:sz w:val="18"/>
                  <w:szCs w:val="18"/>
                  <w:color w:val="0000FF"/>
                </w:rPr>
                <w:t>Amendment to Revolving Credit Loan Agreement, by and between Pinnacle Bank and Cumberland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Pharmaceuticals Inc., dated August 14, 2018, incorporated herein by reference to Exhibit 10.1 to the</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gridSpan w:val="2"/>
            <w:vMerge w:val="restart"/>
          </w:tcPr>
          <w:p>
            <w:pPr>
              <w:spacing w:after="0"/>
              <w:rPr>
                <w:rFonts w:ascii="Arial" w:cs="Arial" w:eastAsia="Arial" w:hAnsi="Arial"/>
                <w:sz w:val="18"/>
                <w:szCs w:val="18"/>
                <w:u w:val="single" w:color="auto"/>
                <w:color w:val="0000FF"/>
                <w:w w:val="79"/>
              </w:rPr>
            </w:pPr>
            <w:hyperlink r:id="rId93">
              <w:r>
                <w:rPr>
                  <w:rFonts w:ascii="Arial" w:cs="Arial" w:eastAsia="Arial" w:hAnsi="Arial"/>
                  <w:sz w:val="18"/>
                  <w:szCs w:val="18"/>
                  <w:u w:val="single" w:color="auto"/>
                  <w:color w:val="0000FF"/>
                  <w:w w:val="79"/>
                </w:rPr>
                <w:t>2018</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260" w:type="dxa"/>
            <w:vAlign w:val="bottom"/>
            <w:gridSpan w:val="14"/>
          </w:tcPr>
          <w:p>
            <w:pPr>
              <w:spacing w:after="0"/>
              <w:rPr>
                <w:rFonts w:ascii="Arial" w:cs="Arial" w:eastAsia="Arial" w:hAnsi="Arial"/>
                <w:sz w:val="18"/>
                <w:szCs w:val="18"/>
                <w:u w:val="single" w:color="auto"/>
                <w:color w:val="0000FF"/>
                <w:w w:val="92"/>
              </w:rPr>
            </w:pPr>
            <w:hyperlink r:id="rId93">
              <w:r>
                <w:rPr>
                  <w:rFonts w:ascii="Arial" w:cs="Arial" w:eastAsia="Arial" w:hAnsi="Arial"/>
                  <w:sz w:val="18"/>
                  <w:szCs w:val="18"/>
                  <w:u w:val="single" w:color="auto"/>
                  <w:color w:val="0000FF"/>
                  <w:w w:val="92"/>
                </w:rPr>
                <w:t>Registrant's Quarterly Report Form 10-Q (File No. 001-33637) as filed with the SEC on August 14,</w:t>
              </w:r>
            </w:hyperlink>
          </w:p>
        </w:tc>
        <w:tc>
          <w:tcPr>
            <w:tcW w:w="3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10.36</w:t>
            </w:r>
          </w:p>
        </w:tc>
        <w:tc>
          <w:tcPr>
            <w:tcW w:w="8020" w:type="dxa"/>
            <w:vAlign w:val="bottom"/>
            <w:gridSpan w:val="33"/>
          </w:tcPr>
          <w:p>
            <w:pPr>
              <w:spacing w:after="0"/>
              <w:rPr>
                <w:rFonts w:ascii="Arial" w:cs="Arial" w:eastAsia="Arial" w:hAnsi="Arial"/>
                <w:sz w:val="18"/>
                <w:szCs w:val="18"/>
                <w:color w:val="0000FF"/>
                <w:w w:val="95"/>
              </w:rPr>
            </w:pPr>
            <w:hyperlink r:id="rId93">
              <w:r>
                <w:rPr>
                  <w:rFonts w:ascii="Arial" w:cs="Arial" w:eastAsia="Arial" w:hAnsi="Arial"/>
                  <w:sz w:val="18"/>
                  <w:szCs w:val="18"/>
                  <w:color w:val="0000FF"/>
                  <w:w w:val="95"/>
                </w:rPr>
                <w:t>First Amendment to Revolving Credit Note and Second Amendment to Revolving Credit Loan Agreement,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72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93">
              <w:r>
                <w:rPr>
                  <w:rFonts w:ascii="Arial" w:cs="Arial" w:eastAsia="Arial" w:hAnsi="Arial"/>
                  <w:sz w:val="18"/>
                  <w:szCs w:val="18"/>
                  <w:color w:val="0000FF"/>
                  <w:w w:val="95"/>
                </w:rPr>
                <w:t>dated as of October 17, 2018, by and between Cumberland Pharmaceuticals Inc. and Pinnacle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24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incorporated herein by reference to Exhibit 10.1 to the Registrant's Current Report on Form 8-K (File</w:t>
              </w:r>
            </w:hyperlink>
          </w:p>
        </w:tc>
        <w:tc>
          <w:tcPr>
            <w:tcW w:w="780" w:type="dxa"/>
            <w:vAlign w:val="bottom"/>
            <w:gridSpan w:val="20"/>
          </w:tcPr>
          <w:p>
            <w:pPr>
              <w:ind w:left="100"/>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No.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001-33637) as filed with the SEC on October 19, 2018</w:t>
              </w:r>
            </w:hyperlink>
          </w:p>
        </w:tc>
        <w:tc>
          <w:tcPr>
            <w:tcW w:w="366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10.37</w:t>
            </w:r>
          </w:p>
        </w:tc>
        <w:tc>
          <w:tcPr>
            <w:tcW w:w="8020" w:type="dxa"/>
            <w:vAlign w:val="bottom"/>
            <w:gridSpan w:val="33"/>
          </w:tcPr>
          <w:p>
            <w:pPr>
              <w:spacing w:after="0"/>
              <w:rPr>
                <w:rFonts w:ascii="Arial" w:cs="Arial" w:eastAsia="Arial" w:hAnsi="Arial"/>
                <w:sz w:val="18"/>
                <w:szCs w:val="18"/>
                <w:color w:val="0000FF"/>
                <w:w w:val="94"/>
              </w:rPr>
            </w:pPr>
            <w:hyperlink r:id="rId121">
              <w:r>
                <w:rPr>
                  <w:rFonts w:ascii="Arial" w:cs="Arial" w:eastAsia="Arial" w:hAnsi="Arial"/>
                  <w:sz w:val="18"/>
                  <w:szCs w:val="18"/>
                  <w:color w:val="0000FF"/>
                  <w:w w:val="94"/>
                </w:rPr>
                <w:t>Second Amendment to Revolving Credit Note and Third Amendment to Revolving Credit Loan Agreement,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800" w:type="dxa"/>
            <w:vAlign w:val="bottom"/>
            <w:tcBorders>
              <w:top w:val="single" w:sz="8" w:color="0000FF"/>
            </w:tcBorders>
            <w:gridSpan w:val="22"/>
          </w:tcPr>
          <w:p>
            <w:pPr>
              <w:spacing w:after="0" w:line="156" w:lineRule="exact"/>
              <w:rPr>
                <w:rFonts w:ascii="Arial" w:cs="Arial" w:eastAsia="Arial" w:hAnsi="Arial"/>
                <w:sz w:val="18"/>
                <w:szCs w:val="18"/>
                <w:color w:val="0000FF"/>
                <w:w w:val="88"/>
              </w:rPr>
            </w:pPr>
            <w:hyperlink r:id="rId121">
              <w:r>
                <w:rPr>
                  <w:rFonts w:ascii="Arial" w:cs="Arial" w:eastAsia="Arial" w:hAnsi="Arial"/>
                  <w:sz w:val="18"/>
                  <w:szCs w:val="18"/>
                  <w:color w:val="0000FF"/>
                  <w:w w:val="88"/>
                </w:rPr>
                <w:t>dated as of May 10, 2019, by and between Cumberland Pharmaceuticals Inc. and Pinnacle Bank, incorporated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00" w:type="dxa"/>
            <w:vAlign w:val="bottom"/>
            <w:tcBorders>
              <w:top w:val="single" w:sz="8" w:color="0000FF"/>
            </w:tcBorders>
            <w:gridSpan w:val="32"/>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herein by reference to Exhibit 10.2 to the Registrant's Quarterly Report on Form 10-Q (File No. 001-336371)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8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as filed with the SEC on May 15,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10.38#</w:t>
            </w:r>
          </w:p>
        </w:tc>
        <w:tc>
          <w:tcPr>
            <w:tcW w:w="8020" w:type="dxa"/>
            <w:vAlign w:val="bottom"/>
            <w:gridSpan w:val="33"/>
          </w:tcPr>
          <w:p>
            <w:pP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Amendment Number 2 to the Amended and Restated 2007 Long-Term Incentive Plan, incorporated herein by</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960" w:type="dxa"/>
            <w:vAlign w:val="bottom"/>
            <w:tcBorders>
              <w:top w:val="single" w:sz="8" w:color="0000FF"/>
            </w:tcBorders>
            <w:gridSpan w:val="30"/>
          </w:tcPr>
          <w:p>
            <w:pPr>
              <w:spacing w:after="0" w:line="15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reference to Exhibit 10.1 of the Registrant’s Quarterly Report on Form 10-Q (File No. 001-33637) as filed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6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with the SEC on August 14, 2020</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10.39#</w:t>
            </w:r>
          </w:p>
        </w:tc>
        <w:tc>
          <w:tcPr>
            <w:tcW w:w="8020" w:type="dxa"/>
            <w:vAlign w:val="bottom"/>
            <w:gridSpan w:val="3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Amendment Number 2 to the Amended and Restated 2007 Directors’ Incentive Compensation Plan,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2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incorporated herein by reference to Exhibit 10.2 of the Registrant’s Quarterly Report on Form 10-Q</w:t>
              </w:r>
            </w:hyperlink>
          </w:p>
        </w:tc>
        <w:tc>
          <w:tcPr>
            <w:tcW w:w="800" w:type="dxa"/>
            <w:vAlign w:val="bottom"/>
            <w:gridSpan w:val="21"/>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(File No.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001-33637) as filed with the SEC on August 14, 2020</w:t>
              </w:r>
            </w:hyperlink>
          </w:p>
        </w:tc>
        <w:tc>
          <w:tcPr>
            <w:tcW w:w="4000" w:type="dxa"/>
            <w:vAlign w:val="bottom"/>
            <w:tcBorders>
              <w:top w:val="single" w:sz="8" w:color="0000FF"/>
            </w:tcBorders>
            <w:gridSpan w:val="2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10.40</w:t>
            </w:r>
          </w:p>
        </w:tc>
        <w:tc>
          <w:tcPr>
            <w:tcW w:w="8020" w:type="dxa"/>
            <w:vAlign w:val="bottom"/>
            <w:gridSpan w:val="33"/>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Payment Protection Program Note dated April 20, 2020, by and between Cumberland Pharmaceuticals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8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8020" w:type="dxa"/>
            <w:vAlign w:val="bottom"/>
            <w:gridSpan w:val="33"/>
          </w:tcPr>
          <w:p>
            <w:pPr>
              <w:spacing w:after="0" w:line="15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and Pinnacle Bank, incorporated herein by reference to Exhibit 10.3 of the Registrant’s Quarterly Report 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7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Form 10-Q (File No. 001-33637) as filed with the SEC on August 14, 2020</w:t>
              </w:r>
            </w:hyperlink>
          </w:p>
        </w:tc>
        <w:tc>
          <w:tcPr>
            <w:tcW w:w="2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2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10.41</w:t>
            </w:r>
          </w:p>
        </w:tc>
        <w:tc>
          <w:tcPr>
            <w:tcW w:w="8020" w:type="dxa"/>
            <w:vAlign w:val="bottom"/>
            <w:gridSpan w:val="33"/>
          </w:tcPr>
          <w:p>
            <w:pPr>
              <w:spacing w:after="0"/>
              <w:rPr>
                <w:rFonts w:ascii="Arial" w:cs="Arial" w:eastAsia="Arial" w:hAnsi="Arial"/>
                <w:sz w:val="18"/>
                <w:szCs w:val="18"/>
                <w:color w:val="0000FF"/>
                <w:w w:val="95"/>
              </w:rPr>
            </w:pPr>
            <w:hyperlink r:id="rId125">
              <w:r>
                <w:rPr>
                  <w:rFonts w:ascii="Arial" w:cs="Arial" w:eastAsia="Arial" w:hAnsi="Arial"/>
                  <w:sz w:val="18"/>
                  <w:szCs w:val="18"/>
                  <w:color w:val="0000FF"/>
                  <w:w w:val="95"/>
                </w:rPr>
                <w:t>Third Amendment to Revolving Credit Note and Fourth Amendment to Revolving Credit Loan Agreement,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740" w:type="dxa"/>
            <w:vAlign w:val="bottom"/>
            <w:tcBorders>
              <w:top w:val="single" w:sz="8" w:color="0000FF"/>
            </w:tcBorders>
            <w:gridSpan w:val="20"/>
          </w:tcPr>
          <w:p>
            <w:pPr>
              <w:spacing w:after="0" w:line="156" w:lineRule="exact"/>
              <w:rPr>
                <w:rFonts w:ascii="Arial" w:cs="Arial" w:eastAsia="Arial" w:hAnsi="Arial"/>
                <w:sz w:val="18"/>
                <w:szCs w:val="18"/>
                <w:color w:val="0000FF"/>
                <w:w w:val="97"/>
              </w:rPr>
            </w:pPr>
            <w:hyperlink r:id="rId125">
              <w:r>
                <w:rPr>
                  <w:rFonts w:ascii="Arial" w:cs="Arial" w:eastAsia="Arial" w:hAnsi="Arial"/>
                  <w:sz w:val="18"/>
                  <w:szCs w:val="18"/>
                  <w:color w:val="0000FF"/>
                  <w:w w:val="97"/>
                </w:rPr>
                <w:t>dated as of October 7, 2020, by and between Cumberland Pharmaceuticals Inc. and Pinnacle Bank,</w:t>
              </w:r>
            </w:hyperlink>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9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8020" w:type="dxa"/>
            <w:vAlign w:val="bottom"/>
            <w:gridSpan w:val="33"/>
          </w:tcPr>
          <w:p>
            <w:pPr>
              <w:spacing w:after="0" w:line="15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incorporated herein by reference to Exhibit 10.1 of the Registrant’s Quarterly Report on Form 10-Q (File No.</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001-33637) as filed with the SEC on November 13, 2020</w:t>
              </w:r>
            </w:hyperlink>
          </w:p>
        </w:tc>
        <w:tc>
          <w:tcPr>
            <w:tcW w:w="3760" w:type="dxa"/>
            <w:vAlign w:val="bottom"/>
            <w:tcBorders>
              <w:top w:val="single" w:sz="8" w:color="0000FF"/>
            </w:tcBorders>
            <w:gridSpan w:val="20"/>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99"/>
          </w:cols>
          <w:pgMar w:left="860" w:top="1440" w:right="1440" w:bottom="1440" w:gutter="0" w:footer="0" w:header="0"/>
        </w:sectPr>
      </w:pPr>
    </w:p>
    <w:bookmarkStart w:id="82" w:name="page83"/>
    <w:bookmarkEnd w:id="82"/>
    <w:p>
      <w:pPr>
        <w:spacing w:after="0" w:line="265" w:lineRule="exact"/>
        <w:rPr>
          <w:sz w:val="20"/>
          <w:szCs w:val="20"/>
          <w:color w:val="auto"/>
        </w:rPr>
      </w:pPr>
    </w:p>
    <w:p>
      <w:pPr>
        <w:ind w:left="1220" w:right="640" w:hanging="1144"/>
        <w:spacing w:after="0" w:line="289" w:lineRule="auto"/>
        <w:tabs>
          <w:tab w:leader="none" w:pos="1220" w:val="left"/>
        </w:tabs>
        <w:numPr>
          <w:ilvl w:val="0"/>
          <w:numId w:val="36"/>
        </w:numPr>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Subsidiaries of Cumberland Pharmaceuticals Inc., incorporated herein by reference to the corresponding exhibit to the</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Registrant’s Registration Statement on Form S-1 (File No. 333-142535) as filed with the SEC on May 1, 2007</w:t>
        </w:r>
      </w:hyperlink>
    </w:p>
    <w:p>
      <w:pPr>
        <w:spacing w:after="0" w:line="2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jc w:val="right"/>
              <w:ind w:right="810"/>
              <w:spacing w:after="0"/>
              <w:rPr>
                <w:sz w:val="20"/>
                <w:szCs w:val="20"/>
                <w:color w:val="auto"/>
              </w:rPr>
            </w:pPr>
            <w:r>
              <w:rPr>
                <w:rFonts w:ascii="Arial" w:cs="Arial" w:eastAsia="Arial" w:hAnsi="Arial"/>
                <w:sz w:val="18"/>
                <w:szCs w:val="18"/>
                <w:color w:val="auto"/>
                <w:w w:val="85"/>
              </w:rPr>
              <w:t>23.1</w:t>
            </w:r>
          </w:p>
        </w:tc>
        <w:tc>
          <w:tcPr>
            <w:tcW w:w="9160" w:type="dxa"/>
            <w:vAlign w:val="bottom"/>
            <w:gridSpan w:val="6"/>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Consent of BDO USA, LLP</w:t>
              </w:r>
            </w:hyperlink>
          </w:p>
        </w:tc>
      </w:tr>
      <w:tr>
        <w:trPr>
          <w:trHeight w:val="297"/>
        </w:trPr>
        <w:tc>
          <w:tcPr>
            <w:tcW w:w="1220" w:type="dxa"/>
            <w:vAlign w:val="bottom"/>
          </w:tcPr>
          <w:p>
            <w:pPr>
              <w:jc w:val="right"/>
              <w:ind w:right="810"/>
              <w:spacing w:after="0"/>
              <w:rPr>
                <w:sz w:val="20"/>
                <w:szCs w:val="20"/>
                <w:color w:val="auto"/>
              </w:rPr>
            </w:pPr>
            <w:r>
              <w:rPr>
                <w:rFonts w:ascii="Arial" w:cs="Arial" w:eastAsia="Arial" w:hAnsi="Arial"/>
                <w:sz w:val="18"/>
                <w:szCs w:val="18"/>
                <w:color w:val="auto"/>
                <w:w w:val="85"/>
              </w:rPr>
              <w:t>23.2</w:t>
            </w:r>
          </w:p>
        </w:tc>
        <w:tc>
          <w:tcPr>
            <w:tcW w:w="9160" w:type="dxa"/>
            <w:vAlign w:val="bottom"/>
            <w:gridSpan w:val="6"/>
          </w:tcPr>
          <w:p>
            <w:pPr>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Consent of BKD, LLP</w:t>
              </w:r>
            </w:hyperlink>
          </w:p>
        </w:tc>
      </w:tr>
      <w:tr>
        <w:trPr>
          <w:trHeight w:val="297"/>
        </w:trPr>
        <w:tc>
          <w:tcPr>
            <w:tcW w:w="1220" w:type="dxa"/>
            <w:vAlign w:val="bottom"/>
          </w:tcPr>
          <w:p>
            <w:pPr>
              <w:jc w:val="right"/>
              <w:ind w:right="810"/>
              <w:spacing w:after="0"/>
              <w:rPr>
                <w:sz w:val="20"/>
                <w:szCs w:val="20"/>
                <w:color w:val="auto"/>
              </w:rPr>
            </w:pPr>
            <w:r>
              <w:rPr>
                <w:rFonts w:ascii="Arial" w:cs="Arial" w:eastAsia="Arial" w:hAnsi="Arial"/>
                <w:sz w:val="18"/>
                <w:szCs w:val="18"/>
                <w:color w:val="auto"/>
                <w:w w:val="85"/>
              </w:rPr>
              <w:t>31.1</w:t>
            </w:r>
          </w:p>
        </w:tc>
        <w:tc>
          <w:tcPr>
            <w:tcW w:w="9160" w:type="dxa"/>
            <w:vAlign w:val="bottom"/>
            <w:gridSpan w:val="6"/>
          </w:tcPr>
          <w:p>
            <w:pPr>
              <w:spacing w:after="0"/>
              <w:rPr>
                <w:rFonts w:ascii="Arial" w:cs="Arial" w:eastAsia="Arial" w:hAnsi="Arial"/>
                <w:sz w:val="18"/>
                <w:szCs w:val="18"/>
                <w:color w:val="0000FF"/>
                <w:w w:val="98"/>
              </w:rPr>
            </w:pPr>
            <w:hyperlink w:anchor="page160">
              <w:r>
                <w:rPr>
                  <w:rFonts w:ascii="Arial" w:cs="Arial" w:eastAsia="Arial" w:hAnsi="Arial"/>
                  <w:sz w:val="18"/>
                  <w:szCs w:val="18"/>
                  <w:color w:val="0000FF"/>
                  <w:w w:val="98"/>
                </w:rPr>
                <w:t>Certification of Chief Executive Officer Pursuant to Rule 13-14(a) of the Securities Exchange Act of 1934 as Adopted</w:t>
              </w:r>
            </w:hyperlink>
          </w:p>
        </w:tc>
      </w:tr>
      <w:tr>
        <w:trPr>
          <w:trHeight w:val="155"/>
        </w:trPr>
        <w:tc>
          <w:tcPr>
            <w:tcW w:w="12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60">
              <w:r>
                <w:rPr>
                  <w:rFonts w:ascii="Arial" w:cs="Arial" w:eastAsia="Arial" w:hAnsi="Arial"/>
                  <w:sz w:val="18"/>
                  <w:szCs w:val="18"/>
                  <w:color w:val="0000FF"/>
                  <w:w w:val="90"/>
                </w:rPr>
                <w:t>Pursuant to Section 302 of the Sarbanes-Oxley Act of 2002.</w:t>
              </w:r>
            </w:hyperlink>
          </w:p>
        </w:tc>
        <w:tc>
          <w:tcPr>
            <w:tcW w:w="42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jc w:val="right"/>
              <w:ind w:right="810"/>
              <w:spacing w:after="0"/>
              <w:rPr>
                <w:sz w:val="20"/>
                <w:szCs w:val="20"/>
                <w:color w:val="auto"/>
              </w:rPr>
            </w:pPr>
            <w:r>
              <w:rPr>
                <w:rFonts w:ascii="Arial" w:cs="Arial" w:eastAsia="Arial" w:hAnsi="Arial"/>
                <w:sz w:val="18"/>
                <w:szCs w:val="18"/>
                <w:color w:val="auto"/>
                <w:w w:val="85"/>
              </w:rPr>
              <w:t>31.2</w:t>
            </w:r>
          </w:p>
        </w:tc>
        <w:tc>
          <w:tcPr>
            <w:tcW w:w="9160" w:type="dxa"/>
            <w:vAlign w:val="bottom"/>
            <w:gridSpan w:val="6"/>
          </w:tcPr>
          <w:p>
            <w:pPr>
              <w:spacing w:after="0"/>
              <w:rPr>
                <w:rFonts w:ascii="Arial" w:cs="Arial" w:eastAsia="Arial" w:hAnsi="Arial"/>
                <w:sz w:val="18"/>
                <w:szCs w:val="18"/>
                <w:color w:val="0000FF"/>
                <w:w w:val="91"/>
              </w:rPr>
            </w:pPr>
            <w:hyperlink w:anchor="page161">
              <w:r>
                <w:rPr>
                  <w:rFonts w:ascii="Arial" w:cs="Arial" w:eastAsia="Arial" w:hAnsi="Arial"/>
                  <w:sz w:val="18"/>
                  <w:szCs w:val="18"/>
                  <w:color w:val="0000FF"/>
                  <w:w w:val="91"/>
                </w:rPr>
                <w:t>Certification of Chief Financial Officer Pursuant to Rule 13-14(a) of the Securities Exchange Act of 1934 as Adopted Pursuant</w:t>
              </w:r>
            </w:hyperlink>
          </w:p>
        </w:tc>
      </w:tr>
      <w:tr>
        <w:trPr>
          <w:trHeight w:val="155"/>
        </w:trPr>
        <w:tc>
          <w:tcPr>
            <w:tcW w:w="1220" w:type="dxa"/>
            <w:vAlign w:val="bottom"/>
          </w:tcPr>
          <w:p>
            <w:pPr>
              <w:spacing w:after="0"/>
              <w:rPr>
                <w:sz w:val="13"/>
                <w:szCs w:val="13"/>
                <w:color w:val="auto"/>
              </w:rPr>
            </w:pPr>
          </w:p>
        </w:tc>
        <w:tc>
          <w:tcPr>
            <w:tcW w:w="3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61">
              <w:r>
                <w:rPr>
                  <w:rFonts w:ascii="Arial" w:cs="Arial" w:eastAsia="Arial" w:hAnsi="Arial"/>
                  <w:sz w:val="18"/>
                  <w:szCs w:val="18"/>
                  <w:color w:val="0000FF"/>
                  <w:w w:val="90"/>
                </w:rPr>
                <w:t>to Section 302 of the Sarbanes-Oxley Act of 2002.</w:t>
              </w:r>
            </w:hyperlink>
          </w:p>
        </w:tc>
        <w:tc>
          <w:tcPr>
            <w:tcW w:w="55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jc w:val="right"/>
              <w:ind w:right="810"/>
              <w:spacing w:after="0"/>
              <w:rPr>
                <w:sz w:val="20"/>
                <w:szCs w:val="20"/>
                <w:color w:val="auto"/>
              </w:rPr>
            </w:pPr>
            <w:r>
              <w:rPr>
                <w:rFonts w:ascii="Arial" w:cs="Arial" w:eastAsia="Arial" w:hAnsi="Arial"/>
                <w:sz w:val="18"/>
                <w:szCs w:val="18"/>
                <w:color w:val="auto"/>
                <w:w w:val="85"/>
              </w:rPr>
              <w:t>32.1</w:t>
            </w:r>
          </w:p>
        </w:tc>
        <w:tc>
          <w:tcPr>
            <w:tcW w:w="9160" w:type="dxa"/>
            <w:vAlign w:val="bottom"/>
            <w:gridSpan w:val="6"/>
          </w:tcPr>
          <w:p>
            <w:pPr>
              <w:spacing w:after="0"/>
              <w:rPr>
                <w:rFonts w:ascii="Arial" w:cs="Arial" w:eastAsia="Arial" w:hAnsi="Arial"/>
                <w:sz w:val="18"/>
                <w:szCs w:val="18"/>
                <w:color w:val="0000FF"/>
                <w:w w:val="92"/>
              </w:rPr>
            </w:pPr>
            <w:hyperlink w:anchor="page162">
              <w:r>
                <w:rPr>
                  <w:rFonts w:ascii="Arial" w:cs="Arial" w:eastAsia="Arial" w:hAnsi="Arial"/>
                  <w:sz w:val="18"/>
                  <w:szCs w:val="18"/>
                  <w:color w:val="0000FF"/>
                  <w:w w:val="92"/>
                </w:rPr>
                <w:t>Certification of Chief Executive Officer and Chief Financial Officer Pursuant to 18 U.S.C. Section 1350, as Adopted Pursuant</w:t>
              </w:r>
            </w:hyperlink>
          </w:p>
        </w:tc>
      </w:tr>
      <w:tr>
        <w:trPr>
          <w:trHeight w:val="155"/>
        </w:trPr>
        <w:tc>
          <w:tcPr>
            <w:tcW w:w="1220" w:type="dxa"/>
            <w:vAlign w:val="bottom"/>
          </w:tcPr>
          <w:p>
            <w:pPr>
              <w:spacing w:after="0"/>
              <w:rPr>
                <w:sz w:val="13"/>
                <w:szCs w:val="13"/>
                <w:color w:val="auto"/>
              </w:rPr>
            </w:pPr>
          </w:p>
        </w:tc>
        <w:tc>
          <w:tcPr>
            <w:tcW w:w="3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62">
              <w:r>
                <w:rPr>
                  <w:rFonts w:ascii="Arial" w:cs="Arial" w:eastAsia="Arial" w:hAnsi="Arial"/>
                  <w:sz w:val="18"/>
                  <w:szCs w:val="18"/>
                  <w:color w:val="0000FF"/>
                  <w:w w:val="90"/>
                </w:rPr>
                <w:t>to Section 906 of the Sarbanes-Oxley Act of 2002.</w:t>
              </w:r>
            </w:hyperlink>
          </w:p>
        </w:tc>
        <w:tc>
          <w:tcPr>
            <w:tcW w:w="5440" w:type="dxa"/>
            <w:vAlign w:val="bottom"/>
            <w:tcBorders>
              <w:top w:val="single" w:sz="8" w:color="0000FF"/>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4" w:lineRule="exact"/>
        <w:rPr>
          <w:sz w:val="20"/>
          <w:szCs w:val="20"/>
          <w:color w:val="auto"/>
        </w:rPr>
      </w:pPr>
    </w:p>
    <w:p>
      <w:pPr>
        <w:ind w:left="1200" w:hanging="107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0" w:lineRule="exact"/>
        <w:rPr>
          <w:sz w:val="20"/>
          <w:szCs w:val="20"/>
          <w:color w:val="auto"/>
        </w:rPr>
      </w:pPr>
    </w:p>
    <w:p>
      <w:pPr>
        <w:ind w:left="1200" w:right="240" w:hanging="1079"/>
        <w:spacing w:after="0" w:line="235"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These portions have been omitted from the Registration Statement and submitted separately to the Securities and Exchange Commission.</w:t>
      </w:r>
    </w:p>
    <w:p>
      <w:pPr>
        <w:spacing w:after="0" w:line="67" w:lineRule="exact"/>
        <w:rPr>
          <w:sz w:val="20"/>
          <w:szCs w:val="20"/>
          <w:color w:val="auto"/>
        </w:rPr>
      </w:pPr>
    </w:p>
    <w:p>
      <w:pPr>
        <w:ind w:left="1200" w:right="100" w:hanging="1124"/>
        <w:spacing w:after="0" w:line="235"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060" w:top="1440" w:right="479" w:bottom="1440" w:gutter="0" w:footer="0" w:header="0"/>
        </w:sectPr>
      </w:pPr>
    </w:p>
    <w:bookmarkStart w:id="83" w:name="page84"/>
    <w:bookmarkEnd w:id="8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12, 2021.</w:t>
      </w:r>
    </w:p>
    <w:p>
      <w:pPr>
        <w:spacing w:after="0" w:line="126"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Cumberland Pharmaceuticals, Inc.</w:t>
      </w:r>
    </w:p>
    <w:p>
      <w:pPr>
        <w:spacing w:after="0" w:line="256"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0435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A. J. Kazimi</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(Principal Executive Officer)</w:t>
      </w:r>
    </w:p>
    <w:p>
      <w:pPr>
        <w:spacing w:after="0" w:line="15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bottom w:val="single" w:sz="8" w:color="auto"/>
            </w:tcBorders>
          </w:tcPr>
          <w:p>
            <w:pPr>
              <w:ind w:left="2040"/>
              <w:spacing w:after="0"/>
              <w:rPr>
                <w:sz w:val="20"/>
                <w:szCs w:val="20"/>
                <w:color w:val="auto"/>
              </w:rPr>
            </w:pPr>
            <w:r>
              <w:rPr>
                <w:rFonts w:ascii="Arial" w:cs="Arial" w:eastAsia="Arial" w:hAnsi="Arial"/>
                <w:sz w:val="16"/>
                <w:szCs w:val="16"/>
                <w:b w:val="1"/>
                <w:bCs w:val="1"/>
                <w:color w:val="auto"/>
              </w:rPr>
              <w:t>Signature</w:t>
            </w:r>
          </w:p>
        </w:tc>
        <w:tc>
          <w:tcPr>
            <w:tcW w:w="140" w:type="dxa"/>
            <w:vAlign w:val="bottom"/>
          </w:tcPr>
          <w:p>
            <w:pPr>
              <w:spacing w:after="0"/>
              <w:rPr>
                <w:sz w:val="18"/>
                <w:szCs w:val="18"/>
                <w:color w:val="auto"/>
              </w:rPr>
            </w:pPr>
          </w:p>
        </w:tc>
        <w:tc>
          <w:tcPr>
            <w:tcW w:w="3700" w:type="dxa"/>
            <w:vAlign w:val="bottom"/>
            <w:tcBorders>
              <w:bottom w:val="single" w:sz="8" w:color="auto"/>
            </w:tcBorders>
          </w:tcPr>
          <w:p>
            <w:pPr>
              <w:ind w:left="1700"/>
              <w:spacing w:after="0"/>
              <w:rPr>
                <w:sz w:val="20"/>
                <w:szCs w:val="20"/>
                <w:color w:val="auto"/>
              </w:rPr>
            </w:pPr>
            <w:r>
              <w:rPr>
                <w:rFonts w:ascii="Arial" w:cs="Arial" w:eastAsia="Arial" w:hAnsi="Arial"/>
                <w:sz w:val="16"/>
                <w:szCs w:val="16"/>
                <w:b w:val="1"/>
                <w:bCs w:val="1"/>
                <w:color w:val="auto"/>
              </w:rPr>
              <w:t>Title</w:t>
            </w:r>
          </w:p>
        </w:tc>
        <w:tc>
          <w:tcPr>
            <w:tcW w:w="14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7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A. J. Kazimi</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Chairman and CEO</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A. J. Kazimi</w:t>
            </w:r>
          </w:p>
        </w:tc>
        <w:tc>
          <w:tcPr>
            <w:tcW w:w="14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 and Director)</w:t>
            </w: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P. Bonner</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Senior Director and CFO</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169"/>
        </w:trPr>
        <w:tc>
          <w:tcPr>
            <w:tcW w:w="4740" w:type="dxa"/>
            <w:vAlign w:val="bottom"/>
          </w:tcPr>
          <w:p>
            <w:pPr>
              <w:ind w:left="20"/>
              <w:spacing w:after="0" w:line="169" w:lineRule="exact"/>
              <w:rPr>
                <w:sz w:val="20"/>
                <w:szCs w:val="20"/>
                <w:color w:val="auto"/>
              </w:rPr>
            </w:pPr>
            <w:r>
              <w:rPr>
                <w:rFonts w:ascii="Arial" w:cs="Arial" w:eastAsia="Arial" w:hAnsi="Arial"/>
                <w:sz w:val="18"/>
                <w:szCs w:val="18"/>
                <w:color w:val="auto"/>
              </w:rPr>
              <w:t>Michael P. Bonner</w:t>
            </w:r>
          </w:p>
        </w:tc>
        <w:tc>
          <w:tcPr>
            <w:tcW w:w="140" w:type="dxa"/>
            <w:vAlign w:val="bottom"/>
          </w:tcPr>
          <w:p>
            <w:pPr>
              <w:spacing w:after="0"/>
              <w:rPr>
                <w:sz w:val="14"/>
                <w:szCs w:val="14"/>
                <w:color w:val="auto"/>
              </w:rPr>
            </w:pPr>
          </w:p>
        </w:tc>
        <w:tc>
          <w:tcPr>
            <w:tcW w:w="3840" w:type="dxa"/>
            <w:vAlign w:val="bottom"/>
            <w:gridSpan w:val="2"/>
          </w:tcPr>
          <w:p>
            <w:pPr>
              <w:ind w:left="20"/>
              <w:spacing w:after="0" w:line="169" w:lineRule="exact"/>
              <w:rPr>
                <w:sz w:val="20"/>
                <w:szCs w:val="20"/>
                <w:color w:val="auto"/>
              </w:rPr>
            </w:pPr>
            <w:r>
              <w:rPr>
                <w:rFonts w:ascii="Arial" w:cs="Arial" w:eastAsia="Arial" w:hAnsi="Arial"/>
                <w:sz w:val="18"/>
                <w:szCs w:val="18"/>
                <w:i w:val="1"/>
                <w:iCs w:val="1"/>
                <w:color w:val="auto"/>
              </w:rPr>
              <w:t>(Principal Financial and</w:t>
            </w:r>
          </w:p>
        </w:tc>
        <w:tc>
          <w:tcPr>
            <w:tcW w:w="2380" w:type="dxa"/>
            <w:vAlign w:val="bottom"/>
          </w:tcPr>
          <w:p>
            <w:pPr>
              <w:spacing w:after="0"/>
              <w:rPr>
                <w:sz w:val="14"/>
                <w:szCs w:val="14"/>
                <w:color w:val="auto"/>
              </w:rPr>
            </w:pPr>
          </w:p>
        </w:tc>
      </w:tr>
      <w:tr>
        <w:trPr>
          <w:trHeight w:val="230"/>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i w:val="1"/>
                <w:iCs w:val="1"/>
                <w:color w:val="auto"/>
              </w:rPr>
              <w:t>Accounting Officer</w:t>
            </w:r>
          </w:p>
        </w:tc>
        <w:tc>
          <w:tcPr>
            <w:tcW w:w="2380" w:type="dxa"/>
            <w:vAlign w:val="bottom"/>
          </w:tcPr>
          <w:p>
            <w:pPr>
              <w:spacing w:after="0"/>
              <w:rPr>
                <w:sz w:val="20"/>
                <w:szCs w:val="20"/>
                <w:color w:val="auto"/>
              </w:rPr>
            </w:pPr>
          </w:p>
        </w:tc>
      </w:tr>
      <w:tr>
        <w:trPr>
          <w:trHeight w:val="28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Martin E. Cearnal</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Martin E. Cearnal</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Gordon R. Bernard</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Gordon R. Bernard</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Jonathan I. Griggs</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Jonathan I. Griggs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R. Jones</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James R. Jones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Joey A. Jacobs</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Joey A. Jacobs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Caroline R. Young</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Caroline R. Young</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Kenneth J. Krogulski</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Kenneth J. Krogulski</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Joseph C. Galante</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12, 2021</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Joseph C. Galante</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management of Cumberland Pharmaceuticals Inc. and its subsidiaries (the "Company") is responsible for establishing and maintaining adequate internal control over financial reporting. Cumberland Pharmaceuticals Inc.’s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Cumberland Pharmaceuticals Inc.’s management assessed the effectiveness of the Company’s internal control over financial reporting as of December 31, 2020.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its assessment, management has concluded that, as of December 31, 2020, the Company’s internal control over financial reporting was effective based on those criteria.</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346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J. Kazimi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346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Bonner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5" w:name="page86"/>
    <w:bookmarkEnd w:id="8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Cumberland Pharmaceuticals Inc. (the “Company”) as of December 31, 2020, and the related consolidated statements of operations, equity, and cash flows for the year ended December 31, 2020, and the related notes and schedule listed in the accompanying index (collectively referred to as the “financial statements”). In our opinion, the consolidated financial statements referred to above present fairly, in all material respects, the financial position of the Company as of December 31, 2020, and the results of its operations and its cash flows for the year ended December 31, 2020</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Customer Allowances for Chargebacks, Discounts and Damaged Goods and Accruals for Rebates, Coupons, Product Returns and Certain Fees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Note 2 to the consolidated financial statements, revenues from product sales are recorded net of estimated allowances for chargebacks, discounts and damaged goods and reflects sales related accruals for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coupons, product returns and certain fees. These allowances and accruals are determined on a product-by-product basis, and are established by management as the Company’s best estimate at the time of sale based on each product’s historical experience adjusted to reflect known changes in the factors that impact such allowances. Management reviews these allowances on an ongoing basis and adjusts them based on the most recent information available, including actual results since the end of the reporting period. As of December 31, 2020, consolidated allowances in accounts receivable for chargebacks, cash discounts and damaged goods were $1.0 million and consolidated estimated liability for rebates, coupons, product returns and certain fees were $4.1 million. These provisions are recognized concurrently with the sales of products. Provisions for chargebacks involve estimates of usage by retailers and other indirect buyers with varying contract prices for multiple wholesalers. The provision for chargebacks varies in relation to changes in product mix, pricing and the level of inventory at the wholesalers. Provisions are calculated using historical chargeback experience, and/or expected chargeback levels for new products and anticipated pricing changes. Provisions for rebates are recognized based on contractual obligations in place at the time of sales with consideration given to relevant factors that may affect the payment as well as historical experience for estimated market activity. Provisions for Medicaid are based on historical trends of rebates paid, as well as on changes in wholesaler inventory levels, pricing data and increases or decreases in sales.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 for our determination that performing procedures relating to these allowances and accruals is a critical audit matter was the significant judgment by management to estimate the reserves due to the significant measurement uncertainty involved in developing the reserves. Management tracks the various types of allowances on several different schedules, each of which relates to different contracts agreed to with various customers or the interplay with government payors. Management exercises judgment in computing the amount of sales subject to the allowances and tracks the amount of allowances taken over time. All of this in turn led to a high degree of auditor judgment, subjectivity and effort in performing procedures and evaluating management’s significant assumptions.</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identified the estimated sales allowances and accruals as a critical audit matter. The primary procedures we performed to address this critical audit matter included:</w:t>
      </w:r>
    </w:p>
    <w:p>
      <w:pPr>
        <w:spacing w:after="0" w:line="103" w:lineRule="exact"/>
        <w:rPr>
          <w:sz w:val="20"/>
          <w:szCs w:val="20"/>
          <w:color w:val="auto"/>
        </w:rPr>
      </w:pPr>
    </w:p>
    <w:p>
      <w:pPr>
        <w:jc w:val="both"/>
        <w:ind w:left="66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Testing the completeness and accuracy of the underlying data used to estimate the accrual by agreeing the sales data used in the calculation to reports that were reconciled to the financial statements, reconciling the various allowance percentages to signed customer contracts, tracing the allowance amounts used by the various customers during the year to supporting documentation and comparing the estimated allowances from the end of 2019 to actual results that occurred during 2020;</w:t>
      </w:r>
    </w:p>
    <w:p>
      <w:pPr>
        <w:spacing w:after="0" w:line="10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Testing the assumptions used by management in the computation of selected allowances to historical results for the related products and any recent changes in factors that could influence the future allowances to be claimed;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Comparing actual allowances reported since December 31, 2020 to the estimated reserves and accruals recorded on the December 31, 2020 consolidated balance sheet;</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Testing the clerical accuracy of the individual customer allowances computed by management and agreeing the total of all estimated allowances to the respective accounts on the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BKD,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Cumberland Pharmaceuticals Inc. (the “Company”) as of December 31, 2019, the related consolidated statements of operations, equity, and cash flows for each of the two years in the period ended December 31, 2019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2019, and the results of its operations and its cash flows for each of the two years in the period ended December 31, 2019</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2017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20, 2020, except for the effects of presenting discontinued operations as discussed in Note 20, as to which the date is December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Consolidated Balance Sheets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2020 and 2019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28,212,635</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12,377,713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7,859,006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8,871,254</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2,199,926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2,757,456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assets associated with discontinued operations</w:t>
            </w: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2,462,724</w:t>
            </w:r>
          </w:p>
        </w:tc>
        <w:tc>
          <w:tcPr>
            <w:tcW w:w="0" w:type="dxa"/>
            <w:vAlign w:val="bottom"/>
          </w:tcPr>
          <w:p>
            <w:pPr>
              <w:spacing w:after="0"/>
              <w:rPr>
                <w:sz w:val="1"/>
                <w:szCs w:val="1"/>
                <w:color w:val="auto"/>
              </w:rPr>
            </w:pPr>
          </w:p>
        </w:tc>
      </w:tr>
      <w:tr>
        <w:trPr>
          <w:trHeight w:val="223"/>
        </w:trPr>
        <w:tc>
          <w:tcPr>
            <w:tcW w:w="73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49,969,592</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50,163,075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inventories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11,656,742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15,554,992</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574,169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747,796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28,118,316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30,920,324</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2,028,148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2,960,569</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3,298,725</w:t>
            </w:r>
          </w:p>
        </w:tc>
        <w:tc>
          <w:tcPr>
            <w:tcW w:w="0" w:type="dxa"/>
            <w:vAlign w:val="bottom"/>
          </w:tcPr>
          <w:p>
            <w:pPr>
              <w:spacing w:after="0"/>
              <w:rPr>
                <w:sz w:val="1"/>
                <w:szCs w:val="1"/>
                <w:color w:val="auto"/>
              </w:rPr>
            </w:pPr>
          </w:p>
        </w:tc>
      </w:tr>
      <w:tr>
        <w:trPr>
          <w:trHeight w:val="223"/>
        </w:trPr>
        <w:tc>
          <w:tcPr>
            <w:tcW w:w="7360" w:type="dxa"/>
            <w:vAlign w:val="bottom"/>
          </w:tcPr>
          <w:p>
            <w:pPr>
              <w:ind w:left="90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104,549,283</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3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13,396,286</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9,993,578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current liabilities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920,431</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11,254,381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11,084,869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 associated with discontinued operations</w:t>
            </w: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2,151,357</w:t>
            </w:r>
          </w:p>
        </w:tc>
        <w:tc>
          <w:tcPr>
            <w:tcW w:w="0" w:type="dxa"/>
            <w:vAlign w:val="bottom"/>
          </w:tcPr>
          <w:p>
            <w:pPr>
              <w:spacing w:after="0"/>
              <w:rPr>
                <w:sz w:val="1"/>
                <w:szCs w:val="1"/>
                <w:color w:val="auto"/>
              </w:rPr>
            </w:pPr>
          </w:p>
        </w:tc>
      </w:tr>
      <w:tr>
        <w:trPr>
          <w:trHeight w:val="223"/>
        </w:trPr>
        <w:tc>
          <w:tcPr>
            <w:tcW w:w="73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25,667,446</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24,150,235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1,059,693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2,076,472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8,737,323</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49,589,911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53,464,030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Equity:</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60" w:type="dxa"/>
            <w:vAlign w:val="bottom"/>
          </w:tcPr>
          <w:p>
            <w:pPr>
              <w:ind w:left="460"/>
              <w:spacing w:after="0" w:line="176" w:lineRule="exact"/>
              <w:rPr>
                <w:sz w:val="20"/>
                <w:szCs w:val="20"/>
                <w:color w:val="auto"/>
              </w:rPr>
            </w:pPr>
            <w:r>
              <w:rPr>
                <w:rFonts w:ascii="Arial" w:cs="Arial" w:eastAsia="Arial" w:hAnsi="Arial"/>
                <w:sz w:val="18"/>
                <w:szCs w:val="18"/>
                <w:color w:val="auto"/>
                <w:w w:val="94"/>
              </w:rPr>
              <w:t>Common stock – no par value; 100,000,000 shares authorized; 14,988,429 and 15,263,555</w:t>
            </w:r>
          </w:p>
        </w:tc>
        <w:tc>
          <w:tcPr>
            <w:tcW w:w="4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49,121,523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49,914,478</w:t>
            </w:r>
          </w:p>
        </w:tc>
        <w:tc>
          <w:tcPr>
            <w:tcW w:w="0" w:type="dxa"/>
            <w:vAlign w:val="bottom"/>
          </w:tcPr>
          <w:p>
            <w:pPr>
              <w:spacing w:after="0"/>
              <w:rPr>
                <w:sz w:val="1"/>
                <w:szCs w:val="1"/>
                <w:color w:val="auto"/>
              </w:rPr>
            </w:pPr>
          </w:p>
        </w:tc>
      </w:tr>
      <w:tr>
        <w:trPr>
          <w:trHeight w:val="230"/>
        </w:trPr>
        <w:tc>
          <w:tcPr>
            <w:tcW w:w="7360" w:type="dxa"/>
            <w:vAlign w:val="bottom"/>
          </w:tcPr>
          <w:p>
            <w:pPr>
              <w:ind w:left="460"/>
              <w:spacing w:after="0"/>
              <w:rPr>
                <w:sz w:val="20"/>
                <w:szCs w:val="20"/>
                <w:color w:val="auto"/>
              </w:rPr>
            </w:pPr>
            <w:r>
              <w:rPr>
                <w:rFonts w:ascii="Arial" w:cs="Arial" w:eastAsia="Arial" w:hAnsi="Arial"/>
                <w:sz w:val="18"/>
                <w:szCs w:val="18"/>
                <w:color w:val="auto"/>
              </w:rPr>
              <w:t>shares issued and outstanding as of December 31, 2020 and 2019, respectively</w:t>
            </w:r>
          </w:p>
        </w:tc>
        <w:tc>
          <w:tcPr>
            <w:tcW w:w="4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 (deficit)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1,208,395</w:t>
            </w:r>
          </w:p>
        </w:tc>
        <w:tc>
          <w:tcPr>
            <w:tcW w:w="0" w:type="dxa"/>
            <w:vAlign w:val="bottom"/>
          </w:tcPr>
          <w:p>
            <w:pPr>
              <w:spacing w:after="0"/>
              <w:rPr>
                <w:sz w:val="1"/>
                <w:szCs w:val="1"/>
                <w:color w:val="auto"/>
              </w:rPr>
            </w:pPr>
          </w:p>
        </w:tc>
      </w:tr>
      <w:tr>
        <w:trPr>
          <w:trHeight w:val="223"/>
        </w:trPr>
        <w:tc>
          <w:tcPr>
            <w:tcW w:w="736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46,990,510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51,122,873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46,873,394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51,085,253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96,463,305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104,549,283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9" w:name="page90"/>
    <w:bookmarkEnd w:id="89"/>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2020, 2019 and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2018</w:t>
            </w:r>
          </w:p>
        </w:tc>
      </w:tr>
      <w:tr>
        <w:trPr>
          <w:trHeight w:val="233"/>
        </w:trPr>
        <w:tc>
          <w:tcPr>
            <w:tcW w:w="6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BFE4FF"/>
          </w:tcPr>
          <w:p>
            <w:pPr>
              <w:spacing w:after="0"/>
              <w:rPr>
                <w:sz w:val="20"/>
                <w:szCs w:val="20"/>
                <w:color w:val="auto"/>
              </w:rPr>
            </w:pPr>
          </w:p>
        </w:tc>
        <w:tc>
          <w:tcPr>
            <w:tcW w:w="120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360" w:type="dxa"/>
            <w:vAlign w:val="bottom"/>
            <w:shd w:val="clear" w:color="auto" w:fill="BFE4FF"/>
          </w:tcPr>
          <w:p>
            <w:pPr>
              <w:spacing w:after="0"/>
              <w:rPr>
                <w:sz w:val="20"/>
                <w:szCs w:val="20"/>
                <w:color w:val="auto"/>
              </w:rPr>
            </w:pPr>
          </w:p>
        </w:tc>
        <w:tc>
          <w:tcPr>
            <w:tcW w:w="120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360" w:type="dxa"/>
            <w:vAlign w:val="bottom"/>
            <w:shd w:val="clear" w:color="auto" w:fill="BFE4FF"/>
          </w:tcPr>
          <w:p>
            <w:pPr>
              <w:spacing w:after="0"/>
              <w:rPr>
                <w:sz w:val="20"/>
                <w:szCs w:val="20"/>
                <w:color w:val="auto"/>
              </w:rPr>
            </w:pPr>
          </w:p>
        </w:tc>
        <w:tc>
          <w:tcPr>
            <w:tcW w:w="1200" w:type="dxa"/>
            <w:vAlign w:val="bottom"/>
            <w:shd w:val="clear" w:color="auto" w:fill="BFE4FF"/>
          </w:tcPr>
          <w:p>
            <w:pPr>
              <w:spacing w:after="0"/>
              <w:rPr>
                <w:sz w:val="20"/>
                <w:szCs w:val="20"/>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Net product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35,840,673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32,407,845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28,803,961</w:t>
            </w:r>
          </w:p>
        </w:tc>
      </w:tr>
      <w:tr>
        <w:trPr>
          <w:trHeight w:val="229"/>
        </w:trPr>
        <w:tc>
          <w:tcPr>
            <w:tcW w:w="6280" w:type="dxa"/>
            <w:vAlign w:val="bottom"/>
            <w:shd w:val="clear" w:color="auto" w:fill="BFE4FF"/>
          </w:tcPr>
          <w:p>
            <w:pPr>
              <w:ind w:left="2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1,600,461</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1,980,450</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540,933</w:t>
            </w:r>
          </w:p>
        </w:tc>
      </w:tr>
      <w:tr>
        <w:trPr>
          <w:trHeight w:val="223"/>
        </w:trPr>
        <w:tc>
          <w:tcPr>
            <w:tcW w:w="6280" w:type="dxa"/>
            <w:vAlign w:val="bottom"/>
            <w:tcBorders>
              <w:bottom w:val="single" w:sz="8" w:color="BFE4FF"/>
            </w:tcBorders>
          </w:tcPr>
          <w:p>
            <w:pPr>
              <w:ind w:left="56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37,441,134</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34,388,295</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29,344,894</w:t>
            </w:r>
          </w:p>
        </w:tc>
      </w:tr>
      <w:tr>
        <w:trPr>
          <w:trHeight w:val="209"/>
        </w:trPr>
        <w:tc>
          <w:tcPr>
            <w:tcW w:w="6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8,653,020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7,421,316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6,016,822</w:t>
            </w:r>
          </w:p>
        </w:tc>
      </w:tr>
      <w:tr>
        <w:trPr>
          <w:trHeight w:val="229"/>
        </w:trPr>
        <w:tc>
          <w:tcPr>
            <w:tcW w:w="6280" w:type="dxa"/>
            <w:vAlign w:val="bottom"/>
            <w:shd w:val="clear" w:color="auto" w:fill="BFE4FF"/>
          </w:tcPr>
          <w:p>
            <w:pPr>
              <w:ind w:left="24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14,765,465</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15,277,740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14,004,933</w:t>
            </w: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5,773,825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6,868,480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7,575,892</w:t>
            </w:r>
          </w:p>
        </w:tc>
      </w:tr>
      <w:tr>
        <w:trPr>
          <w:trHeight w:val="230"/>
        </w:trPr>
        <w:tc>
          <w:tcPr>
            <w:tcW w:w="6280" w:type="dxa"/>
            <w:vAlign w:val="bottom"/>
            <w:shd w:val="clear" w:color="auto" w:fill="BFE4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10,196,299</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9,974,384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10,150,777</w:t>
            </w:r>
          </w:p>
        </w:tc>
      </w:tr>
      <w:tr>
        <w:trPr>
          <w:trHeight w:val="229"/>
        </w:trPr>
        <w:tc>
          <w:tcPr>
            <w:tcW w:w="6280" w:type="dxa"/>
            <w:vAlign w:val="bottom"/>
            <w:tcBorders>
              <w:bottom w:val="single" w:sz="8" w:color="BFE4FF"/>
            </w:tcBorders>
          </w:tcPr>
          <w:p>
            <w:pPr>
              <w:ind w:left="24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4,434,120</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4,134,557</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2,769,466</w:t>
            </w:r>
          </w:p>
        </w:tc>
      </w:tr>
      <w:tr>
        <w:trPr>
          <w:trHeight w:val="223"/>
        </w:trPr>
        <w:tc>
          <w:tcPr>
            <w:tcW w:w="6280" w:type="dxa"/>
            <w:vAlign w:val="bottom"/>
            <w:shd w:val="clear" w:color="auto" w:fill="BFE4FF"/>
          </w:tcPr>
          <w:p>
            <w:pPr>
              <w:ind w:left="5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43,822,729</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43,676,477</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40,517,890</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(6,381,595)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(9,288,182)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(11,172,996)</w:t>
            </w:r>
          </w:p>
        </w:tc>
      </w:tr>
      <w:tr>
        <w:trPr>
          <w:trHeight w:val="230"/>
        </w:trPr>
        <w:tc>
          <w:tcPr>
            <w:tcW w:w="6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75,345</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243,364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564,484</w:t>
            </w:r>
          </w:p>
        </w:tc>
      </w:tr>
      <w:tr>
        <w:trPr>
          <w:trHeight w:val="229"/>
        </w:trPr>
        <w:tc>
          <w:tcPr>
            <w:tcW w:w="62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(263,627)</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(246,186)</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(195,848)</w:t>
            </w:r>
          </w:p>
        </w:tc>
      </w:tr>
      <w:tr>
        <w:trPr>
          <w:trHeight w:val="223"/>
        </w:trPr>
        <w:tc>
          <w:tcPr>
            <w:tcW w:w="6280" w:type="dxa"/>
            <w:vAlign w:val="bottom"/>
            <w:shd w:val="clear" w:color="auto" w:fill="BFE4FF"/>
          </w:tcPr>
          <w:p>
            <w:pPr>
              <w:ind w:left="460"/>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(6,569,877)</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(9,291,004)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(10,804,360)</w:t>
            </w:r>
          </w:p>
        </w:tc>
      </w:tr>
      <w:tr>
        <w:trPr>
          <w:trHeight w:val="229"/>
        </w:trPr>
        <w:tc>
          <w:tcPr>
            <w:tcW w:w="62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(55,902)</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79,316</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(16,636)</w:t>
            </w:r>
          </w:p>
        </w:tc>
      </w:tr>
      <w:tr>
        <w:trPr>
          <w:trHeight w:val="223"/>
        </w:trPr>
        <w:tc>
          <w:tcPr>
            <w:tcW w:w="6280" w:type="dxa"/>
            <w:vAlign w:val="bottom"/>
            <w:shd w:val="clear" w:color="auto" w:fill="BFE4FF"/>
          </w:tcPr>
          <w:p>
            <w:pPr>
              <w:ind w:left="46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(6,625,779)</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(9,211,688)</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(10,820,996)</w:t>
            </w:r>
          </w:p>
        </w:tc>
      </w:tr>
      <w:tr>
        <w:trPr>
          <w:trHeight w:val="229"/>
        </w:trPr>
        <w:tc>
          <w:tcPr>
            <w:tcW w:w="6280" w:type="dxa"/>
            <w:vAlign w:val="bottom"/>
            <w:tcBorders>
              <w:bottom w:val="single" w:sz="8" w:color="BFE4FF"/>
            </w:tcBorders>
          </w:tcPr>
          <w:p>
            <w:pPr>
              <w:ind w:left="460"/>
              <w:spacing w:after="0"/>
              <w:rPr>
                <w:sz w:val="20"/>
                <w:szCs w:val="20"/>
                <w:color w:val="auto"/>
              </w:rPr>
            </w:pPr>
            <w:r>
              <w:rPr>
                <w:rFonts w:ascii="Arial" w:cs="Arial" w:eastAsia="Arial" w:hAnsi="Arial"/>
                <w:sz w:val="18"/>
                <w:szCs w:val="18"/>
                <w:color w:val="auto"/>
              </w:rPr>
              <w:t>Discontinued operations net of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3,206,875</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5,665,177</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3,782,224</w:t>
            </w:r>
          </w:p>
        </w:tc>
      </w:tr>
      <w:tr>
        <w:trPr>
          <w:trHeight w:val="223"/>
        </w:trPr>
        <w:tc>
          <w:tcPr>
            <w:tcW w:w="6280" w:type="dxa"/>
            <w:vAlign w:val="bottom"/>
            <w:shd w:val="clear" w:color="auto" w:fill="BFE4FF"/>
          </w:tcPr>
          <w:p>
            <w:pPr>
              <w:ind w:left="46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(3,418,904)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(3,546,511)</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(7,038,772)</w:t>
            </w:r>
          </w:p>
        </w:tc>
      </w:tr>
      <w:tr>
        <w:trPr>
          <w:trHeight w:val="230"/>
        </w:trPr>
        <w:tc>
          <w:tcPr>
            <w:tcW w:w="62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Net loss at subsidiary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79,496</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75,704</w:t>
            </w:r>
          </w:p>
        </w:tc>
      </w:tr>
      <w:tr>
        <w:trPr>
          <w:trHeight w:val="248"/>
        </w:trPr>
        <w:tc>
          <w:tcPr>
            <w:tcW w:w="6280" w:type="dxa"/>
            <w:vAlign w:val="bottom"/>
            <w:tcBorders>
              <w:bottom w:val="single" w:sz="8" w:color="BFE4FF"/>
            </w:tcBorders>
            <w:shd w:val="clear" w:color="auto" w:fill="BFE4FF"/>
          </w:tcPr>
          <w:p>
            <w:pPr>
              <w:ind w:left="460"/>
              <w:spacing w:after="0"/>
              <w:rPr>
                <w:sz w:val="20"/>
                <w:szCs w:val="20"/>
                <w:color w:val="auto"/>
              </w:rPr>
            </w:pPr>
            <w:r>
              <w:rPr>
                <w:rFonts w:ascii="Arial" w:cs="Arial" w:eastAsia="Arial" w:hAnsi="Arial"/>
                <w:sz w:val="18"/>
                <w:szCs w:val="18"/>
                <w:color w:val="auto"/>
              </w:rPr>
              <w:t>Net income (loss) attributable to common shareholders</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(3,339,408)</w:t>
            </w:r>
          </w:p>
        </w:tc>
        <w:tc>
          <w:tcPr>
            <w:tcW w:w="14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(3,537,759)</w:t>
            </w:r>
          </w:p>
        </w:tc>
        <w:tc>
          <w:tcPr>
            <w:tcW w:w="14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(6,963,068)</w:t>
            </w:r>
          </w:p>
        </w:tc>
      </w:tr>
      <w:tr>
        <w:trPr>
          <w:trHeight w:val="20"/>
        </w:trPr>
        <w:tc>
          <w:tcPr>
            <w:tcW w:w="628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r>
      <w:tr>
        <w:trPr>
          <w:trHeight w:val="95"/>
        </w:trPr>
        <w:tc>
          <w:tcPr>
            <w:tcW w:w="6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30"/>
        </w:trPr>
        <w:tc>
          <w:tcPr>
            <w:tcW w:w="6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-Continuing operations-basic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30"/>
        </w:trPr>
        <w:tc>
          <w:tcPr>
            <w:tcW w:w="6280" w:type="dxa"/>
            <w:vAlign w:val="bottom"/>
            <w:shd w:val="clear" w:color="auto" w:fill="BFE4FF"/>
          </w:tcPr>
          <w:p>
            <w:pPr>
              <w:ind w:left="460"/>
              <w:spacing w:after="0"/>
              <w:rPr>
                <w:sz w:val="20"/>
                <w:szCs w:val="20"/>
                <w:color w:val="auto"/>
              </w:rPr>
            </w:pPr>
            <w:r>
              <w:rPr>
                <w:rFonts w:ascii="Arial" w:cs="Arial" w:eastAsia="Arial" w:hAnsi="Arial"/>
                <w:sz w:val="18"/>
                <w:szCs w:val="18"/>
                <w:color w:val="auto"/>
              </w:rPr>
              <w:t>-Discontinued operations-basic</w:t>
            </w: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0.24</w:t>
            </w:r>
          </w:p>
        </w:tc>
      </w:tr>
      <w:tr>
        <w:trPr>
          <w:trHeight w:val="223"/>
        </w:trPr>
        <w:tc>
          <w:tcPr>
            <w:tcW w:w="6280" w:type="dxa"/>
            <w:vAlign w:val="bottom"/>
          </w:tcPr>
          <w:p>
            <w:pPr>
              <w:ind w:left="4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148"/>
        </w:trPr>
        <w:tc>
          <w:tcPr>
            <w:tcW w:w="628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1200" w:type="dxa"/>
            <w:vAlign w:val="bottom"/>
            <w:shd w:val="clear" w:color="auto" w:fill="BFE4FF"/>
          </w:tcPr>
          <w:p>
            <w:pPr>
              <w:spacing w:after="0"/>
              <w:rPr>
                <w:sz w:val="12"/>
                <w:szCs w:val="12"/>
                <w:color w:val="auto"/>
              </w:rPr>
            </w:pPr>
          </w:p>
        </w:tc>
        <w:tc>
          <w:tcPr>
            <w:tcW w:w="14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1200" w:type="dxa"/>
            <w:vAlign w:val="bottom"/>
            <w:shd w:val="clear" w:color="auto" w:fill="BFE4FF"/>
          </w:tcPr>
          <w:p>
            <w:pPr>
              <w:spacing w:after="0"/>
              <w:rPr>
                <w:sz w:val="12"/>
                <w:szCs w:val="12"/>
                <w:color w:val="auto"/>
              </w:rPr>
            </w:pPr>
          </w:p>
        </w:tc>
        <w:tc>
          <w:tcPr>
            <w:tcW w:w="14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1200" w:type="dxa"/>
            <w:vAlign w:val="bottom"/>
            <w:shd w:val="clear" w:color="auto" w:fill="BFE4FF"/>
          </w:tcPr>
          <w:p>
            <w:pPr>
              <w:spacing w:after="0"/>
              <w:rPr>
                <w:sz w:val="12"/>
                <w:szCs w:val="12"/>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-Continuing operations-diluted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30"/>
        </w:trPr>
        <w:tc>
          <w:tcPr>
            <w:tcW w:w="6280" w:type="dxa"/>
            <w:vAlign w:val="bottom"/>
            <w:shd w:val="clear" w:color="auto" w:fill="BFE4FF"/>
          </w:tcPr>
          <w:p>
            <w:pPr>
              <w:ind w:left="460"/>
              <w:spacing w:after="0"/>
              <w:rPr>
                <w:sz w:val="20"/>
                <w:szCs w:val="20"/>
                <w:color w:val="auto"/>
              </w:rPr>
            </w:pPr>
            <w:r>
              <w:rPr>
                <w:rFonts w:ascii="Arial" w:cs="Arial" w:eastAsia="Arial" w:hAnsi="Arial"/>
                <w:sz w:val="18"/>
                <w:szCs w:val="18"/>
                <w:color w:val="auto"/>
              </w:rPr>
              <w:t>-Discontinued operations-diluted</w:t>
            </w: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0.24</w:t>
            </w:r>
          </w:p>
        </w:tc>
      </w:tr>
      <w:tr>
        <w:trPr>
          <w:trHeight w:val="223"/>
        </w:trPr>
        <w:tc>
          <w:tcPr>
            <w:tcW w:w="6280" w:type="dxa"/>
            <w:vAlign w:val="bottom"/>
          </w:tcPr>
          <w:p>
            <w:pPr>
              <w:ind w:left="4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6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15,162,184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15,396,098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15,614,052</w:t>
            </w:r>
          </w:p>
        </w:tc>
      </w:tr>
      <w:tr>
        <w:trPr>
          <w:trHeight w:val="230"/>
        </w:trPr>
        <w:tc>
          <w:tcPr>
            <w:tcW w:w="6280" w:type="dxa"/>
            <w:vAlign w:val="bottom"/>
            <w:shd w:val="clear" w:color="auto" w:fill="BFE4FF"/>
          </w:tcPr>
          <w:p>
            <w:pPr>
              <w:ind w:left="4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15,162,184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15,396,098</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15,614,052</w:t>
            </w:r>
          </w:p>
        </w:tc>
      </w:tr>
      <w:tr>
        <w:trPr>
          <w:trHeight w:val="122"/>
        </w:trPr>
        <w:tc>
          <w:tcPr>
            <w:tcW w:w="62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Cash Flows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Years ended December 31, 2020, 2019 and 2018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2"/>
        </w:trPr>
        <w:tc>
          <w:tcPr>
            <w:tcW w:w="6380" w:type="dxa"/>
            <w:vAlign w:val="bottom"/>
            <w:shd w:val="clear" w:color="auto" w:fill="BFE4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BFE4FF"/>
          </w:tcPr>
          <w:p>
            <w:pPr>
              <w:spacing w:after="0"/>
              <w:rPr>
                <w:sz w:val="20"/>
                <w:szCs w:val="20"/>
                <w:color w:val="auto"/>
              </w:rPr>
            </w:pPr>
          </w:p>
        </w:tc>
        <w:tc>
          <w:tcPr>
            <w:tcW w:w="108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2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20" w:type="dxa"/>
            <w:vAlign w:val="bottom"/>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(3,418,904)</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(3,546,511)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(7,038,772)</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3,206,875</w:t>
            </w:r>
          </w:p>
        </w:tc>
        <w:tc>
          <w:tcPr>
            <w:tcW w:w="14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5,665,177</w:t>
            </w:r>
          </w:p>
        </w:tc>
        <w:tc>
          <w:tcPr>
            <w:tcW w:w="12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3,782,224</w:t>
            </w: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(6,625,779)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(9,211,688)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(10,820,996)</w:t>
            </w:r>
          </w:p>
        </w:tc>
        <w:tc>
          <w:tcPr>
            <w:tcW w:w="0" w:type="dxa"/>
            <w:vAlign w:val="bottom"/>
          </w:tcPr>
          <w:p>
            <w:pPr>
              <w:spacing w:after="0"/>
              <w:rPr>
                <w:sz w:val="1"/>
                <w:szCs w:val="1"/>
                <w:color w:val="auto"/>
              </w:rPr>
            </w:pPr>
          </w:p>
        </w:tc>
      </w:tr>
      <w:tr>
        <w:trPr>
          <w:trHeight w:val="175"/>
        </w:trPr>
        <w:tc>
          <w:tcPr>
            <w:tcW w:w="6380" w:type="dxa"/>
            <w:vAlign w:val="bottom"/>
            <w:shd w:val="clear" w:color="auto" w:fill="BFE4FF"/>
          </w:tcPr>
          <w:p>
            <w:pPr>
              <w:ind w:left="220"/>
              <w:spacing w:after="0" w:line="176" w:lineRule="exact"/>
              <w:rPr>
                <w:sz w:val="20"/>
                <w:szCs w:val="20"/>
                <w:color w:val="auto"/>
              </w:rPr>
            </w:pPr>
            <w:r>
              <w:rPr>
                <w:rFonts w:ascii="Arial" w:cs="Arial" w:eastAsia="Arial" w:hAnsi="Arial"/>
                <w:sz w:val="18"/>
                <w:szCs w:val="18"/>
                <w:color w:val="auto"/>
                <w:w w:val="93"/>
              </w:rPr>
              <w:t>Adjustments to reconcile net income (loss) to net cash flows provided by operating</w:t>
            </w:r>
          </w:p>
        </w:tc>
        <w:tc>
          <w:tcPr>
            <w:tcW w:w="30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260" w:type="dxa"/>
            <w:vAlign w:val="bottom"/>
            <w:shd w:val="clear" w:color="auto" w:fill="BFE4FF"/>
          </w:tcPr>
          <w:p>
            <w:pPr>
              <w:spacing w:after="0"/>
              <w:rPr>
                <w:sz w:val="15"/>
                <w:szCs w:val="15"/>
                <w:color w:val="auto"/>
              </w:rPr>
            </w:pPr>
          </w:p>
        </w:tc>
        <w:tc>
          <w:tcPr>
            <w:tcW w:w="1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260" w:type="dxa"/>
            <w:vAlign w:val="bottom"/>
            <w:shd w:val="clear" w:color="auto" w:fill="BFE4FF"/>
          </w:tcPr>
          <w:p>
            <w:pPr>
              <w:spacing w:after="0"/>
              <w:rPr>
                <w:sz w:val="15"/>
                <w:szCs w:val="15"/>
                <w:color w:val="auto"/>
              </w:rPr>
            </w:pPr>
          </w:p>
        </w:tc>
        <w:tc>
          <w:tcPr>
            <w:tcW w:w="112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4,748,565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4,404,175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2,982,703</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Deferred tax expense</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21,802</w:t>
            </w: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65,408</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81,886</w:t>
            </w:r>
          </w:p>
        </w:tc>
        <w:tc>
          <w:tcPr>
            <w:tcW w:w="0" w:type="dxa"/>
            <w:vAlign w:val="bottom"/>
          </w:tcPr>
          <w:p>
            <w:pPr>
              <w:spacing w:after="0"/>
              <w:rPr>
                <w:sz w:val="1"/>
                <w:szCs w:val="1"/>
                <w:color w:val="auto"/>
              </w:rPr>
            </w:pPr>
          </w:p>
        </w:tc>
      </w:tr>
      <w:tr>
        <w:trPr>
          <w:trHeight w:val="230"/>
        </w:trPr>
        <w:tc>
          <w:tcPr>
            <w:tcW w:w="638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1,046,516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1,485,898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1,364,698</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Excess tax benefit derived from exercise of stock options</w:t>
            </w:r>
          </w:p>
        </w:tc>
        <w:tc>
          <w:tcPr>
            <w:tcW w:w="300" w:type="dxa"/>
            <w:vAlign w:val="bottom"/>
            <w:shd w:val="clear" w:color="auto" w:fill="BFE4FF"/>
          </w:tcPr>
          <w:p>
            <w:pPr>
              <w:spacing w:after="0"/>
              <w:rPr>
                <w:sz w:val="19"/>
                <w:szCs w:val="19"/>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1240" w:type="dxa"/>
            <w:vAlign w:val="bottom"/>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(81,886)</w:t>
            </w:r>
          </w:p>
        </w:tc>
        <w:tc>
          <w:tcPr>
            <w:tcW w:w="0" w:type="dxa"/>
            <w:vAlign w:val="bottom"/>
          </w:tcPr>
          <w:p>
            <w:pPr>
              <w:spacing w:after="0"/>
              <w:rPr>
                <w:sz w:val="1"/>
                <w:szCs w:val="1"/>
                <w:color w:val="auto"/>
              </w:rPr>
            </w:pPr>
          </w:p>
        </w:tc>
      </w:tr>
      <w:tr>
        <w:trPr>
          <w:trHeight w:val="229"/>
        </w:trPr>
        <w:tc>
          <w:tcPr>
            <w:tcW w:w="6380" w:type="dxa"/>
            <w:vAlign w:val="bottom"/>
          </w:tcPr>
          <w:p>
            <w:pPr>
              <w:ind w:left="440"/>
              <w:spacing w:after="0"/>
              <w:rPr>
                <w:sz w:val="20"/>
                <w:szCs w:val="20"/>
                <w:color w:val="auto"/>
              </w:rPr>
            </w:pPr>
            <w:r>
              <w:rPr>
                <w:rFonts w:ascii="Arial" w:cs="Arial" w:eastAsia="Arial" w:hAnsi="Arial"/>
                <w:sz w:val="18"/>
                <w:szCs w:val="18"/>
                <w:color w:val="auto"/>
              </w:rPr>
              <w:t>Decrease in non-cash contingent consideration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(1,160,202)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(804,167)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Write off of deferred offering costs</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440,091</w:t>
            </w: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40" w:type="dxa"/>
            <w:vAlign w:val="bottom"/>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80" w:type="dxa"/>
            <w:vAlign w:val="bottom"/>
          </w:tcPr>
          <w:p>
            <w:pPr>
              <w:ind w:left="440"/>
              <w:spacing w:after="0"/>
              <w:rPr>
                <w:sz w:val="20"/>
                <w:szCs w:val="20"/>
                <w:color w:val="auto"/>
              </w:rPr>
            </w:pPr>
            <w:r>
              <w:rPr>
                <w:rFonts w:ascii="Arial" w:cs="Arial" w:eastAsia="Arial" w:hAnsi="Arial"/>
                <w:sz w:val="18"/>
                <w:szCs w:val="18"/>
                <w:color w:val="auto"/>
                <w:w w:val="95"/>
              </w:rPr>
              <w:t>Increase in cash surrender value of life insurance policies over premiums paid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(154,611)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47,636</w:t>
            </w: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47,525</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99,883</w:t>
            </w:r>
          </w:p>
        </w:tc>
        <w:tc>
          <w:tcPr>
            <w:tcW w:w="0" w:type="dxa"/>
            <w:vAlign w:val="bottom"/>
          </w:tcPr>
          <w:p>
            <w:pPr>
              <w:spacing w:after="0"/>
              <w:rPr>
                <w:sz w:val="1"/>
                <w:szCs w:val="1"/>
                <w:color w:val="auto"/>
              </w:rPr>
            </w:pPr>
          </w:p>
        </w:tc>
      </w:tr>
      <w:tr>
        <w:trPr>
          <w:trHeight w:val="229"/>
        </w:trPr>
        <w:tc>
          <w:tcPr>
            <w:tcW w:w="6380" w:type="dxa"/>
            <w:vAlign w:val="bottom"/>
          </w:tcPr>
          <w:p>
            <w:pPr>
              <w:ind w:left="440"/>
              <w:spacing w:after="0"/>
              <w:rPr>
                <w:sz w:val="20"/>
                <w:szCs w:val="20"/>
                <w:color w:val="auto"/>
              </w:rPr>
            </w:pPr>
            <w:r>
              <w:rPr>
                <w:rFonts w:ascii="Arial" w:cs="Arial" w:eastAsia="Arial" w:hAnsi="Arial"/>
                <w:sz w:val="18"/>
                <w:szCs w:val="18"/>
                <w:color w:val="auto"/>
              </w:rPr>
              <w:t>Noncash investment gains</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(168,440)</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(4,518,707)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(47,288)</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6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2,131,347</w:t>
            </w: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1,106,175</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528,153</w:t>
            </w:r>
          </w:p>
        </w:tc>
        <w:tc>
          <w:tcPr>
            <w:tcW w:w="0" w:type="dxa"/>
            <w:vAlign w:val="bottom"/>
          </w:tcPr>
          <w:p>
            <w:pPr>
              <w:spacing w:after="0"/>
              <w:rPr>
                <w:sz w:val="1"/>
                <w:szCs w:val="1"/>
                <w:color w:val="auto"/>
              </w:rPr>
            </w:pPr>
          </w:p>
        </w:tc>
      </w:tr>
      <w:tr>
        <w:trPr>
          <w:trHeight w:val="230"/>
        </w:trPr>
        <w:tc>
          <w:tcPr>
            <w:tcW w:w="6380" w:type="dxa"/>
            <w:vAlign w:val="bottom"/>
          </w:tcPr>
          <w:p>
            <w:pPr>
              <w:ind w:left="660"/>
              <w:spacing w:after="0"/>
              <w:rPr>
                <w:sz w:val="20"/>
                <w:szCs w:val="20"/>
                <w:color w:val="auto"/>
              </w:rPr>
            </w:pPr>
            <w:r>
              <w:rPr>
                <w:rFonts w:ascii="Arial" w:cs="Arial" w:eastAsia="Arial" w:hAnsi="Arial"/>
                <w:sz w:val="18"/>
                <w:szCs w:val="18"/>
                <w:color w:val="auto"/>
              </w:rPr>
              <w:t>Other current assets and other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1,210,489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676,750</w:t>
            </w:r>
          </w:p>
        </w:tc>
        <w:tc>
          <w:tcPr>
            <w:tcW w:w="0" w:type="dxa"/>
            <w:vAlign w:val="bottom"/>
          </w:tcPr>
          <w:p>
            <w:pPr>
              <w:spacing w:after="0"/>
              <w:rPr>
                <w:sz w:val="1"/>
                <w:szCs w:val="1"/>
                <w:color w:val="auto"/>
              </w:rPr>
            </w:pPr>
          </w:p>
        </w:tc>
      </w:tr>
      <w:tr>
        <w:trPr>
          <w:trHeight w:val="230"/>
        </w:trPr>
        <w:tc>
          <w:tcPr>
            <w:tcW w:w="6380" w:type="dxa"/>
            <w:vAlign w:val="bottom"/>
            <w:shd w:val="clear" w:color="auto" w:fill="BFE4FF"/>
          </w:tcPr>
          <w:p>
            <w:pPr>
              <w:ind w:left="66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6,569,002</w:t>
            </w: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3,221,780</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4,153,287</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BFE4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(1,859,330)</w:t>
            </w:r>
          </w:p>
        </w:tc>
        <w:tc>
          <w:tcPr>
            <w:tcW w:w="14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(729,820)</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(159,558)</w:t>
            </w:r>
          </w:p>
        </w:tc>
        <w:tc>
          <w:tcPr>
            <w:tcW w:w="0" w:type="dxa"/>
            <w:vAlign w:val="bottom"/>
          </w:tcPr>
          <w:p>
            <w:pPr>
              <w:spacing w:after="0"/>
              <w:rPr>
                <w:sz w:val="1"/>
                <w:szCs w:val="1"/>
                <w:color w:val="auto"/>
              </w:rPr>
            </w:pPr>
          </w:p>
        </w:tc>
      </w:tr>
      <w:tr>
        <w:trPr>
          <w:trHeight w:val="156"/>
        </w:trPr>
        <w:tc>
          <w:tcPr>
            <w:tcW w:w="6380" w:type="dxa"/>
            <w:vAlign w:val="bottom"/>
            <w:shd w:val="clear" w:color="auto" w:fill="BFE4FF"/>
          </w:tcPr>
          <w:p>
            <w:pPr>
              <w:ind w:left="880"/>
              <w:spacing w:after="0" w:line="156" w:lineRule="exact"/>
              <w:rPr>
                <w:sz w:val="20"/>
                <w:szCs w:val="20"/>
                <w:color w:val="auto"/>
              </w:rPr>
            </w:pPr>
            <w:r>
              <w:rPr>
                <w:rFonts w:ascii="Arial" w:cs="Arial" w:eastAsia="Arial" w:hAnsi="Arial"/>
                <w:sz w:val="18"/>
                <w:szCs w:val="18"/>
                <w:color w:val="auto"/>
              </w:rPr>
              <w:t>Net cash provided by (used in) operating activities from continuing</w:t>
            </w:r>
          </w:p>
        </w:tc>
        <w:tc>
          <w:tcPr>
            <w:tcW w:w="300" w:type="dxa"/>
            <w:vAlign w:val="bottom"/>
            <w:shd w:val="clear" w:color="auto" w:fill="BFE4FF"/>
          </w:tcPr>
          <w:p>
            <w:pPr>
              <w:spacing w:after="0"/>
              <w:rPr>
                <w:sz w:val="13"/>
                <w:szCs w:val="13"/>
                <w:color w:val="auto"/>
              </w:rPr>
            </w:pPr>
          </w:p>
        </w:tc>
        <w:tc>
          <w:tcPr>
            <w:tcW w:w="108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1,896,819</w:t>
            </w:r>
          </w:p>
        </w:tc>
        <w:tc>
          <w:tcPr>
            <w:tcW w:w="140" w:type="dxa"/>
            <w:vAlign w:val="bottom"/>
            <w:shd w:val="clear" w:color="auto" w:fill="BFE4FF"/>
          </w:tcPr>
          <w:p>
            <w:pPr>
              <w:spacing w:after="0"/>
              <w:rPr>
                <w:sz w:val="13"/>
                <w:szCs w:val="13"/>
                <w:color w:val="auto"/>
              </w:rPr>
            </w:pPr>
          </w:p>
        </w:tc>
        <w:tc>
          <w:tcPr>
            <w:tcW w:w="260" w:type="dxa"/>
            <w:vAlign w:val="bottom"/>
            <w:shd w:val="clear" w:color="auto" w:fill="BFE4FF"/>
          </w:tcPr>
          <w:p>
            <w:pPr>
              <w:spacing w:after="0"/>
              <w:rPr>
                <w:sz w:val="13"/>
                <w:szCs w:val="13"/>
                <w:color w:val="auto"/>
              </w:rPr>
            </w:pPr>
          </w:p>
        </w:tc>
        <w:tc>
          <w:tcPr>
            <w:tcW w:w="11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(2,455,240)</w:t>
            </w:r>
          </w:p>
        </w:tc>
        <w:tc>
          <w:tcPr>
            <w:tcW w:w="120" w:type="dxa"/>
            <w:vAlign w:val="bottom"/>
            <w:shd w:val="clear" w:color="auto" w:fill="BFE4FF"/>
          </w:tcPr>
          <w:p>
            <w:pPr>
              <w:spacing w:after="0"/>
              <w:rPr>
                <w:sz w:val="13"/>
                <w:szCs w:val="13"/>
                <w:color w:val="auto"/>
              </w:rPr>
            </w:pPr>
          </w:p>
        </w:tc>
        <w:tc>
          <w:tcPr>
            <w:tcW w:w="260" w:type="dxa"/>
            <w:vAlign w:val="bottom"/>
            <w:shd w:val="clear" w:color="auto" w:fill="BFE4FF"/>
          </w:tcPr>
          <w:p>
            <w:pPr>
              <w:spacing w:after="0"/>
              <w:rPr>
                <w:sz w:val="13"/>
                <w:szCs w:val="13"/>
                <w:color w:val="auto"/>
              </w:rPr>
            </w:pPr>
          </w:p>
        </w:tc>
        <w:tc>
          <w:tcPr>
            <w:tcW w:w="11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(1,390,808)</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88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BFE4FF"/>
          </w:tcPr>
          <w:p>
            <w:pPr>
              <w:spacing w:after="0"/>
              <w:rPr>
                <w:sz w:val="19"/>
                <w:szCs w:val="19"/>
                <w:color w:val="auto"/>
              </w:rPr>
            </w:pPr>
          </w:p>
        </w:tc>
        <w:tc>
          <w:tcPr>
            <w:tcW w:w="1080" w:type="dxa"/>
            <w:vAlign w:val="bottom"/>
            <w:vMerge w:val="continue"/>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BFE4FF"/>
            </w:tcBorders>
          </w:tcPr>
          <w:p>
            <w:pPr>
              <w:ind w:left="8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3,518,242</w:t>
            </w:r>
          </w:p>
        </w:tc>
        <w:tc>
          <w:tcPr>
            <w:tcW w:w="14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5,511,596</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4,503,545</w:t>
            </w:r>
          </w:p>
        </w:tc>
        <w:tc>
          <w:tcPr>
            <w:tcW w:w="0" w:type="dxa"/>
            <w:vAlign w:val="bottom"/>
          </w:tcPr>
          <w:p>
            <w:pPr>
              <w:spacing w:after="0"/>
              <w:rPr>
                <w:sz w:val="1"/>
                <w:szCs w:val="1"/>
                <w:color w:val="auto"/>
              </w:rPr>
            </w:pPr>
          </w:p>
        </w:tc>
      </w:tr>
      <w:tr>
        <w:trPr>
          <w:trHeight w:val="223"/>
        </w:trPr>
        <w:tc>
          <w:tcPr>
            <w:tcW w:w="6380" w:type="dxa"/>
            <w:vAlign w:val="bottom"/>
            <w:shd w:val="clear" w:color="auto" w:fill="BFE4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5,415,061</w:t>
            </w:r>
          </w:p>
        </w:tc>
        <w:tc>
          <w:tcPr>
            <w:tcW w:w="14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3,056,356</w:t>
            </w:r>
          </w:p>
        </w:tc>
        <w:tc>
          <w:tcPr>
            <w:tcW w:w="12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3,112,737</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Additions to property and equipment</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(140,817)</w:t>
            </w: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(246,202)</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(455,569)</w:t>
            </w: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Additions to intangible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(1,973,110)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(772,944)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(3,819,486)</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Proceeds from surrender of life insurance policies</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460,888</w:t>
            </w: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40" w:type="dxa"/>
            <w:vAlign w:val="bottom"/>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Increase in cash surrender value of life insurance policies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Cash paid for acquisition</w:t>
            </w:r>
          </w:p>
        </w:tc>
        <w:tc>
          <w:tcPr>
            <w:tcW w:w="300" w:type="dxa"/>
            <w:vAlign w:val="bottom"/>
            <w:shd w:val="clear" w:color="auto" w:fill="BFE4FF"/>
          </w:tcPr>
          <w:p>
            <w:pPr>
              <w:spacing w:after="0"/>
              <w:rPr>
                <w:sz w:val="19"/>
                <w:szCs w:val="19"/>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Proceeds from sale of marketable securities</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20,062,132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16,122,376</w:t>
            </w:r>
          </w:p>
        </w:tc>
        <w:tc>
          <w:tcPr>
            <w:tcW w:w="0" w:type="dxa"/>
            <w:vAlign w:val="bottom"/>
          </w:tcPr>
          <w:p>
            <w:pPr>
              <w:spacing w:after="0"/>
              <w:rPr>
                <w:sz w:val="1"/>
                <w:szCs w:val="1"/>
                <w:color w:val="auto"/>
              </w:rPr>
            </w:pPr>
          </w:p>
        </w:tc>
      </w:tr>
      <w:tr>
        <w:trPr>
          <w:trHeight w:val="229"/>
        </w:trPr>
        <w:tc>
          <w:tcPr>
            <w:tcW w:w="63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BFE4FF"/>
          </w:tcPr>
          <w:p>
            <w:pPr>
              <w:spacing w:after="0"/>
              <w:rPr>
                <w:sz w:val="19"/>
                <w:szCs w:val="19"/>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(11,745,138)</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(19,572,139)</w:t>
            </w:r>
          </w:p>
        </w:tc>
        <w:tc>
          <w:tcPr>
            <w:tcW w:w="0" w:type="dxa"/>
            <w:vAlign w:val="bottom"/>
          </w:tcPr>
          <w:p>
            <w:pPr>
              <w:spacing w:after="0"/>
              <w:rPr>
                <w:sz w:val="1"/>
                <w:szCs w:val="1"/>
                <w:color w:val="auto"/>
              </w:rPr>
            </w:pPr>
          </w:p>
        </w:tc>
      </w:tr>
      <w:tr>
        <w:trPr>
          <w:trHeight w:val="224"/>
        </w:trPr>
        <w:tc>
          <w:tcPr>
            <w:tcW w:w="6380" w:type="dxa"/>
            <w:vAlign w:val="bottom"/>
          </w:tcPr>
          <w:p>
            <w:pPr>
              <w:ind w:left="88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(1,757,789)</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2,297,848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(27,724,818)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60" w:top="1323" w:right="5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Borrowings on line of credit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line of credit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Sales of shares of common stock, net of offering costs</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made in connection with repurchase of common shares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(1,851,526)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(3,494,921)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Cash settlement of contingent consideration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(819,180)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(1,033,108)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subsidiary shares from noncontrolling interest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Sale of subsidiary shares to noncontrolling interest</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deferred equity offering costs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Payments of deferred financing costs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(7,116,111)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(5,080,529)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(3,458,839)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273,675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(17,473,908)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28,212,635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27,938,960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45,412,868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24,753,796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28,212,635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27,938,960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00" w:type="dxa"/>
            <w:vAlign w:val="bottom"/>
            <w:gridSpan w:val="2"/>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6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paid (refunded) during the year for: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215,991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198,661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unpaid invoices for intangible asset additions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(340,997)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Noncash increase in liabilities related to other asset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increase in liabilities related to acquisition (see Note 3)</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w w:val="95"/>
              </w:rPr>
              <w:t>Recognition of operating lease assets and liabilities through adoption of ASC 842</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3,629,320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shares related to RediTrex approval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Repurchase of subsidiary shares from noncontrolling interests</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to intangible assets from final purchase price allocation</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368" w:right="539" w:bottom="1440" w:gutter="0" w:footer="0" w:header="0"/>
        </w:sectPr>
      </w:pPr>
    </w:p>
    <w:bookmarkStart w:id="92" w:name="page93"/>
    <w:bookmarkEnd w:id="92"/>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Consolidated Statements of Equity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Years ended December 31, 2020, 2019 and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56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1"/>
              </w:rPr>
              <w:t>Cumberland Pharmaceuticals Inc. Shareholders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1"/>
                <w:szCs w:val="21"/>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Retained earnings</w:t>
            </w:r>
          </w:p>
        </w:tc>
        <w:tc>
          <w:tcPr>
            <w:tcW w:w="140" w:type="dxa"/>
            <w:vAlign w:val="bottom"/>
          </w:tcPr>
          <w:p>
            <w:pPr>
              <w:spacing w:after="0"/>
              <w:rPr>
                <w:sz w:val="21"/>
                <w:szCs w:val="21"/>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Non-controlling</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line="20" w:lineRule="exact"/>
              <w:rPr>
                <w:sz w:val="1"/>
                <w:szCs w:val="1"/>
                <w:color w:val="auto"/>
              </w:rPr>
            </w:pPr>
          </w:p>
        </w:tc>
      </w:tr>
      <w:tr>
        <w:trPr>
          <w:trHeight w:val="213"/>
        </w:trPr>
        <w:tc>
          <w:tcPr>
            <w:tcW w:w="340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8"/>
                <w:szCs w:val="18"/>
                <w:color w:val="auto"/>
              </w:rPr>
            </w:pPr>
          </w:p>
        </w:tc>
        <w:tc>
          <w:tcPr>
            <w:tcW w:w="11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interest</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0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15,723,075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52,410,941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11,709,222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63,921,601</w:t>
            </w: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(6,963,068)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(7,038,772)</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1,364,698</w:t>
            </w:r>
          </w:p>
        </w:tc>
        <w:tc>
          <w:tcPr>
            <w:tcW w:w="0" w:type="dxa"/>
            <w:vAlign w:val="bottom"/>
          </w:tcPr>
          <w:p>
            <w:pPr>
              <w:spacing w:after="0"/>
              <w:rPr>
                <w:sz w:val="1"/>
                <w:szCs w:val="1"/>
                <w:color w:val="auto"/>
              </w:rPr>
            </w:pPr>
          </w:p>
        </w:tc>
      </w:tr>
      <w:tr>
        <w:trPr>
          <w:trHeight w:val="176"/>
        </w:trPr>
        <w:tc>
          <w:tcPr>
            <w:tcW w:w="3400" w:type="dxa"/>
            <w:vAlign w:val="bottom"/>
          </w:tcPr>
          <w:p>
            <w:pPr>
              <w:ind w:left="240"/>
              <w:spacing w:after="0" w:line="176" w:lineRule="exact"/>
              <w:rPr>
                <w:sz w:val="20"/>
                <w:szCs w:val="20"/>
                <w:color w:val="auto"/>
              </w:rPr>
            </w:pPr>
            <w:r>
              <w:rPr>
                <w:rFonts w:ascii="Arial" w:cs="Arial" w:eastAsia="Arial" w:hAnsi="Arial"/>
                <w:sz w:val="18"/>
                <w:szCs w:val="18"/>
                <w:color w:val="auto"/>
                <w:w w:val="94"/>
              </w:rPr>
              <w:t>Proceeds from sale of common stock, net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30,704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200,909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200,909</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Arial" w:cs="Arial" w:eastAsia="Arial" w:hAnsi="Arial"/>
                <w:sz w:val="18"/>
                <w:szCs w:val="18"/>
                <w:color w:val="auto"/>
              </w:rPr>
              <w:t>of offering costs</w:t>
            </w:r>
          </w:p>
        </w:tc>
        <w:tc>
          <w:tcPr>
            <w:tcW w:w="1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(443,041)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(2,877,935)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(2,877,935)</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15,481,497</w:t>
            </w: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51,098,613</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4,746,154</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(274,266)</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55,570,501</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(3,537,759)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(3,546,511)</w:t>
            </w:r>
          </w:p>
        </w:tc>
        <w:tc>
          <w:tcPr>
            <w:tcW w:w="0" w:type="dxa"/>
            <w:vAlign w:val="bottom"/>
          </w:tcPr>
          <w:p>
            <w:pPr>
              <w:spacing w:after="0"/>
              <w:rPr>
                <w:sz w:val="1"/>
                <w:szCs w:val="1"/>
                <w:color w:val="auto"/>
              </w:rPr>
            </w:pPr>
          </w:p>
        </w:tc>
      </w:tr>
      <w:tr>
        <w:trPr>
          <w:trHeight w:val="176"/>
        </w:trPr>
        <w:tc>
          <w:tcPr>
            <w:tcW w:w="3400" w:type="dxa"/>
            <w:vAlign w:val="bottom"/>
          </w:tcPr>
          <w:p>
            <w:pPr>
              <w:ind w:left="240"/>
              <w:spacing w:after="0" w:line="176" w:lineRule="exact"/>
              <w:rPr>
                <w:sz w:val="20"/>
                <w:szCs w:val="20"/>
                <w:color w:val="auto"/>
              </w:rPr>
            </w:pPr>
            <w:r>
              <w:rPr>
                <w:rFonts w:ascii="Arial" w:cs="Arial" w:eastAsia="Arial" w:hAnsi="Arial"/>
                <w:sz w:val="18"/>
                <w:szCs w:val="18"/>
                <w:color w:val="auto"/>
              </w:rPr>
              <w:t>Repurchase of subsidiary shares to</w:t>
            </w:r>
          </w:p>
        </w:tc>
        <w:tc>
          <w:tcPr>
            <w:tcW w:w="1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(685,805)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(114,195)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Arial" w:cs="Arial" w:eastAsia="Arial" w:hAnsi="Arial"/>
                <w:sz w:val="18"/>
                <w:szCs w:val="18"/>
                <w:color w:val="auto"/>
              </w:rPr>
              <w:t>noncontrolling interest</w:t>
            </w:r>
          </w:p>
        </w:tc>
        <w:tc>
          <w:tcPr>
            <w:tcW w:w="15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Sale of subsidiary shares to</w:t>
            </w:r>
          </w:p>
        </w:tc>
        <w:tc>
          <w:tcPr>
            <w:tcW w:w="1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640,407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359,593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w:t>
            </w:r>
          </w:p>
        </w:tc>
        <w:tc>
          <w:tcPr>
            <w:tcW w:w="156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Vesting of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862,200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1,485,898</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Arial" w:cs="Arial" w:eastAsia="Arial" w:hAnsi="Arial"/>
                <w:sz w:val="18"/>
                <w:szCs w:val="18"/>
                <w:color w:val="auto"/>
              </w:rPr>
              <w:t>Repurchase of 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(623,478)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(3,486,835)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(3,486,835)</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15,263,555</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49,914,478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51,085,253</w:t>
            </w: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(3,339,408)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(3,418,904)</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1,046,516</w:t>
            </w: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Repurchase of 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(503,626)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(1,839,471)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(1,839,471)</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14,988,429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49,121,523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rheumatology.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and field sales forces in the United States and is establishing a network of international partners to bring its medicines to patients in their countries.</w:t>
      </w:r>
    </w:p>
    <w:p>
      <w:pPr>
        <w:spacing w:after="0" w:line="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spacing w:after="0" w:line="8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order to build a pipeline of early-stage product candidates, the Company formed a subsidiary, Cumberland Emerging Technologies, Inc. ("CET"), which teams with universities and other research organizations to help advance scientific discoveries from the laboratory to the marketplace. In 2014, the Company organized equity financing to recapitalize and strengthen the financial position of CET including an investment of approximately $1.0 million from Gloria Pharmaceuticals Co., Ltd. (“Gloria”). As a result, Gloria received shares in CET and joined the CET ownership group.</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Cumberland purchased additional CET shares through contribution of $0.3 million in cash and a conversion of $0.7 million in intercompany loans payable. Upon completion of the additional investment by WinHealth and Cumberland, Gloria Pharmaceuticals returned its shares in CET in exchange for $0.8 million that was funded during 2020.</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ownership in CET is now 85%. As noted above, the ownership interests of CET includes WinHealth and Cumberland, while the remaining interest is owned by Vanderbilt University and the Tennessee Technology Development Corporation. The operating results of CET allocated to noncontrolling interests in the consolidated statements of operations were $79,496, $8,752 and $75,704 for the years ended December 31, 2020, 2019 and 2018, respectively.</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Effective January 1, 2007, the Company formed a wholly-owned subsidiary, Cumberland Pharma Sales Corp. ("CPSC"). CPSC is the subsidiary that employs the Company's hospital and field sales force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right="8600" w:hanging="332"/>
        <w:spacing w:after="0" w:line="500" w:lineRule="auto"/>
        <w:tabs>
          <w:tab w:leader="none" w:pos="271"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color w:val="auto"/>
        </w:rPr>
        <w:t>Principles of Consolidation</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of the Company are stated in U.S. dollars and are prepared using U.S. generally accepted accounting principles. These financial statements include the accounts of the Company and its wholly and majority-owned subsidiaries. All significant intercompany transactions and accounts have been eliminated in consolidation.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the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Cumberland's sales organization has continued to interact with medical professionals, providing information and product samples as requested. However, much of their contact has shifted from in person to telephonic and electronic communications. Travel across the organization and attendance at medical meetings have largely been discontinued. Cumberland has faced the same headwinds affecting other companies that rely on hospital admissions and patient visits to drive revenue. During this pandemic, less patients sought care, some patients postponed elective surgeries and Cumberland's access to medical facilities was substantially limited.</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the employees’ safety and well-being, while also keeping its business operating. Given the uncertainty, magnitude and impact of such changes, the Company is unable to quantify the impact on the future results as of the date of this filing.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liability associated with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$2.4 million, $1.5 million and $2.1 million for the years ended December 31, 2020, 2019 and 2018, respectively.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fair value hierarchy that prioritizes observable and unobservable inputs used to measure fair value into three broad levels is described below:</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58"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policies and procedures to value instruments using the best and most relevant data available. The following section describes the valuation methodologies we use to measure different financial instruments at fair value on a recurring basis.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financial instruments include cash and cash equivalents,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spacing w:after="0" w:line="10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fair values of marketable securities are determined based on valuations provided by a third-party pricing service, as derived from such services' pricing models, and are considered either Level 1 or Level 2 measurements, depending on the nature of the investment. The Company has no marketable securities in which the fair value is determined based on Level 3. The level of management judgment required in evaluating fair value for Level 1 investments is minimal. Similarly, there is little subjectivity or judgment required for Level 2 investments valued using valuation models that are standard across the industry and whose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The Company believes that the valuations provided by the third-party pricing service, as derived from such services' pricing models, represent prices that would be received to sell the assets at the measurement date (exit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Cash and cash equivalents include highly liquid investments with original maturities of three months or less. As of December 31, 2020 and 2019, cash equivalents consist primarily of money market funds as well as trading securities with original maturities of less than ninety days.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invests in marketable debt securities in order to maximize its return on cash. Marketable securities consist of short-term cash investments, U.S. Treasury notes and bonds, corporate bonds, and commercial paper. At the time of purchase, the Company classifies marketable securities as either trading securities or available-for-sale securities, depending on the intent at that time. As of December 31, 2020 and 2019, marketable securities were comprised solely of trading securities. Trading securities are carried at fair value with unrealized gains and losses recognized as a component of interest income in the consolidated statements of operations. At December 31, 2020 and December 31, 2019 , all our investments had original maturities of less than ninety days and as a result were classified as cash equivalents.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Trade accounts receivable are recorded at the invoiced amount. The Company records allowances for amounts that could become uncollectible in the future based on historical experience, including amounts related to chargebacks and cash discounts. The Company reviews each customer balance to assess collection status.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and discounts. The allowances in accounts receivable for chargebacks and cash discounts were $1.0 million at December 31, 2020 and $0.8 million at December 31, 2019.</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revenues are reduced and accrued liabilities are increased by the Company’s estimate of the rebate that may be claimed. Cash discounts are reductions to invoiced amounts offered to customers for payment within a specified period of time from the date of the invoice.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Inventories are stated at the lower of cost or net realizable value with cost determined using the first-in, first-out method.</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realizable value. The Company classifies the Vibativ inventories and ifetroban inventories that it does not expect to sell within one year as non-current inventories.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and Other Current Assets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 The Company intends to continue an ATM feature through B. Riley FBR, Inc. that would allow the Company to issue shares of its common stock.</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recorded deferred offering costs for payments directly related to the current Shelf Registration on Form S-3 that was completed during December 2020 and declared effective in January 2021. These costs consist of legal and accounting fees that the Company has capitalized. Deferred costs associated with the Shelf Registration will be reclassified to additional paid in capital on a pro-rata basis as the Company completes sales of shares under the Shelf Registration. The Company did not issue any shares under this ATM during the year ended December 31, 2020. During the year ended December 31, 2020, the Company has expensed $0.4 million in deferred offering costs associated with the Shelf Registration that was declared effective in January 2018.</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income (loss) in the consolidated statement of operations. Improvements that extend an asset’s useful life are capitalized. Repairs and maintenance costs are expensed as incurred.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and Goodwill</w:t>
      </w:r>
    </w:p>
    <w:p>
      <w:pPr>
        <w:spacing w:after="0" w:line="13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intangible assets and goodwill consist of capitalized costs related to product and license rights, patents, trademarks and goodwill obtained in the Vibativ acquisition. Goodwill is not amortized for financial reporting purposes, but is subject to impairment analysis at least annually.</w:t>
      </w:r>
    </w:p>
    <w:p>
      <w:pPr>
        <w:spacing w:after="0" w:line="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and as well as management's expectations 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determination is made. All costs associated with obtaining patents for products that have not been approved for marketing by the FDA are expensed as incurred.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is recognized ratably over the following periods:</w:t>
      </w:r>
    </w:p>
    <w:p>
      <w:pPr>
        <w:sectPr>
          <w:pgSz w:w="11900" w:h="16838" w:orient="portrait"/>
          <w:cols w:equalWidth="0" w:num="1">
            <w:col w:w="11240"/>
          </w:cols>
          <w:pgMar w:left="320" w:top="364" w:right="339" w:bottom="1440" w:gutter="0" w:footer="0" w:header="0"/>
        </w:sectPr>
      </w:pPr>
    </w:p>
    <w:p>
      <w:pPr>
        <w:spacing w:after="0" w:line="198"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Product rights</w:t>
      </w:r>
    </w:p>
    <w:p>
      <w:pPr>
        <w:spacing w:after="0" w:line="46"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License rights</w:t>
      </w:r>
    </w:p>
    <w:p>
      <w:pPr>
        <w:spacing w:after="0" w:line="4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Patents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Estimated economic life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Term of license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Life of patent</w:t>
      </w:r>
    </w:p>
    <w:p>
      <w:pPr>
        <w:spacing w:after="0" w:line="143" w:lineRule="exact"/>
        <w:rPr>
          <w:sz w:val="20"/>
          <w:szCs w:val="20"/>
          <w:color w:val="auto"/>
        </w:rPr>
      </w:pPr>
    </w:p>
    <w:p>
      <w:pPr>
        <w:sectPr>
          <w:pgSz w:w="11900" w:h="16838" w:orient="portrait"/>
          <w:cols w:equalWidth="0" w:num="2">
            <w:col w:w="5060" w:space="720"/>
            <w:col w:w="5460"/>
          </w:cols>
          <w:pgMar w:left="320" w:top="364" w:right="3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Long-lived assets, such as property and equipment, operating lease right-of-use assets and intangible assets subject to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As a result, the Vibativ component of the Company is the reporting unit evaluated for goodwill impairment. Cumberland determined the fair value of the reporting unit through current and future estimated revenue and profitability of the product. The Company recorded no impairment charges during 2020, 2019 and 2018.</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Joint Venture Agreement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2020, Cumberland entered into an agreement with WinHealth Investment (Singapore) Ltd creating WHC Biopharmaceuticals, Pte. Ltd.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$0.2 million convertible note. The joint venture will seek additional future capital from additional investors and has entered into exclusive option agreements to license intellectual property from both Cumberland Pharmaceuticals Inc. and Cumberland Emerging Technologies.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January 1, 2018, the Company adopted the Financial Accounting Standards Board’s (“FASB”) amended guidance in the form of Accounting Standards Update (“ASU”) No. 2014-09, "Revenue from Contracts with Customers," (ASC 606).</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Revenues from product sales are recognized in the amount that reflects the consideration that we expect to receive for these goods. Depending upon the shipping terms of the transaction, the revenue is recognized 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Rebates and Discounts</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sales revenues are reduced and accrued liabilities are increased by the Company’s estimate of the rebate that may be claimed.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Returns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expected to impact future returns. Any changes in the assumptions used to estimate the provision for returns are recognized in the period those assumptions are changed.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Revenues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revenues primarily consist of income from grant funding programs, licensing agreements, leases and contract services. Revenue related to grants is recognized when all conditions related to such grants have been met. All other revenue is recognized when earned.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marketing expense consists primarily of expenses relating to the advertising, promotion, distribution and sale of products, including royalty expense, salaries and related costs.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Costs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 costs are expensed as incurred and are included as a component of selling and marketing expenses in the consolidated statements of operations. Distribution costs were as follows for the years ended December 31:</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890,686</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613,637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457,814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as incurred and are included as a component of selling and marketing expenses in the consolidated statements of operations. Advertising costs were as follows for the years ended December 31:</w:t>
      </w:r>
    </w:p>
    <w:p>
      <w:pPr>
        <w:spacing w:after="0" w:line="126"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142"/>
        </w:trPr>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2,379,424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2,594,630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2,005,113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are comprised mainly of clinical trial expenses, salaries, wages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associated with an income tax position in which it is “more likely than not” that the position would be sustained upon examination by the taxing authorities.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policy with respect to interest and penalties arising from income tax settlements is to recognize them as part of the provision for income taxes.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Basic earnings (loss) per share is calculated by dividing net income (loss) attributable to common shareholders by the weighted-average number of shares outstanding. Except where the result would be antidilutive to income from continuing operations, diluted earnings (loss) per share is calculated by assuming the vesting of unvested restricted stock and the exercise of stock options and warrants and unrecognized compensation costs.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Collaborative Agreements</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3 do not meet the criteria for accounting under ASC Topic 808,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As discussed further in Note 20, 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and Totect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the products meets the accounting criteria to be reported as discontinued operations and the discontinued operating results have been reclassified in the financial statements and footnotes for all periods presented to reflect the discontinued status of these products. Refer to Note 20, for additional information.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Adopted Accounting Pronouncements</w:t>
      </w:r>
    </w:p>
    <w:p>
      <w:pPr>
        <w:spacing w:after="0" w:line="1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Cumberland adopted the standard effective January 1, 2020 with no impact on the Company's consolidated financial statements.</w:t>
      </w:r>
    </w:p>
    <w:p>
      <w:pPr>
        <w:spacing w:after="0" w:line="8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was adopted by Cumberland effective January 1, 2020 and was applied prospectively with no impact on the Company's consolidated financial statements.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3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cumulative-effect adjustment, if any, to retained earnings as of the beginning of the first reporting period in which the guidance is adopted.</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76"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Vibativ</w:t>
      </w:r>
      <w:r>
        <w:rPr>
          <w:rFonts w:ascii="Arial" w:cs="Arial" w:eastAsia="Arial" w:hAnsi="Arial"/>
          <w:sz w:val="23"/>
          <w:szCs w:val="23"/>
          <w:b w:val="1"/>
          <w:bCs w:val="1"/>
          <w:color w:val="auto"/>
          <w:vertAlign w:val="superscript"/>
        </w:rPr>
        <w: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RediTrex</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27, 2019, Cumberland received FDA approval for the first Nordic injectible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This milestone payment was paid in July 2020 and was recorded as an other current liability at December 31, 2019. During December 2020 Cumberland launched RediTrex and the launch also resulted in a $1.0 million milestone payment due to Nordic. This milestone payment will be paid during 2021 and was recorded as an other current liability at December 31, 2020.</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Cumberland has approximately $2.8 million in net intangible assets related to RediTrex at December 31, 2020.</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2020, Cumberland recognized $0.5 million of other revenue in its condensed consolidated statement of operations for a collaborative payment due from Nordic. The payment was received during July 2020.</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Vibativ</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Cumberland expects to deduct the goodwill acquired in the acquisition for tax purposes.</w:t>
      </w:r>
    </w:p>
    <w:p>
      <w:pPr>
        <w:spacing w:after="0" w:line="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Cumberland has accounted for the transaction as a business combination in accordance with ASC 805 and the product sales are included in the results of operations subsequent to the acquisition date. The Company paid an upfront payment of $20.0 million at closing and a $5.0 million cash payment during early 2019.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Cumberland agreed to pay a royalty of up to 20% on future net sales of the product. The future royalty payments were required to be recognized at their acquisition-date fair value as part of the contingent consideration transferred in the business combination.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initial payments and consideration for the business combination: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10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20,000,000</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 during early 2019</w:t>
            </w:r>
          </w:p>
        </w:tc>
        <w:tc>
          <w:tcPr>
            <w:tcW w:w="10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contingent consideration - net sales royalty</w:t>
            </w:r>
          </w:p>
        </w:tc>
        <w:tc>
          <w:tcPr>
            <w:tcW w:w="10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9,182,000</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34,182,000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contingent consideration liability represents the future net sales royalty payments discussed above. Cumberland prepared the valuations of the contingent consideration liability and the intangible assets utilizing significant unobservable inputs. As a result, the valuations are classified as Level 3 fair value measurements.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presents the changes in the Company's Level 3 contingent consideration liability that is remeasured at fair value on a recurring basis. The contingent consideration earned and accrued in operating expenses is paid to the seller quarterly.</w:t>
      </w:r>
    </w:p>
    <w:tbl>
      <w:tblPr>
        <w:tblLayout w:type="fixed"/>
        <w:tblInd w:w="0" w:type="dxa"/>
        <w:tblCellMar>
          <w:top w:w="0" w:type="dxa"/>
          <w:left w:w="0" w:type="dxa"/>
          <w:bottom w:w="0" w:type="dxa"/>
          <w:right w:w="0" w:type="dxa"/>
        </w:tblCellMar>
      </w:tblPr>
      <w:tr>
        <w:trPr>
          <w:trHeight w:val="181"/>
        </w:trPr>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w w:val="91"/>
              </w:rPr>
              <w:t>Contingent consideration</w:t>
            </w:r>
          </w:p>
        </w:tc>
      </w:tr>
      <w:tr>
        <w:trPr>
          <w:trHeight w:val="230"/>
        </w:trPr>
        <w:tc>
          <w:tcPr>
            <w:tcW w:w="8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liability</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November 12,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9,034,000</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508,000</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9,502,000</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initial fair value of the contingent consideration liability</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(1,033,108)</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(804,167)</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820,864</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8,633,589</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(819,180)</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(1,160,202)</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1,546,346</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8,200,553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allocation of the fair values of the assets acquired as of the acquisition date for Vibativ:</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6,624,000</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Work in process - unlabeled vials</w:t>
            </w:r>
          </w:p>
        </w:tc>
        <w:tc>
          <w:tcPr>
            <w:tcW w:w="1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3,970,000</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 - validation vials</w:t>
            </w:r>
          </w:p>
        </w:tc>
        <w:tc>
          <w:tcPr>
            <w:tcW w:w="13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1,827,000</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w:t>
            </w:r>
          </w:p>
        </w:tc>
        <w:tc>
          <w:tcPr>
            <w:tcW w:w="1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9,129,000</w:t>
            </w:r>
          </w:p>
        </w:tc>
      </w:tr>
      <w:tr>
        <w:trPr>
          <w:trHeight w:val="248"/>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inventory</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21,550,000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 amortizable intangible assets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11,750,000</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882,000</w:t>
            </w:r>
          </w:p>
        </w:tc>
      </w:tr>
      <w:tr>
        <w:trPr>
          <w:trHeight w:val="223"/>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intangibles and goodwill</w:t>
            </w:r>
          </w:p>
        </w:tc>
        <w:tc>
          <w:tcPr>
            <w:tcW w:w="13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12,632,000</w:t>
            </w: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Total assets acquired</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34,182,000</w:t>
            </w:r>
          </w:p>
        </w:tc>
      </w:tr>
      <w:tr>
        <w:trPr>
          <w:trHeight w:val="21"/>
        </w:trPr>
        <w:tc>
          <w:tcPr>
            <w:tcW w:w="6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6"/>
          <w:szCs w:val="16"/>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 The current portion of the contingent consideration liability is $3.3 million and the non-current portion is $4.9 million, as of December 31, 2020.</w:t>
      </w:r>
    </w:p>
    <w:p>
      <w:pPr>
        <w:spacing w:after="0" w:line="50"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product revenues consisted of the following for the years ended December 31:</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2018</w:t>
            </w: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Products: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Kristalose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15,567,562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12,895,120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12,055,625</w:t>
            </w: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Vibativ</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10,870,990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8,691,550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5,075,057</w:t>
            </w: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Caldolor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5,336,943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5,222,282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5,001,997</w:t>
            </w: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Acetadote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1,874,206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3,824,449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4,284,111</w:t>
            </w: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Omeclamox-Pak</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623,297</w:t>
            </w: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Vaprisol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1,077,227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936,615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1,763,874</w:t>
            </w: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RediTrex</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856,657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440"/>
              <w:spacing w:after="0"/>
              <w:rPr>
                <w:sz w:val="20"/>
                <w:szCs w:val="20"/>
                <w:color w:val="auto"/>
              </w:rPr>
            </w:pPr>
            <w:r>
              <w:rPr>
                <w:rFonts w:ascii="Arial" w:cs="Arial" w:eastAsia="Arial" w:hAnsi="Arial"/>
                <w:sz w:val="18"/>
                <w:szCs w:val="18"/>
                <w:color w:val="auto"/>
              </w:rPr>
              <w:t>Total net product revenues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35,840,673</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32,407,845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28,803,961</w:t>
            </w:r>
          </w:p>
        </w:tc>
      </w:tr>
      <w:tr>
        <w:trPr>
          <w:trHeight w:val="20"/>
        </w:trPr>
        <w:tc>
          <w:tcPr>
            <w:tcW w:w="4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Revenues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2019, Cumberland executed a License and Distribution agreement with HongKong WinHealth Pharma Group Co. Limited (“WinHealth”) for our Caldolor and Acetadote brands in China and Hong Kong. In conjunction with these new arrangements, the Company terminated a previous License and Distribution agreement with Gloria Pharmaceuticals Co ("Gloria Pharmaceuticals") for the two brands. In addition, we also signed a new License and Distribution agreement with DB Pharm Korea Co., Ltd. (“DB Pharm”) for Vibativ in South Korea. As a result of these agreements, Cumberland recognized approximately $0.3 million of non-refundable up-front payments as other revenue in the consolidated statement of operations during 2019. There were no payments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international agreements provide for $1.0 million in non-refundable up-front payments, milestone payments of up to $2.2 million related to regulatory approvals and up to $4.8 million in payments related to product sales. From 2012 through December 31, 2020, the Company has recognized a cumulative $1.2 million in upfront payments as other revenue and has recognized $0.1 million in revenue related to the milestone payments associated with these international agreements.</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revenues during 2020, 2019 and 2018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$0.8 million, $1.3 million, and $0.1 million for the years ending December 31, 2020, 2019 and 2018, respectively.</w:t>
      </w:r>
    </w:p>
    <w:p>
      <w:pPr>
        <w:spacing w:after="0" w:line="10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Inventories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inventories consisted of the following as of December 31:</w:t>
      </w:r>
    </w:p>
    <w:p>
      <w:pPr>
        <w:spacing w:after="0" w:line="172" w:lineRule="exact"/>
        <w:rPr>
          <w:sz w:val="20"/>
          <w:szCs w:val="20"/>
          <w:color w:val="auto"/>
        </w:rPr>
      </w:pPr>
    </w:p>
    <w:tbl>
      <w:tblPr>
        <w:tblLayout w:type="fixed"/>
        <w:tblInd w:w="72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r>
      <w:tr>
        <w:trPr>
          <w:trHeight w:val="145"/>
        </w:trPr>
        <w:tc>
          <w:tcPr>
            <w:tcW w:w="6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16,223,162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19,345,723</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128,005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416,468</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net of reserve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5,943,732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4,664,055</w:t>
            </w:r>
          </w:p>
        </w:tc>
      </w:tr>
      <w:tr>
        <w:trPr>
          <w:trHeight w:val="223"/>
        </w:trPr>
        <w:tc>
          <w:tcPr>
            <w:tcW w:w="604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22,294,899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24,426,246</w:t>
            </w:r>
          </w:p>
        </w:tc>
      </w:tr>
      <w:tr>
        <w:trPr>
          <w:trHeight w:val="230"/>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non-current inventories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(11,656,742)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(15,554,992)</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10,638,157</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8,871,254</w:t>
            </w: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December 31, 2020 and 2019 the Company had recognized and maintained cumulative net realizable value charges for potential obsolescence and discontinuance losses of approximately $0.2 million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acquisition of certain product rights related to the Kristalose brand, the Company is responsible for the purchase of the active pharmaceutical ingredient ("API") for Kristalose and maintains the inventory at the third-party packagers. As the API is consumed in production, the value of the API is transferred from raw materials to finished goods. API for the Company's Vaprisol brand is also included in the raw materials inventory total at December 31, 2020 and 2019. Consigned inventory represents Authorized Generic inventory stored with Perrigo until shipment.</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 Vibativ acquisition, Cumberland acquired API and work in process inventories of $15.6 million that were classified as non-current inventories. At December 31, 2020, the Vibativ non-current inventory was $11.2 million and $15.3 million at December 31, 2019. The Company had Vibativ finished goods included in the non-current inventories at December 31, 2020 of $2.1 million and we did not have any Vibativ finished goods included at December 31, 2019. At December 31, 2020 and December 31, 2019, Cumberland had $0.4 million and $0.3 million, respectively, in non-current inventory for API related to its ifetroban clinical initiatives.</w:t>
      </w:r>
    </w:p>
    <w:p>
      <w:pPr>
        <w:spacing w:after="0" w:line="116"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at December 31:</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Range of</w:t>
            </w:r>
          </w:p>
        </w:tc>
        <w:tc>
          <w:tcPr>
            <w:tcW w:w="420" w:type="dxa"/>
            <w:vAlign w:val="bottom"/>
          </w:tcPr>
          <w:p>
            <w:pPr>
              <w:spacing w:after="0"/>
              <w:rPr>
                <w:sz w:val="16"/>
                <w:szCs w:val="16"/>
                <w:color w:val="auto"/>
              </w:rPr>
            </w:pPr>
          </w:p>
        </w:tc>
        <w:tc>
          <w:tcPr>
            <w:tcW w:w="1380" w:type="dxa"/>
            <w:vAlign w:val="bottom"/>
            <w:vMerge w:val="restart"/>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vMerge w:val="restart"/>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useful lives</w:t>
            </w: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 – 5 years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1,275,703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1,260,630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Office equipment</w:t>
            </w:r>
          </w:p>
        </w:tc>
        <w:tc>
          <w:tcPr>
            <w:tcW w:w="25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3 – 15 years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806,906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878,350</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5 – 15 years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638,903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646,505</w:t>
            </w:r>
          </w:p>
        </w:tc>
        <w:tc>
          <w:tcPr>
            <w:tcW w:w="0" w:type="dxa"/>
            <w:vAlign w:val="bottom"/>
          </w:tcPr>
          <w:p>
            <w:pPr>
              <w:spacing w:after="0"/>
              <w:rPr>
                <w:sz w:val="1"/>
                <w:szCs w:val="1"/>
                <w:color w:val="auto"/>
              </w:rPr>
            </w:pPr>
          </w:p>
        </w:tc>
      </w:tr>
      <w:tr>
        <w:trPr>
          <w:trHeight w:val="176"/>
        </w:trPr>
        <w:tc>
          <w:tcPr>
            <w:tcW w:w="3600" w:type="dxa"/>
            <w:vAlign w:val="bottom"/>
            <w:vMerge w:val="restart"/>
          </w:tcPr>
          <w:p>
            <w:pPr>
              <w:spacing w:after="0"/>
              <w:rPr>
                <w:sz w:val="20"/>
                <w:szCs w:val="20"/>
                <w:color w:val="auto"/>
              </w:rPr>
            </w:pPr>
            <w:r>
              <w:rPr>
                <w:rFonts w:ascii="Arial" w:cs="Arial" w:eastAsia="Arial" w:hAnsi="Arial"/>
                <w:sz w:val="18"/>
                <w:szCs w:val="18"/>
                <w:color w:val="auto"/>
              </w:rPr>
              <w:t>Leasehold improvements</w:t>
            </w:r>
          </w:p>
        </w:tc>
        <w:tc>
          <w:tcPr>
            <w:tcW w:w="25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7"/>
              </w:rPr>
              <w:t>3 – 15 years, or</w:t>
            </w: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1,409,744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1,356,640</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vMerge w:val="continue"/>
          </w:tcPr>
          <w:p>
            <w:pPr>
              <w:spacing w:after="0"/>
              <w:rPr>
                <w:sz w:val="19"/>
                <w:szCs w:val="19"/>
                <w:color w:val="auto"/>
              </w:rPr>
            </w:pPr>
          </w:p>
        </w:tc>
        <w:tc>
          <w:tcPr>
            <w:tcW w:w="252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89"/>
              </w:rPr>
              <w:t>remaining lease term</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property and</w:t>
            </w: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4,131,256</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4,142,125</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gross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(3,557,087)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(3,394,329)</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amortization</w:t>
            </w: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property and</w:t>
            </w: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574,169</w:t>
            </w:r>
          </w:p>
        </w:tc>
        <w:tc>
          <w:tcPr>
            <w:tcW w:w="1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747,796</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equipment, net</w:t>
            </w:r>
          </w:p>
        </w:tc>
        <w:tc>
          <w:tcPr>
            <w:tcW w:w="2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Depreciation expense, including amortization expense related to leasehold improvements, is included in general and administrative expense in the consolidated statements of operations. Depreciation expense was as follows for the years ended December 31:</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142"/>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213,237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(7)  Intangible Assets and Goodwill</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Intangible assets and Goodwill consisted of the following at December 31:</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142"/>
        </w:trPr>
        <w:tc>
          <w:tcPr>
            <w:tcW w:w="8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29"/>
        </w:trPr>
        <w:tc>
          <w:tcPr>
            <w:tcW w:w="80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Product and license rights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38,543,542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37,400,742</w:t>
            </w:r>
          </w:p>
        </w:tc>
      </w:tr>
      <w:tr>
        <w:trPr>
          <w:trHeight w:val="230"/>
        </w:trPr>
        <w:tc>
          <w:tcPr>
            <w:tcW w:w="800" w:type="dxa"/>
            <w:vAlign w:val="bottom"/>
          </w:tcPr>
          <w:p>
            <w:pPr>
              <w:spacing w:after="0"/>
              <w:rPr>
                <w:sz w:val="19"/>
                <w:szCs w:val="19"/>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(14,709,824)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(11,499,141)</w:t>
            </w:r>
          </w:p>
        </w:tc>
      </w:tr>
      <w:tr>
        <w:trPr>
          <w:trHeight w:val="223"/>
        </w:trPr>
        <w:tc>
          <w:tcPr>
            <w:tcW w:w="800" w:type="dxa"/>
            <w:vAlign w:val="bottom"/>
          </w:tcPr>
          <w:p>
            <w:pPr>
              <w:spacing w:after="0"/>
              <w:rPr>
                <w:sz w:val="19"/>
                <w:szCs w:val="19"/>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product and license rights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23,833,718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25,901,601</w:t>
            </w:r>
          </w:p>
        </w:tc>
      </w:tr>
      <w:tr>
        <w:trPr>
          <w:trHeight w:val="223"/>
        </w:trPr>
        <w:tc>
          <w:tcPr>
            <w:tcW w:w="8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Patents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10,306,922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9,882,511</w:t>
            </w:r>
          </w:p>
        </w:tc>
      </w:tr>
      <w:tr>
        <w:trPr>
          <w:trHeight w:val="229"/>
        </w:trPr>
        <w:tc>
          <w:tcPr>
            <w:tcW w:w="80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(6,312,460)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(5,127,878)</w:t>
            </w:r>
          </w:p>
        </w:tc>
      </w:tr>
      <w:tr>
        <w:trPr>
          <w:trHeight w:val="223"/>
        </w:trPr>
        <w:tc>
          <w:tcPr>
            <w:tcW w:w="800" w:type="dxa"/>
            <w:vAlign w:val="bottom"/>
          </w:tcPr>
          <w:p>
            <w:pPr>
              <w:spacing w:after="0"/>
              <w:rPr>
                <w:sz w:val="19"/>
                <w:szCs w:val="19"/>
                <w:color w:val="auto"/>
              </w:rPr>
            </w:pPr>
          </w:p>
        </w:tc>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patents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3,994,462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4,754,633</w:t>
            </w:r>
          </w:p>
        </w:tc>
      </w:tr>
      <w:tr>
        <w:trPr>
          <w:trHeight w:val="223"/>
        </w:trPr>
        <w:tc>
          <w:tcPr>
            <w:tcW w:w="80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338,011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273,110</w:t>
            </w:r>
          </w:p>
        </w:tc>
      </w:tr>
      <w:tr>
        <w:trPr>
          <w:trHeight w:val="230"/>
        </w:trPr>
        <w:tc>
          <w:tcPr>
            <w:tcW w:w="800" w:type="dxa"/>
            <w:vAlign w:val="bottom"/>
          </w:tcPr>
          <w:p>
            <w:pPr>
              <w:spacing w:after="0"/>
              <w:rPr>
                <w:sz w:val="19"/>
                <w:szCs w:val="19"/>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w:t>
            </w:r>
          </w:p>
        </w:tc>
      </w:tr>
      <w:tr>
        <w:trPr>
          <w:trHeight w:val="223"/>
        </w:trPr>
        <w:tc>
          <w:tcPr>
            <w:tcW w:w="800" w:type="dxa"/>
            <w:vAlign w:val="bottom"/>
          </w:tcPr>
          <w:p>
            <w:pPr>
              <w:spacing w:after="0"/>
              <w:rPr>
                <w:sz w:val="19"/>
                <w:szCs w:val="19"/>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trademarks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290,136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264,090</w:t>
            </w:r>
          </w:p>
        </w:tc>
      </w:tr>
      <w:tr>
        <w:trPr>
          <w:trHeight w:val="223"/>
        </w:trPr>
        <w:tc>
          <w:tcPr>
            <w:tcW w:w="800" w:type="dxa"/>
            <w:vAlign w:val="bottom"/>
          </w:tcPr>
          <w:p>
            <w:pPr>
              <w:spacing w:after="0"/>
              <w:rPr>
                <w:sz w:val="19"/>
                <w:szCs w:val="19"/>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28,118,316</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30,920,324</w:t>
            </w:r>
          </w:p>
        </w:tc>
      </w:tr>
      <w:tr>
        <w:trPr>
          <w:trHeight w:val="20"/>
        </w:trPr>
        <w:tc>
          <w:tcPr>
            <w:tcW w:w="800" w:type="dxa"/>
            <w:vAlign w:val="bottom"/>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8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882,000</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882,000</w:t>
            </w:r>
          </w:p>
        </w:tc>
      </w:tr>
      <w:tr>
        <w:trPr>
          <w:trHeight w:val="20"/>
        </w:trPr>
        <w:tc>
          <w:tcPr>
            <w:tcW w:w="8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Product and license rights include assets associated with the Company's acquired products, including those discussed in Note 3, RediTrex and Vibativ. In November 2016, the Company acquired the U.S. rights to Nordic Group B.V.’s injectable methotrexate product line as an asset purchase. The agreement requires the Company to provide unvested restricted shares of Cumberland common stock and make a series of payments tied to the products’ FDA approval, launch and achievement of certain sales milestones. The payments are being treated as consideration for the assets acquired and are being capitalized and amortized over the expected useful life of the acquired asset. To date, the intangible assets related to the product include the $100,000 deposit paid at closing, the 180,000 restricted shares valued at $0.9 million that vested upon the November 2019 FDA approval, the additional $1.0 million paid to Nordic during 2020 based on the 2019 FDA approval and the $1.0 million owed to Nordic based on the 2020 product launch.</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 3, during November 2018, the Company acquired Vibativ from Theravance. This resulted in amortizable intangible assets related to the product rights of $11.8 million and goodwill of $0.9 million. The intangible assets are being amortized through November 2028, the expected useful life of the acquired asset. The $0.1 million increase in goodwill during 2019 was a result of changes in the purchase price allocation during the measurement period.</w:t>
      </w:r>
    </w:p>
    <w:p>
      <w:pPr>
        <w:spacing w:after="0" w:line="11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During 2020 and 2019, the Company recorded an additional $0.5 million and $0.7 million, respectively, in intangible assets for patents, trademarks and capitalized patent costs, including amounts incurred in the protection of the Company's intellectual property. These costs will be amortized over the remaining expected useful life of the associated patents.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related to product and license rights, trademarks and patents were as follows for the years ended December 31:</w:t>
      </w:r>
    </w:p>
    <w:p>
      <w:pPr>
        <w:spacing w:after="0" w:line="194"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142"/>
        </w:trPr>
        <w:tc>
          <w:tcPr>
            <w:tcW w:w="3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5"/>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4,434,120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4,134,557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2,769,466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jc w:val="center"/>
        <w:ind w:right="-10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amortization expense for the Company's current balance of intangible assets are as follows: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0"/>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4,338,247</w:t>
            </w:r>
          </w:p>
        </w:tc>
      </w:tr>
      <w:tr>
        <w:trPr>
          <w:trHeight w:val="229"/>
        </w:trPr>
        <w:tc>
          <w:tcPr>
            <w:tcW w:w="6600" w:type="dxa"/>
            <w:vAlign w:val="bottom"/>
          </w:tcPr>
          <w:p>
            <w:pPr>
              <w:ind w:left="340"/>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3,691,293</w:t>
            </w:r>
          </w:p>
        </w:tc>
      </w:tr>
      <w:tr>
        <w:trPr>
          <w:trHeight w:val="229"/>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3,629,001</w:t>
            </w:r>
          </w:p>
        </w:tc>
      </w:tr>
      <w:tr>
        <w:trPr>
          <w:trHeight w:val="230"/>
        </w:trPr>
        <w:tc>
          <w:tcPr>
            <w:tcW w:w="6600" w:type="dxa"/>
            <w:vAlign w:val="bottom"/>
          </w:tcPr>
          <w:p>
            <w:pPr>
              <w:ind w:left="34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3,629,001</w:t>
            </w:r>
          </w:p>
        </w:tc>
      </w:tr>
      <w:tr>
        <w:trPr>
          <w:trHeight w:val="229"/>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 and thereafter</w:t>
            </w:r>
          </w:p>
        </w:tc>
        <w:tc>
          <w:tcPr>
            <w:tcW w:w="7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12,830,774</w:t>
            </w:r>
          </w:p>
        </w:tc>
      </w:tr>
      <w:tr>
        <w:trPr>
          <w:trHeight w:val="223"/>
        </w:trPr>
        <w:tc>
          <w:tcPr>
            <w:tcW w:w="66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28,118,316</w:t>
            </w:r>
          </w:p>
        </w:tc>
      </w:tr>
      <w:tr>
        <w:trPr>
          <w:trHeight w:val="20"/>
        </w:trPr>
        <w:tc>
          <w:tcPr>
            <w:tcW w:w="6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(8)  Other Current and Other Long-term Liabilities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at December 31:</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Pr>
          <w:p>
            <w:pPr>
              <w:spacing w:after="0"/>
              <w:rPr>
                <w:sz w:val="6"/>
                <w:szCs w:val="6"/>
                <w:color w:val="auto"/>
              </w:rPr>
            </w:pPr>
          </w:p>
        </w:tc>
        <w:tc>
          <w:tcPr>
            <w:tcW w:w="5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5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Rebates, product returns, administrative fees</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4,072,151</w:t>
            </w:r>
          </w:p>
        </w:tc>
        <w:tc>
          <w:tcPr>
            <w:tcW w:w="520" w:type="dxa"/>
            <w:vAlign w:val="bottom"/>
            <w:gridSpan w:val="3"/>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4,593,167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service fees</w:t>
            </w: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520" w:type="dxa"/>
            <w:vAlign w:val="bottom"/>
            <w:gridSpan w:val="3"/>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Employee wages and benefits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998,064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1,295,905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accrued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2,787,741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2,374,776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829,047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payment for asset purchase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Paycheck Protection Program liability</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915,285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991,974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Total other current liabilities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11,254,381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11,084,869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vMerge w:val="restart"/>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34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Pr>
          <w:p>
            <w:pPr>
              <w:spacing w:after="0"/>
              <w:rPr>
                <w:sz w:val="6"/>
                <w:szCs w:val="6"/>
                <w:color w:val="auto"/>
              </w:rPr>
            </w:pPr>
          </w:p>
        </w:tc>
        <w:tc>
          <w:tcPr>
            <w:tcW w:w="5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 of accrued contingent consideration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4,855,363</w:t>
            </w:r>
          </w:p>
        </w:tc>
        <w:tc>
          <w:tcPr>
            <w:tcW w:w="5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2,702,772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2,278,164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304,637</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Total other long-term liabilities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7,862,772</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364" w:right="13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7, 2020, the Company entered into a Third Amendment to the Revolving Credit Note and Fourth Amendment (“Fourth Amendment”) to the Revolving Credit Loan Agreement with Pinnacle Bank (the “Pinnacle Agreement”). The original Pinnacle Agreement was dated July 2017. The Fourth Amendment provides for a principal available for borrowing of up to $15 million and Cumberland has the ability to request an increase of up to an additional $5 million, upon the satisfaction of certain conditions and approval by Pinnacle Bank. If fully expanded, the Fourth Amendment would provide a maximum principal available for borrowing of up to $20 million, which was also the maximum aggregate principal available for borrowing under the previously amended Pinnacle Agreement. The Fourth Amendment extends the maturity date of the Pinnacle Agreement through October 1, 2022.</w:t>
      </w:r>
    </w:p>
    <w:p>
      <w:pPr>
        <w:spacing w:after="0" w:line="97"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On May 10, 2019, the Company entered into a third amendment ("Third Amendment") to the Pinnacle Agreement, which extended the term of the Pinnacle Agreement through July 31, 2021 as well as modified certain definitions and terms of the existing financial covenants, including the definition of the Funded Debt Ratio and the compliance target of the Tangible Capital Ratio. Both Third Amendment modifications were related to the Vibativ</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transaction. Under the Pinnacle Agreement, Cumberland was initially subject to one financial covenant, the maintenance of a Funded Debt Ratio, as such</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term is defined in the agreement and determined on a quarterly basis. On August 14, 2018, the Company amended the Pinnacle Agreement ("First Amendment") to replace the single financial covenant with the maintenance of either the Funded Debt Ratio or a Tangible Capital Ratio, as defined in the</w:t>
      </w:r>
    </w:p>
    <w:p>
      <w:pPr>
        <w:spacing w:after="0"/>
        <w:rPr>
          <w:sz w:val="20"/>
          <w:szCs w:val="20"/>
          <w:color w:val="auto"/>
        </w:rPr>
      </w:pPr>
      <w:r>
        <w:rPr>
          <w:rFonts w:ascii="Arial" w:cs="Arial" w:eastAsia="Arial" w:hAnsi="Arial"/>
          <w:sz w:val="18"/>
          <w:szCs w:val="18"/>
          <w:color w:val="auto"/>
        </w:rPr>
        <w:t>First Amendment. The Company was in compliance with the Tangible Capital Ratio financial covenant as of December 31, 2020.</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revolving line of credit under the Pinnacle Agreement was for up to an aggregate principal amount of $12.0 million with the ability to increase the principal amount available for borrowing up to $20.0 million, upon the satisfaction of certain conditions. On October 17, 2018, the Company entered into a second amendment (“Second Amendment”) which increased the maximum aggregate principal available for borrowing under the Pinnacle Agreement to $20.0 million.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had $15.0 million in borrowings under the Pinnacle Agreement at December 31, 2020 and $18.5 million at December 31, 2019.</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interest rate on the Pinnacle Agreement is based on LIBOR plus an interest rate spread. The pricing under the Fourth Amendment provides for an interest rate spread of 1.75% to 2.75% above LIBOR with a minimum LIBOR of 0.90% (representing an interest rate of 3.65% at December 31, 2020). In addition, a fee of 0.25% per year is charged on the unused line of credit. Interest and the unused line fee are payable quarterly.</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Borrowings under the line of credit are collateralized by substantially all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jc w:val="center"/>
        <w:ind w:right="-72"/>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3"/>
        <w:spacing w:after="0"/>
        <w:rPr>
          <w:sz w:val="20"/>
          <w:szCs w:val="20"/>
          <w:color w:val="auto"/>
        </w:rPr>
      </w:pPr>
      <w:r>
        <w:rPr>
          <w:rFonts w:ascii="Arial" w:cs="Arial" w:eastAsia="Arial" w:hAnsi="Arial"/>
          <w:sz w:val="18"/>
          <w:szCs w:val="18"/>
          <w:i w:val="1"/>
          <w:iCs w:val="1"/>
          <w:color w:val="auto"/>
        </w:rPr>
        <w:t>Paycheck Protection Program Loan</w:t>
      </w:r>
    </w:p>
    <w:p>
      <w:pPr>
        <w:spacing w:after="0" w:line="144"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16" w:lineRule="exact"/>
        <w:rPr>
          <w:sz w:val="20"/>
          <w:szCs w:val="20"/>
          <w:color w:val="auto"/>
        </w:rPr>
      </w:pPr>
    </w:p>
    <w:p>
      <w:pPr>
        <w:jc w:val="both"/>
        <w:ind w:left="73" w:right="20" w:firstLine="324"/>
        <w:spacing w:after="0" w:line="263" w:lineRule="auto"/>
        <w:rPr>
          <w:sz w:val="20"/>
          <w:szCs w:val="20"/>
          <w:color w:val="auto"/>
        </w:rPr>
      </w:pPr>
      <w:r>
        <w:rPr>
          <w:rFonts w:ascii="Arial" w:cs="Arial" w:eastAsia="Arial" w:hAnsi="Arial"/>
          <w:sz w:val="18"/>
          <w:szCs w:val="18"/>
          <w:color w:val="auto"/>
        </w:rPr>
        <w:t>The PPP is administered by the U.S. Small Business Administration ("SBA"). The loan matures April 14, 2022, and bears interest at a rate of 1.0% per year, payable monthly. The loan may be prepaid at any time prior to maturity with no prepayment penalties. Funds from the loan are to be used to maintain payroll, continue group health care benefits and pay for rent and utilities.</w:t>
      </w:r>
    </w:p>
    <w:p>
      <w:pPr>
        <w:spacing w:after="0" w:line="116" w:lineRule="exact"/>
        <w:rPr>
          <w:sz w:val="20"/>
          <w:szCs w:val="20"/>
          <w:color w:val="auto"/>
        </w:rPr>
      </w:pPr>
    </w:p>
    <w:p>
      <w:pPr>
        <w:jc w:val="both"/>
        <w:ind w:left="73" w:firstLine="324"/>
        <w:spacing w:after="0" w:line="271" w:lineRule="auto"/>
        <w:rPr>
          <w:sz w:val="20"/>
          <w:szCs w:val="20"/>
          <w:color w:val="auto"/>
        </w:rPr>
      </w:pPr>
      <w:r>
        <w:rPr>
          <w:rFonts w:ascii="Arial" w:cs="Arial" w:eastAsia="Arial" w:hAnsi="Arial"/>
          <w:sz w:val="17"/>
          <w:szCs w:val="17"/>
          <w:color w:val="auto"/>
        </w:rPr>
        <w:t xml:space="preserve">Under the terms of the PPP, certain amounts of the loan may be forgiven if they are used for qualifying expenses as described in the CARES Act, including qualifying payroll costs, covered rent payments, and covered utilities. From the date of funding the Company has used the loan amount for such qualifying expenses. Cumberland has elected to account for the proceeds of the loan as a government grant under </w:t>
      </w:r>
      <w:r>
        <w:rPr>
          <w:rFonts w:ascii="Arial" w:cs="Arial" w:eastAsia="Arial" w:hAnsi="Arial"/>
          <w:sz w:val="17"/>
          <w:szCs w:val="17"/>
          <w:i w:val="1"/>
          <w:iCs w:val="1"/>
          <w:color w:val="auto"/>
        </w:rPr>
        <w:t>International Accounting Standard 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("IAS 20"), Accounting for Government Grants and Disclosure of Government Assistance. </w:t>
      </w:r>
      <w:r>
        <w:rPr>
          <w:rFonts w:ascii="Arial" w:cs="Arial" w:eastAsia="Arial" w:hAnsi="Arial"/>
          <w:sz w:val="17"/>
          <w:szCs w:val="17"/>
          <w:color w:val="auto"/>
        </w:rPr>
        <w:t>The permitted analogous use of IAS 20 outlines a model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government assistance, including forgivable loans. As a result, the Company has recorded the $2,187,140 as a deferred income liability, which is included as a component of other current liabilities on the consolidated balance sheet. The Company intends to apply IAS 20 to the PPP loan forgiveness and has presented the amounts expected to be forgiven as deferred income. The Company will account for the anticipated forgiveness of the PPP loan under IAS 20 when the Company believes that the forgiveness is reasonably assured.</w:t>
      </w:r>
    </w:p>
    <w:p>
      <w:pPr>
        <w:spacing w:after="0" w:line="97"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Cumberland applied for this loan after carefully considering, with its bank, the eligibility criteria to participate in this program, and determining that Cumberland met these criteria. The Company evaluated and provided information on our payroll and other qualifying expenses to determine the amount of PPP funds to apply for.</w:t>
      </w:r>
    </w:p>
    <w:p>
      <w:pPr>
        <w:spacing w:after="0" w:line="116"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based on assistance from the PPP loan, the Company currently does not foresee doing so. In October 2020, the Company submitted a request for forgiveness of the PPP loan. The request was approved by the lender, Pinnacle Bank, who then submitted it to SBA for the SBA's review and approval.</w:t>
      </w:r>
    </w:p>
    <w:p>
      <w:pPr>
        <w:spacing w:after="0" w:line="112" w:lineRule="exact"/>
        <w:rPr>
          <w:sz w:val="20"/>
          <w:szCs w:val="20"/>
          <w:color w:val="auto"/>
        </w:rPr>
      </w:pPr>
    </w:p>
    <w:p>
      <w:pPr>
        <w:ind w:left="473" w:hanging="473"/>
        <w:spacing w:after="0"/>
        <w:tabs>
          <w:tab w:leader="none" w:pos="473"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34" w:lineRule="exact"/>
        <w:rPr>
          <w:rFonts w:ascii="Arial" w:cs="Arial" w:eastAsia="Arial" w:hAnsi="Arial"/>
          <w:sz w:val="18"/>
          <w:szCs w:val="18"/>
          <w:b w:val="1"/>
          <w:bCs w:val="1"/>
          <w:color w:val="auto"/>
        </w:rPr>
      </w:pPr>
    </w:p>
    <w:p>
      <w:pPr>
        <w:ind w:left="793" w:hanging="388"/>
        <w:spacing w:after="0"/>
        <w:tabs>
          <w:tab w:leader="none" w:pos="793" w:val="left"/>
        </w:tabs>
        <w:numPr>
          <w:ilvl w:val="1"/>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jc w:val="both"/>
        <w:ind w:left="73" w:firstLine="324"/>
        <w:spacing w:after="0" w:line="259" w:lineRule="auto"/>
        <w:rPr>
          <w:sz w:val="20"/>
          <w:szCs w:val="20"/>
          <w:color w:val="auto"/>
        </w:rPr>
      </w:pPr>
      <w:r>
        <w:rPr>
          <w:rFonts w:ascii="Arial" w:cs="Arial" w:eastAsia="Arial" w:hAnsi="Arial"/>
          <w:sz w:val="18"/>
          <w:szCs w:val="18"/>
          <w:color w:val="auto"/>
        </w:rPr>
        <w:t>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 Contemporaneously with the offering, each outstanding share of preferred stock was automatically converted into two million shares of common stock.</w:t>
      </w:r>
    </w:p>
    <w:p>
      <w:pPr>
        <w:spacing w:after="0" w:line="106" w:lineRule="exact"/>
        <w:rPr>
          <w:sz w:val="20"/>
          <w:szCs w:val="20"/>
          <w:color w:val="auto"/>
        </w:rPr>
      </w:pPr>
    </w:p>
    <w:p>
      <w:pPr>
        <w:ind w:left="793" w:hanging="388"/>
        <w:spacing w:after="0"/>
        <w:tabs>
          <w:tab w:leader="none" w:pos="793"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Preferred Stock</w:t>
      </w:r>
    </w:p>
    <w:p>
      <w:pPr>
        <w:spacing w:after="0" w:line="131"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2020 and 2019, there was no preferred stock outstanding.</w:t>
      </w:r>
    </w:p>
    <w:p>
      <w:pPr>
        <w:spacing w:after="0" w:line="89" w:lineRule="exact"/>
        <w:rPr>
          <w:sz w:val="20"/>
          <w:szCs w:val="20"/>
          <w:color w:val="auto"/>
        </w:rPr>
      </w:pPr>
    </w:p>
    <w:p>
      <w:pPr>
        <w:ind w:left="413"/>
        <w:spacing w:after="0"/>
        <w:tabs>
          <w:tab w:leader="none" w:pos="773"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Common Stock</w:t>
      </w:r>
    </w:p>
    <w:p>
      <w:pPr>
        <w:spacing w:after="0" w:line="144" w:lineRule="exact"/>
        <w:rPr>
          <w:sz w:val="20"/>
          <w:szCs w:val="20"/>
          <w:color w:val="auto"/>
        </w:rPr>
      </w:pPr>
    </w:p>
    <w:p>
      <w:pPr>
        <w:jc w:val="both"/>
        <w:ind w:left="73" w:firstLine="324"/>
        <w:spacing w:after="0" w:line="342" w:lineRule="auto"/>
        <w:rPr>
          <w:sz w:val="20"/>
          <w:szCs w:val="20"/>
          <w:color w:val="auto"/>
        </w:rPr>
      </w:pPr>
      <w:r>
        <w:rPr>
          <w:rFonts w:ascii="Arial" w:cs="Arial" w:eastAsia="Arial" w:hAnsi="Arial"/>
          <w:sz w:val="16"/>
          <w:szCs w:val="16"/>
          <w:color w:val="auto"/>
        </w:rPr>
        <w:t>During 2020, 2019 and 2018, the Company issued 228,500 shares, 225,536 shares and 170,759 shares of common stock, respectively, as a result of restricted shares vesting as well as other common share issuances. There were no option exercise transactions during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 The Company intends to continue an ATM feature through B. Riley FBR, Inc. that would allow the Company to issue shares of its common stock. The Company did not issue any shares under this ATM during the year ended December 31, 2020 or 2019. The Company issued 30,704 shares for proceeds of 0.2 million during the year end December 31, 2018.</w:t>
      </w:r>
    </w:p>
    <w:p>
      <w:pPr>
        <w:spacing w:after="0" w:line="83"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Warrants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amendment to the debt agreements in 2009, the Company issued warrants to purchase up to 7,500 shares of common stock at $17.00 per share that expired in July 2019. As of December 31, 2020, there were no outstanding warrants.</w:t>
      </w:r>
    </w:p>
    <w:p>
      <w:pPr>
        <w:spacing w:after="0" w:line="76"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Share Repurchases</w:t>
      </w:r>
    </w:p>
    <w:p>
      <w:pPr>
        <w:spacing w:after="0" w:line="25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Company currently has a share repurchase program to repurchase up to $10 million of its common stock pursuant to Rule 10b-18 of the Securities Act. In January 2019, the Company's Board of Directors established the current $10 million repurchase program to replace the prior authorizations. The Company repurchased 503,626 shares, 623,478 shares and 443,041 shares of common stock for approximately $1.8 million, $3.5 million, and $2.9 million during the years ended December 31, 2020, 2019 and 2018, respectively. There remains $6.2 million available under the current repurchase program available for share repurchases at December 31, 2020.</w:t>
      </w:r>
    </w:p>
    <w:p>
      <w:pPr>
        <w:spacing w:after="0" w:line="122"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Cumberland Emerging Technologies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April 2019, Cumberland Emerging Technologies ("CET"), our majority-owned subsidiary, entered into an agreement whereby Hongkong WinHealth Pharma Group Ltd. ("WinHealth") made a $1 million investment in CET through the purchase of shares of its common stock. As part of the agreement, WinHealth obtained the rights to name an individual for appointment to the CET Board of Directors as well as the first opportunity to license CET products for the Chinese market. In connection with WinHealth's investment in CET, during 2019, Cumberland also made an additional $1 million investment in CET. Cumberland purchased additional CET shares through contribution of $0.3 million in cash and a conversion of $0.7 million in intercompany loans payable. Upon completion of the additional investment by WinHealth and Cumberland, Gloria Pharmaceuticals returned its shares in CET in exchange for consideration of $0.8 million that was funded during 2020. After the additional investment, the Company’s ownership in CET is 85%. As CET is a consolidated subsidiary, the Company reports the operating results of CET and allocates the noncontrolling interests to the non-majority partners.</w:t>
      </w:r>
    </w:p>
    <w:p>
      <w:pPr>
        <w:spacing w:after="0" w:line="129" w:lineRule="exact"/>
        <w:rPr>
          <w:sz w:val="20"/>
          <w:szCs w:val="20"/>
          <w:color w:val="auto"/>
        </w:rPr>
      </w:pPr>
    </w:p>
    <w:p>
      <w:pPr>
        <w:ind w:left="760" w:hanging="428"/>
        <w:spacing w:after="0"/>
        <w:tabs>
          <w:tab w:leader="none" w:pos="7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Cumberland Foundation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2017, the Company formed the Cumberland Pharma Foundation (the "Foundation") to serve as a vehicle to facilitate the ongoing philanthropic endeavors of Cumberland Pharmaceuticals Inc.</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Foundation was formed as a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2018, Cumberland provided a grant of 50,000 shares of the Company's common stock to the Foundation. The shares will address the ongoing financial needs of the organization, with most of the shares expected to be held for the opportunity to realize long term appreciation to support the Foundation’s future. The Foundation maintains separate financial statements and its ongoing operations will not impact the financial statements of Cumberland Pharmaceuticals. Initial annual grants by the Foundation have been and are expected to remain consistent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p>
      <w:pPr>
        <w:jc w:val="center"/>
        <w:ind w:right="-92"/>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3"/>
        <w:spacing w:after="0" w:line="277" w:lineRule="auto"/>
        <w:rPr>
          <w:sz w:val="20"/>
          <w:szCs w:val="20"/>
          <w:color w:val="auto"/>
        </w:rPr>
      </w:pPr>
      <w:r>
        <w:rPr>
          <w:rFonts w:ascii="Arial" w:cs="Arial" w:eastAsia="Arial" w:hAnsi="Arial"/>
          <w:sz w:val="18"/>
          <w:szCs w:val="18"/>
          <w:color w:val="auto"/>
        </w:rPr>
        <w:t>historic level of contributions made by Cumberland Pharmaceuticals. During 2019, Cumberland Pharmaceuticals committed approximately $50,000 in cash contributions that were paid to the Foundation during 2020.</w:t>
      </w:r>
    </w:p>
    <w:p>
      <w:pPr>
        <w:spacing w:after="0" w:line="89" w:lineRule="exact"/>
        <w:rPr>
          <w:sz w:val="20"/>
          <w:szCs w:val="20"/>
          <w:color w:val="auto"/>
        </w:rPr>
      </w:pPr>
    </w:p>
    <w:p>
      <w:pPr>
        <w:ind w:left="793" w:hanging="388"/>
        <w:spacing w:after="0"/>
        <w:tabs>
          <w:tab w:leader="none" w:pos="793" w:val="left"/>
        </w:tabs>
        <w:numPr>
          <w:ilvl w:val="0"/>
          <w:numId w:val="4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Nordic Group B.V.</w:t>
      </w:r>
    </w:p>
    <w:p>
      <w:pPr>
        <w:spacing w:after="0" w:line="158" w:lineRule="exact"/>
        <w:rPr>
          <w:sz w:val="20"/>
          <w:szCs w:val="20"/>
          <w:color w:val="auto"/>
        </w:rPr>
      </w:pPr>
    </w:p>
    <w:p>
      <w:pPr>
        <w:ind w:left="73" w:firstLine="324"/>
        <w:spacing w:after="0" w:line="308" w:lineRule="auto"/>
        <w:rPr>
          <w:sz w:val="20"/>
          <w:szCs w:val="20"/>
          <w:color w:val="auto"/>
        </w:rPr>
      </w:pPr>
      <w:r>
        <w:rPr>
          <w:rFonts w:ascii="Arial" w:cs="Arial" w:eastAsia="Arial" w:hAnsi="Arial"/>
          <w:sz w:val="17"/>
          <w:szCs w:val="17"/>
          <w:color w:val="auto"/>
        </w:rPr>
        <w:t>On November 27, 2019, Cumberland received approval from the FDA for the pre-filled syringe of the Methotrexate product. With this approval, Nordic's 180,000 shares of Cumberland's common stock became vested. The value of these shares at the date of approval was $0.9 million.</w:t>
      </w:r>
    </w:p>
    <w:p>
      <w:pPr>
        <w:spacing w:after="0" w:line="75" w:lineRule="exact"/>
        <w:rPr>
          <w:sz w:val="20"/>
          <w:szCs w:val="20"/>
          <w:color w:val="auto"/>
        </w:rPr>
      </w:pPr>
    </w:p>
    <w:p>
      <w:pPr>
        <w:ind w:left="473" w:hanging="473"/>
        <w:spacing w:after="0"/>
        <w:tabs>
          <w:tab w:leader="none" w:pos="47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48" w:lineRule="exact"/>
        <w:rPr>
          <w:sz w:val="20"/>
          <w:szCs w:val="20"/>
          <w:color w:val="auto"/>
        </w:rPr>
      </w:pPr>
    </w:p>
    <w:p>
      <w:pPr>
        <w:ind w:left="413"/>
        <w:spacing w:after="0"/>
        <w:rPr>
          <w:sz w:val="20"/>
          <w:szCs w:val="20"/>
          <w:color w:val="auto"/>
        </w:rPr>
      </w:pPr>
      <w:r>
        <w:rPr>
          <w:rFonts w:ascii="Arial" w:cs="Arial" w:eastAsia="Arial" w:hAnsi="Arial"/>
          <w:sz w:val="16"/>
          <w:szCs w:val="16"/>
          <w:color w:val="auto"/>
        </w:rPr>
        <w:t>The following table shows the computation of the numerator and the denominator used to calculate diluted earnings (loss) per share for the years ended</w:t>
      </w:r>
    </w:p>
    <w:p>
      <w:pPr>
        <w:spacing w:after="0" w:line="46" w:lineRule="exact"/>
        <w:rPr>
          <w:sz w:val="20"/>
          <w:szCs w:val="20"/>
          <w:color w:val="auto"/>
        </w:rPr>
      </w:pPr>
    </w:p>
    <w:p>
      <w:pPr>
        <w:ind w:left="73"/>
        <w:spacing w:after="0"/>
        <w:rPr>
          <w:sz w:val="20"/>
          <w:szCs w:val="20"/>
          <w:color w:val="auto"/>
        </w:rPr>
      </w:pPr>
      <w:r>
        <w:rPr>
          <w:rFonts w:ascii="Arial" w:cs="Arial" w:eastAsia="Arial" w:hAnsi="Arial"/>
          <w:sz w:val="18"/>
          <w:szCs w:val="18"/>
          <w:color w:val="auto"/>
        </w:rPr>
        <w:t>December 31:</w:t>
      </w:r>
    </w:p>
    <w:p>
      <w:pPr>
        <w:spacing w:after="0" w:line="184" w:lineRule="exact"/>
        <w:rPr>
          <w:sz w:val="20"/>
          <w:szCs w:val="20"/>
          <w:color w:val="auto"/>
        </w:rPr>
      </w:pPr>
    </w:p>
    <w:tbl>
      <w:tblPr>
        <w:tblLayout w:type="fixed"/>
        <w:tblInd w:w="1033"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(6,625,779)</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(9,211,688)</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(10,820,996)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3,206,875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5,665,177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3,782,224</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(3,418,904)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(3,546,511)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(7,038,772)</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Net loss at subsidiary attributable to noncontrolling</w:t>
            </w: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79,496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75,704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140"/>
              <w:spacing w:after="0" w:line="156" w:lineRule="exact"/>
              <w:rPr>
                <w:sz w:val="20"/>
                <w:szCs w:val="20"/>
                <w:color w:val="auto"/>
              </w:rPr>
            </w:pPr>
            <w:r>
              <w:rPr>
                <w:rFonts w:ascii="Arial" w:cs="Arial" w:eastAsia="Arial" w:hAnsi="Arial"/>
                <w:sz w:val="18"/>
                <w:szCs w:val="18"/>
                <w:color w:val="auto"/>
              </w:rPr>
              <w:t>Net income (loss) attributable to common</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(3,339,408)</w:t>
            </w:r>
          </w:p>
        </w:tc>
        <w:tc>
          <w:tcPr>
            <w:tcW w:w="14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(3,537,759)</w:t>
            </w:r>
          </w:p>
        </w:tc>
        <w:tc>
          <w:tcPr>
            <w:tcW w:w="14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(6,963,068)</w:t>
            </w:r>
          </w:p>
        </w:tc>
        <w:tc>
          <w:tcPr>
            <w:tcW w:w="0" w:type="dxa"/>
            <w:vAlign w:val="bottom"/>
          </w:tcPr>
          <w:p>
            <w:pPr>
              <w:spacing w:after="0"/>
              <w:rPr>
                <w:sz w:val="1"/>
                <w:szCs w:val="1"/>
                <w:color w:val="auto"/>
              </w:rPr>
            </w:pPr>
          </w:p>
        </w:tc>
      </w:tr>
      <w:tr>
        <w:trPr>
          <w:trHeight w:val="207"/>
        </w:trPr>
        <w:tc>
          <w:tcPr>
            <w:tcW w:w="4020" w:type="dxa"/>
            <w:vAlign w:val="bottom"/>
          </w:tcPr>
          <w:p>
            <w:pPr>
              <w:ind w:left="140"/>
              <w:spacing w:after="0" w:line="202" w:lineRule="exact"/>
              <w:rPr>
                <w:sz w:val="20"/>
                <w:szCs w:val="20"/>
                <w:color w:val="auto"/>
              </w:rPr>
            </w:pPr>
            <w:r>
              <w:rPr>
                <w:rFonts w:ascii="Arial" w:cs="Arial" w:eastAsia="Arial" w:hAnsi="Arial"/>
                <w:sz w:val="18"/>
                <w:szCs w:val="18"/>
                <w:color w:val="auto"/>
              </w:rPr>
              <w:t>shareholders</w:t>
            </w:r>
          </w:p>
        </w:tc>
        <w:tc>
          <w:tcPr>
            <w:tcW w:w="3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Weighted-average shares outstanding – basic</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15,162,184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15,396,098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15,614,052</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Dilutive effect of restricted stock and stock</w:t>
            </w:r>
          </w:p>
        </w:tc>
        <w:tc>
          <w:tcPr>
            <w:tcW w:w="3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w:t>
            </w:r>
          </w:p>
        </w:tc>
        <w:tc>
          <w:tcPr>
            <w:tcW w:w="3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w w:val="99"/>
              </w:rPr>
              <w:t>Weighted-average shares outstanding – diluted</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15,162,184</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15,396,098</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15,614,052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33"/>
        <w:spacing w:after="0"/>
        <w:rPr>
          <w:sz w:val="20"/>
          <w:szCs w:val="20"/>
          <w:color w:val="auto"/>
        </w:rPr>
      </w:pPr>
      <w:r>
        <w:rPr>
          <w:rFonts w:ascii="Arial" w:cs="Arial" w:eastAsia="Arial" w:hAnsi="Arial"/>
          <w:sz w:val="18"/>
          <w:szCs w:val="18"/>
          <w:color w:val="auto"/>
        </w:rPr>
        <w:t>The Company's anti-dilutive restricted shares and stock options outstanding were as follows for the years ended December 31:</w:t>
      </w:r>
    </w:p>
    <w:p>
      <w:pPr>
        <w:spacing w:after="0" w:line="199" w:lineRule="exact"/>
        <w:rPr>
          <w:sz w:val="20"/>
          <w:szCs w:val="20"/>
          <w:color w:val="auto"/>
        </w:rPr>
      </w:pPr>
    </w:p>
    <w:tbl>
      <w:tblPr>
        <w:tblLayout w:type="fixed"/>
        <w:tblInd w:w="413"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74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2018</w:t>
            </w:r>
          </w:p>
        </w:tc>
      </w:tr>
      <w:tr>
        <w:trPr>
          <w:trHeight w:val="145"/>
        </w:trPr>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 and options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197,610</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13" w:name="page114"/>
    <w:bookmarkEnd w:id="113"/>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net deferred tax assets at December 31 are as follows: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2019</w:t>
            </w:r>
          </w:p>
        </w:tc>
      </w:tr>
      <w:tr>
        <w:trPr>
          <w:trHeight w:val="145"/>
        </w:trPr>
        <w:tc>
          <w:tcPr>
            <w:tcW w:w="6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Net operating loss and tax credits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16,961,650</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16,964,685</w:t>
            </w: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 and intangibles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227,056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227,072</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Allowance for accounts receivable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249,483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257,564</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Reserve for expired product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438,235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469,466</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100,362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35,227</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charges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952,711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845,765</w:t>
            </w:r>
          </w:p>
        </w:tc>
      </w:tr>
      <w:tr>
        <w:trPr>
          <w:trHeight w:val="22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Cumulative compensation costs incurred on deductible equity awards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928,638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1,047,149</w:t>
            </w:r>
          </w:p>
        </w:tc>
      </w:tr>
      <w:tr>
        <w:trPr>
          <w:trHeight w:val="223"/>
        </w:trPr>
        <w:tc>
          <w:tcPr>
            <w:tcW w:w="6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19,858,135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19,846,928</w:t>
            </w:r>
          </w:p>
        </w:tc>
      </w:tr>
      <w:tr>
        <w:trPr>
          <w:trHeight w:val="162"/>
        </w:trPr>
        <w:tc>
          <w:tcPr>
            <w:tcW w:w="6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(662,014)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(1,313,965)</w:t>
            </w:r>
          </w:p>
        </w:tc>
      </w:tr>
      <w:tr>
        <w:trPr>
          <w:trHeight w:val="223"/>
        </w:trPr>
        <w:tc>
          <w:tcPr>
            <w:tcW w:w="6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deferred tax assets, before valuation allowance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19,196,121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18,532,963</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deferred tax asset valuation allowance</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(19,196,121)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(18,511,161)</w:t>
            </w:r>
          </w:p>
        </w:tc>
      </w:tr>
      <w:tr>
        <w:trPr>
          <w:trHeight w:val="248"/>
        </w:trPr>
        <w:tc>
          <w:tcPr>
            <w:tcW w:w="6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amount and year of expiration of the Company's federal and state net operating loss carryforwards as of</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December 31, 2020:</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Years of expiration</w:t>
            </w:r>
          </w:p>
        </w:tc>
        <w:tc>
          <w:tcPr>
            <w:tcW w:w="38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Federal</w:t>
            </w:r>
          </w:p>
        </w:tc>
        <w:tc>
          <w:tcPr>
            <w:tcW w:w="420" w:type="dxa"/>
            <w:vAlign w:val="bottom"/>
          </w:tcPr>
          <w:p>
            <w:pPr>
              <w:spacing w:after="0"/>
              <w:rPr>
                <w:sz w:val="18"/>
                <w:szCs w:val="18"/>
                <w:color w:val="auto"/>
              </w:rPr>
            </w:pPr>
          </w:p>
        </w:tc>
        <w:tc>
          <w:tcPr>
            <w:tcW w:w="1400" w:type="dxa"/>
            <w:vAlign w:val="bottom"/>
          </w:tcPr>
          <w:p>
            <w:pPr>
              <w:jc w:val="right"/>
              <w:ind w:right="651"/>
              <w:spacing w:after="0"/>
              <w:rPr>
                <w:sz w:val="20"/>
                <w:szCs w:val="20"/>
                <w:color w:val="auto"/>
              </w:rPr>
            </w:pPr>
            <w:r>
              <w:rPr>
                <w:rFonts w:ascii="Arial" w:cs="Arial" w:eastAsia="Arial" w:hAnsi="Arial"/>
                <w:sz w:val="16"/>
                <w:szCs w:val="16"/>
                <w:b w:val="1"/>
                <w:bCs w:val="1"/>
                <w:color w:val="auto"/>
              </w:rPr>
              <w:t>State</w:t>
            </w:r>
          </w:p>
        </w:tc>
        <w:tc>
          <w:tcPr>
            <w:tcW w:w="0" w:type="dxa"/>
            <w:vAlign w:val="bottom"/>
          </w:tcPr>
          <w:p>
            <w:pPr>
              <w:spacing w:after="0"/>
              <w:rPr>
                <w:sz w:val="1"/>
                <w:szCs w:val="1"/>
                <w:color w:val="auto"/>
              </w:rPr>
            </w:pPr>
          </w:p>
        </w:tc>
      </w:tr>
      <w:tr>
        <w:trPr>
          <w:trHeight w:val="145"/>
        </w:trPr>
        <w:tc>
          <w:tcPr>
            <w:tcW w:w="6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4,342,464</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2022 - 2029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45,045,442</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44,153,819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458,802</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2031 - 2039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7,534,351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9,829,212</w:t>
            </w:r>
          </w:p>
        </w:tc>
        <w:tc>
          <w:tcPr>
            <w:tcW w:w="0" w:type="dxa"/>
            <w:vAlign w:val="bottom"/>
          </w:tcPr>
          <w:p>
            <w:pPr>
              <w:spacing w:after="0"/>
              <w:rPr>
                <w:sz w:val="1"/>
                <w:szCs w:val="1"/>
                <w:color w:val="auto"/>
              </w:rPr>
            </w:pPr>
          </w:p>
        </w:tc>
      </w:tr>
      <w:tr>
        <w:trPr>
          <w:trHeight w:val="228"/>
        </w:trPr>
        <w:tc>
          <w:tcPr>
            <w:tcW w:w="6400" w:type="dxa"/>
            <w:vAlign w:val="bottom"/>
            <w:tcBorders>
              <w:bottom w:val="single" w:sz="8" w:color="CCEEFF"/>
            </w:tcBorders>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Indefinite Period</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4,796,324</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263,861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Total federal and state net operating loss carryforwards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56,484,494</w:t>
            </w: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59,939,781</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benefit includes the following components for the years ended December 31:</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2018</w:t>
            </w:r>
          </w:p>
        </w:tc>
      </w:tr>
      <w:tr>
        <w:trPr>
          <w:trHeight w:val="323"/>
        </w:trPr>
        <w:tc>
          <w:tcPr>
            <w:tcW w:w="4120" w:type="dxa"/>
            <w:vAlign w:val="bottom"/>
          </w:tcPr>
          <w:p>
            <w:pPr>
              <w:spacing w:after="0"/>
              <w:rPr>
                <w:sz w:val="20"/>
                <w:szCs w:val="20"/>
                <w:color w:val="auto"/>
              </w:rPr>
            </w:pPr>
            <w:r>
              <w:rPr>
                <w:rFonts w:ascii="Arial" w:cs="Arial" w:eastAsia="Arial" w:hAnsi="Arial"/>
                <w:sz w:val="18"/>
                <w:szCs w:val="18"/>
                <w:color w:val="auto"/>
              </w:rPr>
              <w:t>Current:</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 and other</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(55,902)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2"/>
              </w:rPr>
              <w:t>(16,636)</w:t>
            </w:r>
          </w:p>
        </w:tc>
      </w:tr>
      <w:tr>
        <w:trPr>
          <w:trHeight w:val="223"/>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income tax (expense) benefit</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(34,100)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144,724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(16,636)</w:t>
            </w:r>
          </w:p>
        </w:tc>
      </w:tr>
      <w:tr>
        <w:trPr>
          <w:trHeight w:val="250"/>
        </w:trPr>
        <w:tc>
          <w:tcPr>
            <w:tcW w:w="4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Federal</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(21,802)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deferred income tax (expense) benefit</w:t>
            </w:r>
          </w:p>
        </w:tc>
        <w:tc>
          <w:tcPr>
            <w:tcW w:w="1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(21,802)</w:t>
            </w:r>
          </w:p>
        </w:tc>
        <w:tc>
          <w:tcPr>
            <w:tcW w:w="1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(65,408)</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rPr>
              <w:t>—</w:t>
            </w:r>
          </w:p>
        </w:tc>
      </w:tr>
      <w:tr>
        <w:trPr>
          <w:trHeight w:val="248"/>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income tax (expense) benefit</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(55,902)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(16,636)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effective income tax rate for 2020, 2019 and 2018 reconciles with the federal statutory tax rate as follows:</w:t>
      </w:r>
    </w:p>
    <w:p>
      <w:pPr>
        <w:spacing w:after="0" w:line="199" w:lineRule="exact"/>
        <w:rPr>
          <w:sz w:val="20"/>
          <w:szCs w:val="20"/>
          <w:color w:val="auto"/>
        </w:rPr>
      </w:pPr>
    </w:p>
    <w:tbl>
      <w:tblPr>
        <w:tblLayout w:type="fixed"/>
        <w:tblInd w:w="740" w:type="dxa"/>
        <w:tblCellMar>
          <w:top w:w="0" w:type="dxa"/>
          <w:left w:w="0" w:type="dxa"/>
          <w:bottom w:w="0" w:type="dxa"/>
          <w:right w:w="0" w:type="dxa"/>
        </w:tblCellMar>
      </w:tblPr>
      <w:tr>
        <w:trPr>
          <w:trHeight w:val="213"/>
        </w:trPr>
        <w:tc>
          <w:tcPr>
            <w:tcW w:w="5160" w:type="dxa"/>
            <w:vAlign w:val="bottom"/>
            <w:gridSpan w:val="2"/>
          </w:tcPr>
          <w:p>
            <w:pPr>
              <w:ind w:left="4700"/>
              <w:spacing w:after="0"/>
              <w:rPr>
                <w:sz w:val="20"/>
                <w:szCs w:val="20"/>
                <w:color w:val="auto"/>
              </w:rPr>
            </w:pPr>
            <w:r>
              <w:rPr>
                <w:rFonts w:ascii="Arial" w:cs="Arial" w:eastAsia="Arial" w:hAnsi="Arial"/>
                <w:sz w:val="16"/>
                <w:szCs w:val="16"/>
                <w:b w:val="1"/>
                <w:bCs w:val="1"/>
                <w:color w:val="auto"/>
              </w:rPr>
              <w:t>2020</w:t>
            </w:r>
          </w:p>
        </w:tc>
        <w:tc>
          <w:tcPr>
            <w:tcW w:w="20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ind w:right="6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45"/>
        </w:trPr>
        <w:tc>
          <w:tcPr>
            <w:tcW w:w="39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expense at statutory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75"/>
        </w:trPr>
        <w:tc>
          <w:tcPr>
            <w:tcW w:w="5160" w:type="dxa"/>
            <w:vAlign w:val="bottom"/>
            <w:gridSpan w:val="2"/>
          </w:tcPr>
          <w:p>
            <w:pPr>
              <w:spacing w:after="0" w:line="176" w:lineRule="exact"/>
              <w:rPr>
                <w:sz w:val="20"/>
                <w:szCs w:val="20"/>
                <w:color w:val="auto"/>
              </w:rPr>
            </w:pPr>
            <w:r>
              <w:rPr>
                <w:rFonts w:ascii="Arial" w:cs="Arial" w:eastAsia="Arial" w:hAnsi="Arial"/>
                <w:sz w:val="18"/>
                <w:szCs w:val="18"/>
                <w:color w:val="auto"/>
              </w:rPr>
              <w:t>State income tax expense (net of federal income tax</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benefit)</w:t>
            </w: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Permanent differences associated with general</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4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credits</w:t>
            </w: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8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tax expense</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believes that it is not more likely than not that its net deferred tax assets will be realized. As such, the net deferred tax assets, with the</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exception of one noted below, are fully offset with a valuation allowance as of the periods ended December 31, 2020, December 31, 2019, and December 31, 2018.</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only deferred tax asset not offset with a valuation allowance as of the periods ended December 31, 2019 and December 31, 2018 was the</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Company’s AMT Credit Carryforward, which became refundable under the Tax Cuts and Jobs Act passed in 2017. The Company received the balance of the refund related to this credit during the period ended December 31, 2020, and as such, the deferred tax asset has been realized and all remaining deferred tax assets are fully offset with a valuation allowance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right="420" w:firstLine="729"/>
        <w:spacing w:after="0" w:line="277" w:lineRule="auto"/>
        <w:rPr>
          <w:sz w:val="20"/>
          <w:szCs w:val="20"/>
          <w:color w:val="auto"/>
        </w:rPr>
      </w:pPr>
      <w:r>
        <w:rPr>
          <w:rFonts w:ascii="Arial" w:cs="Arial" w:eastAsia="Arial" w:hAnsi="Arial"/>
          <w:sz w:val="18"/>
          <w:szCs w:val="18"/>
          <w:color w:val="auto"/>
        </w:rPr>
        <w:t>As of December 31, 2020, the Company has general business credit carryforwards of $1.7 million. These credit carryforwards will expire in years 2021 through 2041.</w:t>
      </w:r>
    </w:p>
    <w:p>
      <w:pPr>
        <w:spacing w:after="0" w:line="126"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Years of expiration</w:t>
            </w:r>
          </w:p>
        </w:tc>
        <w:tc>
          <w:tcPr>
            <w:tcW w:w="440" w:type="dxa"/>
            <w:vAlign w:val="bottom"/>
          </w:tcPr>
          <w:p>
            <w:pPr>
              <w:spacing w:after="0"/>
              <w:rPr>
                <w:sz w:val="20"/>
                <w:szCs w:val="20"/>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b w:val="1"/>
                <w:bCs w:val="1"/>
                <w:color w:val="auto"/>
              </w:rPr>
              <w:t>Federal</w:t>
            </w:r>
          </w:p>
        </w:tc>
      </w:tr>
      <w:tr>
        <w:trPr>
          <w:trHeight w:val="223"/>
        </w:trPr>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173,475</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2022-2029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622,276</w:t>
            </w:r>
          </w:p>
        </w:tc>
      </w:tr>
      <w:tr>
        <w:trPr>
          <w:trHeight w:val="22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2030-2039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836,129</w:t>
            </w:r>
          </w:p>
        </w:tc>
      </w:tr>
      <w:tr>
        <w:trPr>
          <w:trHeight w:val="229"/>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2040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97,244</w:t>
            </w:r>
          </w:p>
        </w:tc>
      </w:tr>
      <w:tr>
        <w:trPr>
          <w:trHeight w:val="248"/>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federal and state credit carryforwards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1,729,124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80" w:right="100" w:firstLine="324"/>
        <w:spacing w:after="0" w:line="274" w:lineRule="auto"/>
        <w:rPr>
          <w:sz w:val="20"/>
          <w:szCs w:val="20"/>
          <w:color w:val="auto"/>
        </w:rPr>
      </w:pPr>
      <w:r>
        <w:rPr>
          <w:rFonts w:ascii="Arial" w:cs="Arial" w:eastAsia="Arial" w:hAnsi="Arial"/>
          <w:sz w:val="17"/>
          <w:szCs w:val="17"/>
          <w:color w:val="auto"/>
        </w:rPr>
        <w:t>The Company expects it will continue to pay minimal taxes in future periods through the continued utilization of net operating loss carryforwards, as it is able to achieve taxable income through its operations.</w:t>
      </w:r>
    </w:p>
    <w:p>
      <w:pPr>
        <w:spacing w:after="0" w:line="107" w:lineRule="exact"/>
        <w:rPr>
          <w:sz w:val="20"/>
          <w:szCs w:val="20"/>
          <w:color w:val="auto"/>
        </w:rPr>
      </w:pPr>
    </w:p>
    <w:p>
      <w:pPr>
        <w:jc w:val="both"/>
        <w:ind w:left="80" w:firstLine="324"/>
        <w:spacing w:after="0" w:line="325" w:lineRule="auto"/>
        <w:rPr>
          <w:sz w:val="20"/>
          <w:szCs w:val="20"/>
          <w:color w:val="auto"/>
        </w:rPr>
      </w:pPr>
      <w:r>
        <w:rPr>
          <w:rFonts w:ascii="Arial" w:cs="Arial" w:eastAsia="Arial" w:hAnsi="Arial"/>
          <w:sz w:val="17"/>
          <w:szCs w:val="17"/>
          <w:color w:val="auto"/>
        </w:rPr>
        <w:t>The Company is no longer subject to U.S. federal tax examinations for tax years before 2017, and with few exceptions, the Company is not subject to examination by state tax authorities for tax years which ended before 2017. Loss carryforwards and credit carryforwards generated or utilized in years earlier than 2017 remain subject to examination and adjustment. During 2012, the 2009 federal tax return was examined by the Internal Revenue Service with no significant findings or adjustments. The Company has no unrecognized tax benefits in 2020, 2019 and 2018.</w:t>
      </w:r>
    </w:p>
    <w:p>
      <w:pPr>
        <w:spacing w:after="0" w:line="4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 Plans</w:t>
      </w:r>
    </w:p>
    <w:p>
      <w:pPr>
        <w:spacing w:after="0" w:line="162" w:lineRule="exact"/>
        <w:rPr>
          <w:sz w:val="20"/>
          <w:szCs w:val="20"/>
          <w:color w:val="auto"/>
        </w:rPr>
      </w:pPr>
    </w:p>
    <w:p>
      <w:pPr>
        <w:jc w:val="both"/>
        <w:ind w:left="80" w:firstLine="324"/>
        <w:spacing w:after="0" w:line="273" w:lineRule="auto"/>
        <w:rPr>
          <w:sz w:val="20"/>
          <w:szCs w:val="20"/>
          <w:color w:val="auto"/>
        </w:rPr>
      </w:pPr>
      <w:r>
        <w:rPr>
          <w:rFonts w:ascii="Arial" w:cs="Arial" w:eastAsia="Arial" w:hAnsi="Arial"/>
          <w:sz w:val="17"/>
          <w:szCs w:val="17"/>
          <w:color w:val="auto"/>
        </w:rPr>
        <w:t>The Company has grants outstanding under three equity compensation plans, with two of the plans available for future grants of equity compensation awards to employees, consultants and directors. All of the equity plans were approved by shareholders. The 2007 Long-Term Incentive Compensation Plan (the "2007 Plan") and the 2007 Directors’ Incentive Plan (the "Directors’ Plan") superseded the 1999 Stock Option Plan. The 2007 Plan and the Directors’ Plan provide for the issuance of stock options, stock appreciation rights and restricted stock. Vesting is determined on a grant-by-grant basis in accordance with the terms of the plans and the related grant agreements. The Company has reserved 2.4 million shares of common stock for issuance under the 2007 Plan and 250,000 shares for issuance under the Directors’ Plan.</w:t>
      </w:r>
    </w:p>
    <w:p>
      <w:pPr>
        <w:spacing w:after="0" w:line="110" w:lineRule="exact"/>
        <w:rPr>
          <w:sz w:val="20"/>
          <w:szCs w:val="20"/>
          <w:color w:val="auto"/>
        </w:rPr>
      </w:pPr>
    </w:p>
    <w:p>
      <w:pPr>
        <w:jc w:val="both"/>
        <w:ind w:left="80" w:firstLine="324"/>
        <w:spacing w:after="0" w:line="342" w:lineRule="auto"/>
        <w:rPr>
          <w:sz w:val="20"/>
          <w:szCs w:val="20"/>
          <w:color w:val="auto"/>
        </w:rPr>
      </w:pPr>
      <w:r>
        <w:rPr>
          <w:rFonts w:ascii="Arial" w:cs="Arial" w:eastAsia="Arial" w:hAnsi="Arial"/>
          <w:sz w:val="16"/>
          <w:szCs w:val="16"/>
          <w:color w:val="auto"/>
        </w:rPr>
        <w:t>The exercise price of stock options is generally 100% of the fair market value of the underlying common stock on the grant date. The maximum contractual term of stock options is ten years from the date of grant, except for incentive stock options granted to 10% shareholders, which is five years.</w:t>
      </w:r>
    </w:p>
    <w:p>
      <w:pPr>
        <w:spacing w:after="0" w:line="43"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During 2011, the Company began issuing shares of restricted stock with no exercise price to employees and directors. Restricted stock issued to employees generally cliff-vests on the fourth anniversary of the date of grant. Restricted stock issued to directors vests on the one year anniversary of the date of grant.</w:t>
      </w:r>
    </w:p>
    <w:p>
      <w:pPr>
        <w:spacing w:after="0" w:line="116" w:lineRule="exact"/>
        <w:rPr>
          <w:sz w:val="20"/>
          <w:szCs w:val="20"/>
          <w:color w:val="auto"/>
        </w:rPr>
      </w:pPr>
    </w:p>
    <w:p>
      <w:pPr>
        <w:jc w:val="both"/>
        <w:ind w:left="80" w:right="20" w:firstLine="324"/>
        <w:spacing w:after="0" w:line="277" w:lineRule="auto"/>
        <w:rPr>
          <w:sz w:val="20"/>
          <w:szCs w:val="20"/>
          <w:color w:val="auto"/>
        </w:rPr>
      </w:pPr>
      <w:r>
        <w:rPr>
          <w:rFonts w:ascii="Arial" w:cs="Arial" w:eastAsia="Arial" w:hAnsi="Arial"/>
          <w:sz w:val="18"/>
          <w:szCs w:val="18"/>
          <w:color w:val="auto"/>
        </w:rPr>
        <w:t>Stock compensation expense is presented as a component of general and administrative expense in the consolidated statements of operations. Stock compensation expense consisted of the following for the years ended December 31:</w:t>
      </w:r>
    </w:p>
    <w:p>
      <w:pPr>
        <w:spacing w:after="0" w:line="144" w:lineRule="exact"/>
        <w:rPr>
          <w:sz w:val="20"/>
          <w:szCs w:val="20"/>
          <w:color w:val="auto"/>
        </w:rPr>
      </w:pPr>
    </w:p>
    <w:tbl>
      <w:tblPr>
        <w:tblLayout w:type="fixed"/>
        <w:tblInd w:w="82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145"/>
        </w:trPr>
        <w:tc>
          <w:tcPr>
            <w:tcW w:w="4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employees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1,050,179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1,244,606</w:t>
            </w: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 nonemployees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120,092</w:t>
            </w:r>
          </w:p>
        </w:tc>
      </w:tr>
      <w:tr>
        <w:trPr>
          <w:trHeight w:val="248"/>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share-based compensation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1,046,516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1,485,898</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1,364,698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there was approximately $1.7 million of unrecognized compensation cost related to share-based payments, which is expected to be recognized over a weighted-average period of 2.28 years. This amount relates primarily to unrecognized compensation cost for employee restricted stock awards.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2020 and 2019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8"/>
              </w:rPr>
              <w:t>Weighted-average</w:t>
            </w:r>
          </w:p>
        </w:tc>
        <w:tc>
          <w:tcPr>
            <w:tcW w:w="16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5"/>
                <w:szCs w:val="15"/>
                <w:color w:val="auto"/>
              </w:rPr>
            </w:pPr>
          </w:p>
        </w:tc>
        <w:tc>
          <w:tcPr>
            <w:tcW w:w="12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680" w:type="dxa"/>
            <w:vAlign w:val="bottom"/>
            <w:gridSpan w:val="3"/>
            <w:vMerge w:val="continue"/>
          </w:tcPr>
          <w:p>
            <w:pPr>
              <w:spacing w:after="0"/>
              <w:rPr>
                <w:sz w:val="15"/>
                <w:szCs w:val="15"/>
                <w:color w:val="auto"/>
              </w:rPr>
            </w:pPr>
          </w:p>
        </w:tc>
        <w:tc>
          <w:tcPr>
            <w:tcW w:w="16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2"/>
              </w:rPr>
              <w:t>remaining</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80" w:type="dxa"/>
            <w:vAlign w:val="bottom"/>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exercise price per</w:t>
            </w:r>
          </w:p>
        </w:tc>
        <w:tc>
          <w:tcPr>
            <w:tcW w:w="16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0"/>
              </w:rPr>
              <w:t>contractual</w:t>
            </w:r>
          </w:p>
        </w:tc>
        <w:tc>
          <w:tcPr>
            <w:tcW w:w="220" w:type="dxa"/>
            <w:vAlign w:val="bottom"/>
          </w:tcPr>
          <w:p>
            <w:pPr>
              <w:spacing w:after="0"/>
              <w:rPr>
                <w:sz w:val="15"/>
                <w:szCs w:val="15"/>
                <w:color w:val="auto"/>
              </w:rPr>
            </w:pPr>
          </w:p>
        </w:tc>
        <w:tc>
          <w:tcPr>
            <w:tcW w:w="12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shares</w:t>
            </w:r>
          </w:p>
        </w:tc>
        <w:tc>
          <w:tcPr>
            <w:tcW w:w="34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share</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term (years)</w:t>
            </w: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87"/>
              </w:rPr>
              <w:t>0.9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or 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Options forfeited or expired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auto"/>
            </w:tcBorders>
            <w:shd w:val="clear" w:color="auto" w:fill="CCEEFF"/>
          </w:tcPr>
          <w:p>
            <w:pPr>
              <w:spacing w:after="0"/>
              <w:rPr>
                <w:sz w:val="21"/>
                <w:szCs w:val="21"/>
                <w:color w:val="auto"/>
              </w:rPr>
            </w:pPr>
          </w:p>
        </w:tc>
        <w:tc>
          <w:tcPr>
            <w:tcW w:w="1220" w:type="dxa"/>
            <w:vAlign w:val="bottom"/>
            <w:tcBorders>
              <w:top w:val="single" w:sz="8" w:color="CCEEFF"/>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40" w:type="dxa"/>
            <w:vAlign w:val="bottom"/>
            <w:vMerge w:val="continue"/>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20" w:type="dxa"/>
            <w:vAlign w:val="bottom"/>
            <w:tcBorders>
              <w:top w:val="single" w:sz="8" w:color="auto"/>
              <w:bottom w:val="single" w:sz="8" w:color="auto"/>
            </w:tcBorders>
          </w:tcPr>
          <w:p>
            <w:pPr>
              <w:ind w:left="126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did not grant any stock options and there were no options exercised during 2020, 2019 and 2018. As such, there was no intrinsic value of options or weighted-average fair value of options exercised for the periods.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activity was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center"/>
              <w:ind w:right="233"/>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9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Number</w:t>
            </w:r>
          </w:p>
        </w:tc>
        <w:tc>
          <w:tcPr>
            <w:tcW w:w="320" w:type="dxa"/>
            <w:vAlign w:val="bottom"/>
          </w:tcPr>
          <w:p>
            <w:pPr>
              <w:spacing w:after="0"/>
              <w:rPr>
                <w:sz w:val="14"/>
                <w:szCs w:val="14"/>
                <w:color w:val="auto"/>
              </w:rPr>
            </w:pPr>
          </w:p>
        </w:tc>
        <w:tc>
          <w:tcPr>
            <w:tcW w:w="1500" w:type="dxa"/>
            <w:vAlign w:val="bottom"/>
          </w:tcPr>
          <w:p>
            <w:pPr>
              <w:jc w:val="center"/>
              <w:ind w:right="233"/>
              <w:spacing w:after="0" w:line="162"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jc w:val="center"/>
              <w:ind w:right="233"/>
              <w:spacing w:after="0" w:line="162" w:lineRule="exact"/>
              <w:rPr>
                <w:sz w:val="20"/>
                <w:szCs w:val="20"/>
                <w:color w:val="auto"/>
              </w:rPr>
            </w:pPr>
            <w:r>
              <w:rPr>
                <w:rFonts w:ascii="Arial" w:cs="Arial" w:eastAsia="Arial" w:hAnsi="Arial"/>
                <w:sz w:val="16"/>
                <w:szCs w:val="16"/>
                <w:b w:val="1"/>
                <w:bCs w:val="1"/>
                <w:color w:val="auto"/>
                <w:w w:val="94"/>
              </w:rPr>
              <w:t>grant-date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920" w:type="dxa"/>
            <w:vAlign w:val="bottom"/>
            <w:gridSpan w:val="2"/>
          </w:tcPr>
          <w:p>
            <w:pPr>
              <w:ind w:left="580"/>
              <w:spacing w:after="0"/>
              <w:rPr>
                <w:sz w:val="20"/>
                <w:szCs w:val="20"/>
                <w:color w:val="auto"/>
              </w:rPr>
            </w:pPr>
            <w:r>
              <w:rPr>
                <w:rFonts w:ascii="Arial" w:cs="Arial" w:eastAsia="Arial" w:hAnsi="Arial"/>
                <w:sz w:val="16"/>
                <w:szCs w:val="16"/>
                <w:b w:val="1"/>
                <w:bCs w:val="1"/>
                <w:color w:val="auto"/>
              </w:rPr>
              <w:t>of shares</w:t>
            </w:r>
          </w:p>
        </w:tc>
        <w:tc>
          <w:tcPr>
            <w:tcW w:w="320" w:type="dxa"/>
            <w:vAlign w:val="bottom"/>
          </w:tcPr>
          <w:p>
            <w:pPr>
              <w:spacing w:after="0"/>
              <w:rPr>
                <w:sz w:val="18"/>
                <w:szCs w:val="18"/>
                <w:color w:val="auto"/>
              </w:rPr>
            </w:pPr>
          </w:p>
        </w:tc>
        <w:tc>
          <w:tcPr>
            <w:tcW w:w="150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fair value</w:t>
            </w:r>
          </w:p>
        </w:tc>
        <w:tc>
          <w:tcPr>
            <w:tcW w:w="0" w:type="dxa"/>
            <w:vAlign w:val="bottom"/>
          </w:tcPr>
          <w:p>
            <w:pPr>
              <w:spacing w:after="0"/>
              <w:rPr>
                <w:sz w:val="1"/>
                <w:szCs w:val="1"/>
                <w:color w:val="auto"/>
              </w:rPr>
            </w:pPr>
          </w:p>
        </w:tc>
      </w:tr>
      <w:tr>
        <w:trPr>
          <w:trHeight w:val="145"/>
        </w:trPr>
        <w:tc>
          <w:tcPr>
            <w:tcW w:w="4120" w:type="dxa"/>
            <w:vAlign w:val="bottom"/>
            <w:tcBorders>
              <w:bottom w:val="single" w:sz="8" w:color="CCEEFF"/>
            </w:tcBorders>
          </w:tcPr>
          <w:p>
            <w:pPr>
              <w:spacing w:after="0"/>
              <w:rPr>
                <w:sz w:val="12"/>
                <w:szCs w:val="12"/>
                <w:color w:val="auto"/>
              </w:rPr>
            </w:pPr>
          </w:p>
        </w:tc>
        <w:tc>
          <w:tcPr>
            <w:tcW w:w="17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833,741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Shares 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229,669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vested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814,949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Shares 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231,091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vested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779,415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restricted stock granted was based on the closing market price of the Company’s common stock on the date of grant. The restricted stock grants are included in the diluted weighted shares outstanding computation until they cliff-vest. Once vested they are included in the basic weighted shares outstanding computation.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7" w:name="page118"/>
    <w:bookmarkEnd w:id="117"/>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Employee Benefit Plans</w:t>
      </w:r>
    </w:p>
    <w:p>
      <w:pPr>
        <w:spacing w:after="0" w:line="148" w:lineRule="exact"/>
        <w:rPr>
          <w:sz w:val="20"/>
          <w:szCs w:val="20"/>
          <w:color w:val="auto"/>
        </w:rPr>
      </w:pPr>
    </w:p>
    <w:p>
      <w:pPr>
        <w:jc w:val="both"/>
        <w:ind w:left="80" w:firstLine="324"/>
        <w:spacing w:after="0" w:line="296" w:lineRule="auto"/>
        <w:rPr>
          <w:sz w:val="20"/>
          <w:szCs w:val="20"/>
          <w:color w:val="auto"/>
        </w:rPr>
      </w:pPr>
      <w:r>
        <w:rPr>
          <w:rFonts w:ascii="Arial" w:cs="Arial" w:eastAsia="Arial" w:hAnsi="Arial"/>
          <w:sz w:val="16"/>
          <w:szCs w:val="16"/>
          <w:color w:val="auto"/>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2020, 2019 and 2018, the Company contributed approximately $50,000 in each year to the Plan as an employer match of participant contributions.</w:t>
      </w:r>
    </w:p>
    <w:p>
      <w:pPr>
        <w:spacing w:after="0" w:line="94" w:lineRule="exact"/>
        <w:rPr>
          <w:sz w:val="20"/>
          <w:szCs w:val="20"/>
          <w:color w:val="auto"/>
        </w:rPr>
      </w:pPr>
    </w:p>
    <w:p>
      <w:pPr>
        <w:jc w:val="both"/>
        <w:ind w:left="80" w:firstLine="324"/>
        <w:spacing w:after="0" w:line="257" w:lineRule="auto"/>
        <w:rPr>
          <w:sz w:val="20"/>
          <w:szCs w:val="20"/>
          <w:color w:val="auto"/>
        </w:rPr>
      </w:pPr>
      <w:r>
        <w:rPr>
          <w:rFonts w:ascii="Arial" w:cs="Arial" w:eastAsia="Arial" w:hAnsi="Arial"/>
          <w:sz w:val="18"/>
          <w:szCs w:val="18"/>
          <w:color w:val="auto"/>
        </w:rPr>
        <w:t>In 2012 and 2013, the Company established non-qualified unfunded deferred compensation plans that allow participants to defer receipt of a portion of their compensation. The liability under the plans, reflected in other long term liabilities in the consolidated balance sheet, was $2.7 million and $2.3 million as of December 31, 2020 and 2019, respectively. The Company had assets consisting of company-owned life insurance contracts generally designated to pay benefits of the deferred compensation plans reflected in other assets in the consolidated balance sheet of $2.9 million and $3.1 million as of December 31, 2020 and 2019, respectively.</w:t>
      </w:r>
    </w:p>
    <w:p>
      <w:pPr>
        <w:spacing w:after="0" w:line="1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Leases</w:t>
      </w:r>
    </w:p>
    <w:p>
      <w:pPr>
        <w:spacing w:after="0" w:line="148"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The Company is obligated under long-term real estate leases for corporate office space that was extended during the third quarter of 2015. Prior to this extension, the lease would have expired in October 2016, the lease is now set to expire in October 2022. In addition, the research lab space at CET, under an agreement amended in July 2012, is leased through April 2023, with an option to extend the lease through April 2028. The Company also subleases a portion of the space under these leases.</w:t>
      </w:r>
    </w:p>
    <w:p>
      <w:pPr>
        <w:spacing w:after="0" w:line="119" w:lineRule="exact"/>
        <w:rPr>
          <w:sz w:val="20"/>
          <w:szCs w:val="20"/>
          <w:color w:val="auto"/>
        </w:rPr>
      </w:pPr>
    </w:p>
    <w:p>
      <w:pPr>
        <w:jc w:val="both"/>
        <w:ind w:left="80" w:right="20" w:firstLine="324"/>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as follows for the years ended December 31:</w:t>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142"/>
        </w:trPr>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1,166,411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1,246,143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1,136,610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680,627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688,020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662,358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currently classified as operating leases.</w:t>
      </w:r>
    </w:p>
    <w:p>
      <w:pPr>
        <w:spacing w:after="0" w:line="116"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The Company’s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106"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These operating leases resulted in initial ROU assets of $3.6 million and lease liabilities of $3.8 million as of January 1, 2019 for non-cancelable operating leases with original lease terms in excess of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8" w:name="page119"/>
    <w:bookmarkEnd w:id="118"/>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firstLine="324"/>
        <w:spacing w:after="0" w:line="255" w:lineRule="auto"/>
        <w:rPr>
          <w:sz w:val="20"/>
          <w:szCs w:val="20"/>
          <w:color w:val="auto"/>
        </w:rPr>
      </w:pPr>
      <w:r>
        <w:rPr>
          <w:rFonts w:ascii="Arial" w:cs="Arial" w:eastAsia="Arial" w:hAnsi="Arial"/>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remaining lease term is 2.0 years and the weighted-average incremental borrowing rate used to discount the present value of the remaining lease payments is 7.42%.</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Lease Position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2020 and 2019, the Company recorded the following on the Consolidated Balance Sheet:</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6560" w:type="dxa"/>
            <w:vAlign w:val="bottom"/>
            <w:gridSpan w:val="2"/>
          </w:tcPr>
          <w:p>
            <w:pPr>
              <w:ind w:left="240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2019</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2,028,148</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2,960,569</w:t>
            </w:r>
          </w:p>
        </w:tc>
      </w:tr>
      <w:tr>
        <w:trPr>
          <w:trHeight w:val="777"/>
        </w:trPr>
        <w:tc>
          <w:tcPr>
            <w:tcW w:w="6560" w:type="dxa"/>
            <w:vAlign w:val="bottom"/>
            <w:gridSpan w:val="2"/>
          </w:tcPr>
          <w:p>
            <w:pPr>
              <w:ind w:left="2520"/>
              <w:spacing w:after="0"/>
              <w:rPr>
                <w:sz w:val="20"/>
                <w:szCs w:val="20"/>
                <w:color w:val="auto"/>
              </w:rPr>
            </w:pPr>
            <w:r>
              <w:rPr>
                <w:rFonts w:ascii="Arial" w:cs="Arial" w:eastAsia="Arial" w:hAnsi="Arial"/>
                <w:sz w:val="18"/>
                <w:szCs w:val="18"/>
                <w:b w:val="1"/>
                <w:bCs w:val="1"/>
                <w:color w:val="auto"/>
              </w:rPr>
              <w:t>Lease Liabilities</w:t>
            </w:r>
          </w:p>
        </w:tc>
        <w:tc>
          <w:tcPr>
            <w:tcW w:w="220" w:type="dxa"/>
            <w:vAlign w:val="bottom"/>
          </w:tcPr>
          <w:p>
            <w:pPr>
              <w:spacing w:after="0"/>
              <w:rPr>
                <w:sz w:val="24"/>
                <w:szCs w:val="24"/>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4"/>
                <w:szCs w:val="24"/>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2019</w:t>
            </w:r>
          </w:p>
        </w:tc>
      </w:tr>
      <w:tr>
        <w:trPr>
          <w:trHeight w:val="223"/>
        </w:trPr>
        <w:tc>
          <w:tcPr>
            <w:tcW w:w="63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1,016,779</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920,431</w:t>
            </w:r>
          </w:p>
        </w:tc>
      </w:tr>
      <w:tr>
        <w:trPr>
          <w:trHeight w:val="229"/>
        </w:trPr>
        <w:tc>
          <w:tcPr>
            <w:tcW w:w="6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1,059,693</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2,076,472</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2,076,472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2,996,903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Cumulative future minimum sublease income under non-cancelable operating subleases totals approximately $0.4 million and will be paid through the leases ending in October 2022 and April 2023. Future minimum lease payments under non-cancelable operating leases (with initial or remaining lease terms in excess of one year) are as follows:</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8800" w:type="dxa"/>
            <w:vAlign w:val="bottom"/>
            <w:gridSpan w:val="2"/>
          </w:tcPr>
          <w:p>
            <w:pPr>
              <w:ind w:left="2280"/>
              <w:spacing w:after="0"/>
              <w:rPr>
                <w:sz w:val="20"/>
                <w:szCs w:val="20"/>
                <w:color w:val="auto"/>
              </w:rPr>
            </w:pPr>
            <w:r>
              <w:rPr>
                <w:rFonts w:ascii="Arial" w:cs="Arial" w:eastAsia="Arial" w:hAnsi="Arial"/>
                <w:sz w:val="18"/>
                <w:szCs w:val="18"/>
                <w:b w:val="1"/>
                <w:bCs w:val="1"/>
                <w:color w:val="auto"/>
              </w:rPr>
              <w:t>Maturity of Leases Liabilities at December 31, 2020</w:t>
            </w:r>
          </w:p>
        </w:tc>
        <w:tc>
          <w:tcPr>
            <w:tcW w:w="24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Operating Leases</w:t>
            </w:r>
          </w:p>
        </w:tc>
      </w:tr>
      <w:tr>
        <w:trPr>
          <w:trHeight w:val="223"/>
        </w:trPr>
        <w:tc>
          <w:tcPr>
            <w:tcW w:w="85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1,144,889</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1,019,313</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w:t>
            </w:r>
          </w:p>
        </w:tc>
      </w:tr>
      <w:tr>
        <w:trPr>
          <w:trHeight w:val="229"/>
        </w:trPr>
        <w:tc>
          <w:tcPr>
            <w:tcW w:w="88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After 2023</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2,256,680</w:t>
            </w:r>
          </w:p>
        </w:tc>
      </w:tr>
      <w:tr>
        <w:trPr>
          <w:trHeight w:val="230"/>
        </w:trPr>
        <w:tc>
          <w:tcPr>
            <w:tcW w:w="88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(180,208)</w:t>
            </w:r>
          </w:p>
        </w:tc>
      </w:tr>
      <w:tr>
        <w:trPr>
          <w:trHeight w:val="248"/>
        </w:trPr>
        <w:tc>
          <w:tcPr>
            <w:tcW w:w="8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2,076,472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Fair Value of Financial Instruments</w:t>
      </w:r>
    </w:p>
    <w:p>
      <w:pPr>
        <w:spacing w:after="0" w:line="162"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The Company owns marketable securities that had a maturity date of less than ninety days and are classified as cash and cash equivalents at December 31, 2020 and December 31, 2019. There were no transfers of assets between levels within the fair value hierarchy. The following table summarizes the fair value of these marketable securities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December 31, 2020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3"/>
              </w:rPr>
              <w:t>December 31, 2019</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2</w:t>
            </w:r>
          </w:p>
        </w:tc>
        <w:tc>
          <w:tcPr>
            <w:tcW w:w="10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29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2,119,607</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2,119,607</w:t>
            </w: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Total fair value of marketable</w:t>
            </w:r>
          </w:p>
        </w:tc>
        <w:tc>
          <w:tcPr>
            <w:tcW w:w="94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42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2,119,607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2,119,607</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securities</w:t>
            </w:r>
          </w:p>
        </w:tc>
        <w:tc>
          <w:tcPr>
            <w:tcW w:w="9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The fair values of all other financial instruments outstanding as of December 31, 2020 and 2019 approximate their carrying values. There were no changes to the valuation techniques for the Level 2 marketable securities during 2020 or 2019.</w:t>
      </w:r>
    </w:p>
    <w:p>
      <w:pPr>
        <w:spacing w:after="0" w:line="8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Market Concentrations</w:t>
      </w:r>
    </w:p>
    <w:p>
      <w:pPr>
        <w:spacing w:after="0" w:line="162"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The Company is focused on the acquisition, development and commercialization of branded prescription products. 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spacing w:after="0" w:line="119" w:lineRule="exact"/>
        <w:rPr>
          <w:sz w:val="20"/>
          <w:szCs w:val="20"/>
          <w:color w:val="auto"/>
        </w:rPr>
      </w:pPr>
    </w:p>
    <w:p>
      <w:pPr>
        <w:ind w:left="80" w:right="20" w:firstLine="324"/>
        <w:spacing w:after="0" w:line="277" w:lineRule="auto"/>
        <w:rPr>
          <w:sz w:val="20"/>
          <w:szCs w:val="20"/>
          <w:color w:val="auto"/>
        </w:rPr>
      </w:pPr>
      <w:r>
        <w:rPr>
          <w:rFonts w:ascii="Arial" w:cs="Arial" w:eastAsia="Arial" w:hAnsi="Arial"/>
          <w:sz w:val="18"/>
          <w:szCs w:val="18"/>
          <w:color w:val="auto"/>
        </w:rPr>
        <w:t>The Company’s primary customers are wholesale pharmaceutical distributors in the U.S. Total revenues by customer for each customer representing 10% or more of consolidated revenues are summarized below for the years ended December 31:</w:t>
      </w:r>
    </w:p>
    <w:p>
      <w:pPr>
        <w:spacing w:after="0" w:line="130" w:lineRule="exact"/>
        <w:rPr>
          <w:sz w:val="20"/>
          <w:szCs w:val="20"/>
          <w:color w:val="auto"/>
        </w:rPr>
      </w:pPr>
    </w:p>
    <w:tbl>
      <w:tblPr>
        <w:tblLayout w:type="fixed"/>
        <w:tblInd w:w="142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17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2018</w:t>
            </w:r>
          </w:p>
        </w:tc>
      </w:tr>
      <w:tr>
        <w:trPr>
          <w:trHeight w:val="145"/>
        </w:trPr>
        <w:tc>
          <w:tcPr>
            <w:tcW w:w="3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2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Customer 1</w:t>
            </w:r>
          </w:p>
        </w:tc>
        <w:tc>
          <w:tcPr>
            <w:tcW w:w="17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Customer 2</w:t>
            </w:r>
          </w:p>
        </w:tc>
        <w:tc>
          <w:tcPr>
            <w:tcW w:w="1720" w:type="dxa"/>
            <w:vAlign w:val="bottom"/>
          </w:tcPr>
          <w:p>
            <w:pPr>
              <w:jc w:val="right"/>
              <w:ind w:right="55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580" w:type="dxa"/>
            <w:vAlign w:val="bottom"/>
          </w:tcPr>
          <w:p>
            <w:pPr>
              <w:jc w:val="right"/>
              <w:ind w:right="55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0" w:type="dxa"/>
            <w:vAlign w:val="bottom"/>
          </w:tcPr>
          <w:p>
            <w:pPr>
              <w:jc w:val="right"/>
              <w:ind w:right="552"/>
              <w:spacing w:after="0"/>
              <w:rPr>
                <w:sz w:val="20"/>
                <w:szCs w:val="20"/>
                <w:color w:val="auto"/>
              </w:rPr>
            </w:pPr>
            <w:r>
              <w:rPr>
                <w:rFonts w:ascii="Arial" w:cs="Arial" w:eastAsia="Arial" w:hAnsi="Arial"/>
                <w:sz w:val="18"/>
                <w:szCs w:val="18"/>
                <w:color w:val="auto"/>
              </w:rPr>
              <w:t>25%</w:t>
            </w: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Customer 3</w:t>
            </w:r>
          </w:p>
        </w:tc>
        <w:tc>
          <w:tcPr>
            <w:tcW w:w="17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26%</w:t>
            </w:r>
          </w:p>
        </w:tc>
      </w:tr>
      <w:tr>
        <w:trPr>
          <w:trHeight w:val="230"/>
        </w:trPr>
        <w:tc>
          <w:tcPr>
            <w:tcW w:w="3440" w:type="dxa"/>
            <w:vAlign w:val="bottom"/>
          </w:tcPr>
          <w:p>
            <w:pPr>
              <w:spacing w:after="0"/>
              <w:rPr>
                <w:sz w:val="20"/>
                <w:szCs w:val="20"/>
                <w:color w:val="auto"/>
              </w:rPr>
            </w:pPr>
            <w:r>
              <w:rPr>
                <w:rFonts w:ascii="Arial" w:cs="Arial" w:eastAsia="Arial" w:hAnsi="Arial"/>
                <w:sz w:val="18"/>
                <w:szCs w:val="18"/>
                <w:i w:val="1"/>
                <w:iCs w:val="1"/>
                <w:color w:val="auto"/>
              </w:rPr>
              <w:t>*: less than 10% of total</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376"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The Company’s accounts receivable, net of allowances, due from the customers representing 10% or more of consolidated revenue was 60% and 59% at December 31, 2020 and 2019, respectively.</w:t>
      </w:r>
    </w:p>
    <w:p>
      <w:pPr>
        <w:spacing w:after="0" w:line="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Manufacturing and Supply Agreements</w:t>
      </w:r>
    </w:p>
    <w:p>
      <w:pPr>
        <w:spacing w:after="0" w:line="148" w:lineRule="exact"/>
        <w:rPr>
          <w:sz w:val="20"/>
          <w:szCs w:val="20"/>
          <w:color w:val="auto"/>
        </w:rPr>
      </w:pPr>
    </w:p>
    <w:p>
      <w:pPr>
        <w:jc w:val="both"/>
        <w:ind w:left="80" w:firstLine="324"/>
        <w:spacing w:after="0" w:line="301" w:lineRule="auto"/>
        <w:rPr>
          <w:sz w:val="20"/>
          <w:szCs w:val="20"/>
          <w:color w:val="auto"/>
        </w:rPr>
      </w:pPr>
      <w:r>
        <w:rPr>
          <w:rFonts w:ascii="Arial" w:cs="Arial" w:eastAsia="Arial" w:hAnsi="Arial"/>
          <w:sz w:val="16"/>
          <w:szCs w:val="16"/>
          <w:color w:val="auto"/>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 suppliers could cause a delay in manufacturing or shipment of finished goods and possible loss of sales, which could adversely affect operating results.</w:t>
      </w:r>
    </w:p>
    <w:p>
      <w:pPr>
        <w:spacing w:after="0" w:line="8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Employment Agreements</w:t>
      </w:r>
    </w:p>
    <w:p>
      <w:pPr>
        <w:spacing w:after="0" w:line="162" w:lineRule="exact"/>
        <w:rPr>
          <w:sz w:val="20"/>
          <w:szCs w:val="20"/>
          <w:color w:val="auto"/>
        </w:rPr>
      </w:pPr>
    </w:p>
    <w:p>
      <w:pPr>
        <w:jc w:val="both"/>
        <w:ind w:left="80" w:right="20" w:firstLine="324"/>
        <w:spacing w:after="0" w:line="308" w:lineRule="auto"/>
        <w:rPr>
          <w:sz w:val="20"/>
          <w:szCs w:val="20"/>
          <w:color w:val="auto"/>
        </w:rPr>
      </w:pPr>
      <w:r>
        <w:rPr>
          <w:rFonts w:ascii="Arial" w:cs="Arial" w:eastAsia="Arial" w:hAnsi="Arial"/>
          <w:sz w:val="17"/>
          <w:szCs w:val="17"/>
          <w:color w:val="auto"/>
        </w:rPr>
        <w:t>The Company has entered into employment agreements with all its full-time employees. Each employment agreement provides for a salary for services performed, a potential annual bonus and, if applicable, a grant of restricted common shares pursuant to a restricted stock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Discontinued Operations</w:t>
      </w:r>
    </w:p>
    <w:p>
      <w:pPr>
        <w:spacing w:after="0" w:line="1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2016, Cumberland entered into an agreement with Clinigen Group Plc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 Ethyol and Totect are collectively referred to herein as the "Products."</w:t>
      </w:r>
    </w:p>
    <w:p>
      <w:pPr>
        <w:spacing w:after="0" w:line="6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Early in 2019, Cumberland announced a strategic review the Company's brands, capabilities, and international partners. This review followed an accelerated business development initiative, which resulted in a series of transactions. Because of that progress, Cumberland felt that it was prudent to take a fresh look at our product portfolio, partners, and organization to ensure proper focus and capabilities. During May 2019, Cumberland entered into the Dissolution Agreement with Clinigen in which the Company returned the exclusive rights to commercialize Ethyol and Totect (“the Products”) in the United States to Clinigen. This Dissolution Agreement originally targeted a transition from the Company's arrangements with Clinigen effective September 30, 2019, but was then amended to change the transition date to December 31, 2019. Under the terms of the Dissolution Agreement, Cumberland was no longer responsible for the distribution, marketing and promotion of either the Products or any competing products after December 31, 2019. In exchange for the return of these product license rights and the non-compete provisions of the Dissolution Agreement, Cumberland is receiving $5 million in financial consideration paid in quarterly installments over the two-years following the transition date. Cumberland recorded the first four quarterly installments totaling $3.0 million during the year ended December 31, 2020.</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exit from the Ethyol and Totect Products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Products provided revenue, incurred direct expenses and resulted in discontinued operations income during the periods presented. The following amounts have been separated from continuing operations, as discontinued operations, for all periods presented. The direct expenses separated for discontinued operations do not reflect the direct selling and marketing costs attributable to the individuals at Cumberland responsible for promotion of the Products. Subsequent to the transaction date, those sales and marketing individuals who supported the Products shifted their efforts from the Products and continue to support other Cumberland brands.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2018</w:t>
            </w:r>
          </w:p>
        </w:tc>
      </w:tr>
      <w:tr>
        <w:trPr>
          <w:trHeight w:val="145"/>
        </w:trPr>
        <w:tc>
          <w:tcPr>
            <w:tcW w:w="5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3,206,875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13,145,344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11,396,871</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Costs of products sold</w:t>
            </w:r>
          </w:p>
        </w:tc>
        <w:tc>
          <w:tcPr>
            <w:tcW w:w="3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1,330,704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1,361,273</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Marketing and other</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6,149,463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6,253,374</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3,206,875</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5,665,177</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3,782,224</w:t>
            </w:r>
          </w:p>
        </w:tc>
      </w:tr>
      <w:tr>
        <w:trPr>
          <w:trHeight w:val="20"/>
        </w:trPr>
        <w:tc>
          <w:tcPr>
            <w:tcW w:w="5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December 31, 2019 current assets associated with discontinued operations included $0.5 million in the remaining inventory for the Products sold and returned to Clinigen as part of the transaction. Except for the Products' inventory as of December 31, 2019, no other operating assets and no liabilities were transferred to Clinigen, as such the accounts receivable and accounts payable associated with discontinued operations were not sold or disposed of as part of the Dissolution Agreement. The following assets and liabilities have been presented as assets associated with discontinued operations or liabilities associated with discontinued operations, as appropriate,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78"/>
        </w:trPr>
        <w:tc>
          <w:tcPr>
            <w:tcW w:w="6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1,922,457</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30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540,267</w:t>
            </w:r>
          </w:p>
        </w:tc>
      </w:tr>
      <w:tr>
        <w:trPr>
          <w:trHeight w:val="248"/>
        </w:trPr>
        <w:tc>
          <w:tcPr>
            <w:tcW w:w="64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Current assets associated with discontinued operations</w:t>
            </w:r>
          </w:p>
        </w:tc>
        <w:tc>
          <w:tcPr>
            <w:tcW w:w="130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2,462,724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741"/>
        </w:trPr>
        <w:tc>
          <w:tcPr>
            <w:tcW w:w="6440" w:type="dxa"/>
            <w:vAlign w:val="bottom"/>
          </w:tcPr>
          <w:p>
            <w:pPr>
              <w:spacing w:after="0"/>
              <w:rPr>
                <w:sz w:val="24"/>
                <w:szCs w:val="24"/>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78"/>
        </w:trPr>
        <w:tc>
          <w:tcPr>
            <w:tcW w:w="6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1,918,868</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30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232,489</w:t>
            </w:r>
          </w:p>
        </w:tc>
      </w:tr>
      <w:tr>
        <w:trPr>
          <w:trHeight w:val="248"/>
        </w:trPr>
        <w:tc>
          <w:tcPr>
            <w:tcW w:w="64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Current liabilities associated with discontinued operations</w:t>
            </w:r>
          </w:p>
        </w:tc>
        <w:tc>
          <w:tcPr>
            <w:tcW w:w="130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2,151,357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Commitments and Contingencies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Commitments</w:t>
      </w:r>
    </w:p>
    <w:p>
      <w:pPr>
        <w:spacing w:after="0" w:line="158"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In connection with the acquisition of certain Kristalose assets during 2011, the Company was required to make quarterly payments based on a percentage of Kristalose net sales through November 2018. The payments were treated as consideration for the assets acquired and were capitalized. They are being amortized over the remaining expected useful life of the acquired asset, currently through 2026.</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connection with its licensing agreements for Caldolor, the Company is required to pay royalties based on net sales over the life of the product.</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Royalty expense is recognized as a component of selling and marketing expense in the period that revenue is recognized.</w:t>
      </w:r>
    </w:p>
    <w:p>
      <w:pPr>
        <w:spacing w:after="0" w:line="143"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In connection with its licensing agreements for Ethyol and Totect, the Company was required to pay royalties based on net sales. The royalty expense was recognized as a component of selling and marketing expense in the period the associated revenue was recognized through the end of the licensing period, December 31, 2019.</w:t>
      </w:r>
    </w:p>
    <w:p>
      <w:pPr>
        <w:spacing w:after="0" w:line="116"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w:t>
      </w:r>
    </w:p>
    <w:p>
      <w:pPr>
        <w:spacing w:after="0" w:line="10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Legal Matters</w:t>
      </w:r>
    </w:p>
    <w:p>
      <w:pPr>
        <w:spacing w:after="0" w:line="158" w:lineRule="exact"/>
        <w:rPr>
          <w:sz w:val="20"/>
          <w:szCs w:val="20"/>
          <w:color w:val="auto"/>
        </w:rPr>
      </w:pPr>
    </w:p>
    <w:p>
      <w:pPr>
        <w:jc w:val="both"/>
        <w:ind w:left="80" w:firstLine="324"/>
        <w:spacing w:after="0" w:line="301" w:lineRule="auto"/>
        <w:rPr>
          <w:sz w:val="20"/>
          <w:szCs w:val="20"/>
          <w:color w:val="auto"/>
        </w:rPr>
      </w:pPr>
      <w:r>
        <w:rPr>
          <w:rFonts w:ascii="Arial" w:cs="Arial" w:eastAsia="Arial" w:hAnsi="Arial"/>
          <w:sz w:val="16"/>
          <w:szCs w:val="16"/>
          <w:color w:val="auto"/>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90"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Since 2012, Cumberland has continued to vigorously defend and protect its Acetadote product and related intellectual property rights including the use of all its legal options.</w:t>
      </w:r>
    </w:p>
    <w:p>
      <w:pPr>
        <w:spacing w:after="0" w:line="89" w:lineRule="exact"/>
        <w:rPr>
          <w:sz w:val="20"/>
          <w:szCs w:val="20"/>
          <w:color w:val="auto"/>
        </w:rPr>
      </w:pPr>
    </w:p>
    <w:p>
      <w:pPr>
        <w:jc w:val="both"/>
        <w:ind w:left="80" w:firstLine="324"/>
        <w:spacing w:after="0" w:line="342" w:lineRule="auto"/>
        <w:rPr>
          <w:sz w:val="20"/>
          <w:szCs w:val="20"/>
          <w:color w:val="auto"/>
        </w:rPr>
      </w:pPr>
      <w:r>
        <w:rPr>
          <w:rFonts w:ascii="Arial" w:cs="Arial" w:eastAsia="Arial" w:hAnsi="Arial"/>
          <w:sz w:val="16"/>
          <w:szCs w:val="16"/>
          <w:color w:val="auto"/>
        </w:rPr>
        <w:t>The Company is a party to various other legal proceedings in the ordinary course of its business. In the opinion of management, the liability associated with these matters, will not have a material adverse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22" w:name="page123"/>
    <w:bookmarkEnd w:id="122"/>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Quarterly Financial Information (Unaudited)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unaudited operating results for each fiscal quarter of 2020 and 2019:</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First</w:t>
            </w:r>
          </w:p>
        </w:tc>
        <w:tc>
          <w:tcPr>
            <w:tcW w:w="24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Second</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Third</w:t>
            </w:r>
          </w:p>
        </w:tc>
        <w:tc>
          <w:tcPr>
            <w:tcW w:w="2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Fourth</w:t>
            </w:r>
          </w:p>
        </w:tc>
        <w:tc>
          <w:tcPr>
            <w:tcW w:w="280" w:type="dxa"/>
            <w:vAlign w:val="bottom"/>
          </w:tcPr>
          <w:p>
            <w:pPr>
              <w:spacing w:after="0"/>
              <w:rPr>
                <w:sz w:val="16"/>
                <w:szCs w:val="16"/>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Quarter</w:t>
            </w:r>
          </w:p>
        </w:tc>
        <w:tc>
          <w:tcPr>
            <w:tcW w:w="2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Quarter</w:t>
            </w: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Quarter</w:t>
            </w:r>
          </w:p>
        </w:tc>
        <w:tc>
          <w:tcPr>
            <w:tcW w:w="2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41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8,330,734</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9,598,177</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9,250,689</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10,261,534</w:t>
            </w:r>
          </w:p>
        </w:tc>
        <w:tc>
          <w:tcPr>
            <w:tcW w:w="14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37,441,134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(1,846,001)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(1,580,962)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(1,208,686)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(1,745,946)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(6,381,595)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(1,883,418)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(1,679,211)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(1,275,620)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(1,787,530)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(6,625,779)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818,273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872,064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3,206,875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4"/>
              </w:rPr>
              <w:t>Net income (loss) attributable to common shareholders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(1,055,620)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(918,275)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(481,737)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(883,776)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(3,339,408)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Earnings (loss) per share attributable to common</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Continuing operations - 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 basic</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Continuing operations -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 diluted</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8,729,860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9,417,443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6,935,439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9,305,553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34,388,295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(1,323,932)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(1,373,424)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(3,196,436)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(3,394,390)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(9,288,182)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(1,187,553)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(1,338,521)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(3,316,286)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(3,369,329)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(9,211,688)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 (loss) from discontinued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1,147,136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771,709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1,349,351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2,396,981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5,665,177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attributable to common shareholders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(549,507)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(3,537,759)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line="176" w:lineRule="exact"/>
              <w:rPr>
                <w:sz w:val="20"/>
                <w:szCs w:val="20"/>
                <w:color w:val="auto"/>
              </w:rPr>
            </w:pPr>
            <w:r>
              <w:rPr>
                <w:rFonts w:ascii="Arial" w:cs="Arial" w:eastAsia="Arial" w:hAnsi="Arial"/>
                <w:sz w:val="18"/>
                <w:szCs w:val="18"/>
                <w:color w:val="auto"/>
              </w:rPr>
              <w:t>Earnings (loss) per share attributable to common</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line="230"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 - 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Discontinued operations - basic</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 -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Discontinued operations - diluted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820" w:hanging="327"/>
        <w:spacing w:after="0" w:line="275" w:lineRule="auto"/>
        <w:tabs>
          <w:tab w:leader="none" w:pos="85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Due to the nature of interim earnings per share calculations, the sum of the quarterly earnings (loss) per share amounts may not equal the reported earnings (loss) per share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23" w:name="page124"/>
    <w:bookmarkEnd w:id="123"/>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6400" w:type="dxa"/>
            <w:vAlign w:val="bottom"/>
            <w:gridSpan w:val="13"/>
          </w:tcPr>
          <w:p>
            <w:pPr>
              <w:jc w:val="center"/>
              <w:ind w:right="811"/>
              <w:spacing w:after="0"/>
              <w:rPr>
                <w:sz w:val="20"/>
                <w:szCs w:val="20"/>
                <w:color w:val="auto"/>
              </w:rPr>
            </w:pPr>
            <w:r>
              <w:rPr>
                <w:rFonts w:ascii="Arial" w:cs="Arial" w:eastAsia="Arial" w:hAnsi="Arial"/>
                <w:sz w:val="18"/>
                <w:szCs w:val="18"/>
                <w:b w:val="1"/>
                <w:bCs w:val="1"/>
                <w:color w:val="auto"/>
              </w:rPr>
              <w:t>CUMBERLAND PHARMACEUTICALS INC. AND SUBSIDIARIES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00" w:type="dxa"/>
            <w:vAlign w:val="bottom"/>
            <w:gridSpan w:val="8"/>
          </w:tcPr>
          <w:p>
            <w:pPr>
              <w:jc w:val="center"/>
              <w:ind w:right="920"/>
              <w:spacing w:after="0"/>
              <w:rPr>
                <w:sz w:val="20"/>
                <w:szCs w:val="20"/>
                <w:color w:val="auto"/>
              </w:rPr>
            </w:pPr>
            <w:r>
              <w:rPr>
                <w:rFonts w:ascii="Arial" w:cs="Arial" w:eastAsia="Arial" w:hAnsi="Arial"/>
                <w:sz w:val="18"/>
                <w:szCs w:val="18"/>
                <w:color w:val="auto"/>
                <w:w w:val="92"/>
              </w:rPr>
              <w:t>Valuation and Qualifying Accounts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9"/>
          </w:tcPr>
          <w:p>
            <w:pPr>
              <w:jc w:val="center"/>
              <w:ind w:left="133"/>
              <w:spacing w:after="0"/>
              <w:rPr>
                <w:sz w:val="20"/>
                <w:szCs w:val="20"/>
                <w:color w:val="auto"/>
              </w:rPr>
            </w:pPr>
            <w:r>
              <w:rPr>
                <w:rFonts w:ascii="Arial" w:cs="Arial" w:eastAsia="Arial" w:hAnsi="Arial"/>
                <w:sz w:val="18"/>
                <w:szCs w:val="18"/>
                <w:color w:val="auto"/>
                <w:w w:val="88"/>
              </w:rPr>
              <w:t>Years ended December 31, 2020, 2019 and 2018</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13"/>
              <w:spacing w:after="0"/>
              <w:rPr>
                <w:sz w:val="20"/>
                <w:szCs w:val="20"/>
                <w:color w:val="auto"/>
              </w:rPr>
            </w:pPr>
            <w:r>
              <w:rPr>
                <w:rFonts w:ascii="Arial" w:cs="Arial" w:eastAsia="Arial" w:hAnsi="Arial"/>
                <w:sz w:val="16"/>
                <w:szCs w:val="16"/>
                <w:b w:val="1"/>
                <w:bCs w:val="1"/>
                <w:color w:val="auto"/>
                <w:w w:val="89"/>
              </w:rPr>
              <w:t>Balance at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2"/>
              </w:rPr>
              <w:t>Charged to</w:t>
            </w:r>
          </w:p>
        </w:tc>
        <w:tc>
          <w:tcPr>
            <w:tcW w:w="180" w:type="dxa"/>
            <w:vAlign w:val="bottom"/>
          </w:tcPr>
          <w:p>
            <w:pPr>
              <w:spacing w:after="0"/>
              <w:rPr>
                <w:sz w:val="23"/>
                <w:szCs w:val="23"/>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Charged to</w:t>
            </w: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288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680"/>
              <w:spacing w:after="0" w:line="162" w:lineRule="exact"/>
              <w:rPr>
                <w:sz w:val="20"/>
                <w:szCs w:val="20"/>
                <w:color w:val="auto"/>
              </w:rPr>
            </w:pPr>
            <w:r>
              <w:rPr>
                <w:rFonts w:ascii="Arial" w:cs="Arial" w:eastAsia="Arial" w:hAnsi="Arial"/>
                <w:sz w:val="16"/>
                <w:szCs w:val="16"/>
                <w:b w:val="1"/>
                <w:bCs w:val="1"/>
                <w:color w:val="auto"/>
                <w:w w:val="85"/>
              </w:rPr>
              <w:t>costs and</w:t>
            </w:r>
          </w:p>
        </w:tc>
        <w:tc>
          <w:tcPr>
            <w:tcW w:w="180" w:type="dxa"/>
            <w:vAlign w:val="bottom"/>
          </w:tcPr>
          <w:p>
            <w:pPr>
              <w:spacing w:after="0"/>
              <w:rPr>
                <w:sz w:val="14"/>
                <w:szCs w:val="14"/>
                <w:color w:val="auto"/>
              </w:rPr>
            </w:pPr>
          </w:p>
        </w:tc>
        <w:tc>
          <w:tcPr>
            <w:tcW w:w="1340" w:type="dxa"/>
            <w:vAlign w:val="bottom"/>
            <w:gridSpan w:val="2"/>
          </w:tcPr>
          <w:p>
            <w:pPr>
              <w:jc w:val="center"/>
              <w:ind w:right="440"/>
              <w:spacing w:after="0" w:line="162" w:lineRule="exact"/>
              <w:rPr>
                <w:sz w:val="20"/>
                <w:szCs w:val="20"/>
                <w:color w:val="auto"/>
              </w:rPr>
            </w:pPr>
            <w:r>
              <w:rPr>
                <w:rFonts w:ascii="Arial" w:cs="Arial" w:eastAsia="Arial" w:hAnsi="Arial"/>
                <w:sz w:val="16"/>
                <w:szCs w:val="16"/>
                <w:b w:val="1"/>
                <w:bCs w:val="1"/>
                <w:color w:val="auto"/>
                <w:w w:val="94"/>
              </w:rPr>
              <w:t>other</w:t>
            </w:r>
          </w:p>
        </w:tc>
        <w:tc>
          <w:tcPr>
            <w:tcW w:w="220" w:type="dxa"/>
            <w:vAlign w:val="bottom"/>
          </w:tcPr>
          <w:p>
            <w:pPr>
              <w:spacing w:after="0"/>
              <w:rPr>
                <w:sz w:val="14"/>
                <w:szCs w:val="14"/>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Deductions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82"/>
              </w:rPr>
              <w:t>expenses</w:t>
            </w: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5"/>
              </w:rPr>
              <w:t>accounts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end of period</w:t>
            </w:r>
          </w:p>
        </w:tc>
        <w:tc>
          <w:tcPr>
            <w:tcW w:w="0" w:type="dxa"/>
            <w:vAlign w:val="bottom"/>
          </w:tcPr>
          <w:p>
            <w:pPr>
              <w:spacing w:after="0"/>
              <w:rPr>
                <w:sz w:val="1"/>
                <w:szCs w:val="1"/>
                <w:color w:val="auto"/>
              </w:rPr>
            </w:pPr>
          </w:p>
        </w:tc>
      </w:tr>
      <w:tr>
        <w:trPr>
          <w:trHeight w:val="145"/>
        </w:trPr>
        <w:tc>
          <w:tcPr>
            <w:tcW w:w="2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Allowance for uncollectible amounts,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discounts, chargebacks, and</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credits issued for damaged products: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40"/>
              <w:spacing w:after="0" w:line="176" w:lineRule="exact"/>
              <w:rPr>
                <w:sz w:val="20"/>
                <w:szCs w:val="20"/>
                <w:color w:val="auto"/>
              </w:rPr>
            </w:pPr>
            <w:r>
              <w:rPr>
                <w:rFonts w:ascii="Arial" w:cs="Arial" w:eastAsia="Arial" w:hAnsi="Arial"/>
                <w:sz w:val="18"/>
                <w:szCs w:val="18"/>
                <w:color w:val="auto"/>
              </w:rPr>
              <w:t>For the years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2018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326,697</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4,610,899</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(4,133,176)</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804,420</w:t>
            </w:r>
          </w:p>
        </w:tc>
        <w:tc>
          <w:tcPr>
            <w:tcW w:w="0" w:type="dxa"/>
            <w:vAlign w:val="bottom"/>
          </w:tcPr>
          <w:p>
            <w:pPr>
              <w:spacing w:after="0"/>
              <w:rPr>
                <w:sz w:val="1"/>
                <w:szCs w:val="1"/>
                <w:color w:val="auto"/>
              </w:rPr>
            </w:pPr>
          </w:p>
        </w:tc>
      </w:tr>
      <w:tr>
        <w:trPr>
          <w:trHeight w:val="229"/>
        </w:trPr>
        <w:tc>
          <w:tcPr>
            <w:tcW w:w="2880" w:type="dxa"/>
            <w:vAlign w:val="bottom"/>
          </w:tcPr>
          <w:p>
            <w:pPr>
              <w:jc w:val="right"/>
              <w:ind w:right="1971"/>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804,420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5,915,066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(5,927,435)</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792,051</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792,051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4,940,313</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(4,747,687)</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984,677</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Valuation allowance for deferred tax</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40"/>
              <w:spacing w:after="0" w:line="176" w:lineRule="exact"/>
              <w:rPr>
                <w:sz w:val="20"/>
                <w:szCs w:val="20"/>
                <w:color w:val="auto"/>
              </w:rPr>
            </w:pPr>
            <w:r>
              <w:rPr>
                <w:rFonts w:ascii="Arial" w:cs="Arial" w:eastAsia="Arial" w:hAnsi="Arial"/>
                <w:sz w:val="18"/>
                <w:szCs w:val="18"/>
                <w:color w:val="auto"/>
              </w:rPr>
              <w:t>For the years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2018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15,632,235</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1,749,817</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17,382,052</w:t>
            </w:r>
          </w:p>
        </w:tc>
        <w:tc>
          <w:tcPr>
            <w:tcW w:w="0" w:type="dxa"/>
            <w:vAlign w:val="bottom"/>
          </w:tcPr>
          <w:p>
            <w:pPr>
              <w:spacing w:after="0"/>
              <w:rPr>
                <w:sz w:val="1"/>
                <w:szCs w:val="1"/>
                <w:color w:val="auto"/>
              </w:rPr>
            </w:pPr>
          </w:p>
        </w:tc>
      </w:tr>
      <w:tr>
        <w:trPr>
          <w:trHeight w:val="230"/>
        </w:trPr>
        <w:tc>
          <w:tcPr>
            <w:tcW w:w="2880" w:type="dxa"/>
            <w:vAlign w:val="bottom"/>
          </w:tcPr>
          <w:p>
            <w:pPr>
              <w:jc w:val="right"/>
              <w:ind w:right="1971"/>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17,382,052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1,129,109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18,511,161</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18,511,161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684,960</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(1) Composed of actual returns and credits for chargebacks and cash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DESCRIPTION OF THE REGISTRANT’S COMMON STOCK REGISTERED PURSUANT TO SECTION 12 OF THE SECURITIES EXCHANGE ACT OF 1934</w:t>
      </w: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common stock of Cumberland Pharmaceuticals, Inc. ( “we,” “our,” “us” or the “Company”) is registered under Section 12 of the Securities Exchange Act of 1934, as amended.</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following description of our common stock is a summary and does not purport to be complete. It is subject to and qualified in its entirety by reference to the actual terms and provisions contained in our Third Amended and Restated Charter, as amended (the “Charter”), and our Second Amended and Restated Bylaws (the “Bylaws”), copies of are filed as an exhibit to this Annual Report on Form 10-K and are incorporated herein, and to the applicable provisions of Tennessee law. We encourage you to read our Charter and Bylaws and the applicable provisions of Tennessee law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authorized to issue up to 120,000,000 shares of capital stock, of which 100,000,000 may be shares of common stock, par value $0.00 per share, and 20,000,000 may be shares of preferred stock, par value $0.00 per share. The Company currently has no preferred stock issued and outstanding. All of the Company’s outstanding shares of common stock are fully paid and nonassessable.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are entitled to one vote for each share registered in his or her name on our books on all matters voted on by our shareholders.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common stock do not have cumulative voting rights.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Subject to any preferences or other rights of any of our preferred stock that may be issued from time to time, each share of our common stock is entitled to share equally with each other share of common stock in dividends from sources legally available therefore, when, as, and if declared by the Board of Directors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Absence of Other Rights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Holders of our common stock do not have any preemptive rights to subscribe for or purchase any of our securities of any class or kind. Holders of our common stock do not have any subscription, redemption or conversion privileges.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Rights</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Upon our liquidation or dissolution, whether voluntary or involuntary, each share of our common stock is entitled to share equally in the assets that are available for distribution to our shareholders, after payment of all debts and liabilities and subject to the prior rights of nay holders of preferred stock then outstanding.</w:t>
      </w:r>
    </w:p>
    <w:p>
      <w:pPr>
        <w:sectPr>
          <w:pgSz w:w="11900" w:h="16838" w:orient="portrait"/>
          <w:cols w:equalWidth="0" w:num="1">
            <w:col w:w="11240"/>
          </w:cols>
          <w:pgMar w:left="320" w:top="760"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color w:val="auto"/>
        </w:rPr>
        <w:t>Listing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“CPIX.”</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 is the transfer agent and registrar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our Charter and Bylaws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Charter and Bylaws contain certain provisions that could have the effect of delaying, deferring or discouraging another party from acquiring control of the Company. These provisions, which are summarized below, could discourage takeovers, coercive or otherwise. These provisions are also designed, in part, to encourage persons seeking to acquire control of us to negotiate first with our Board of Directors.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Staggered Board</w:t>
      </w:r>
      <w:r>
        <w:rPr>
          <w:rFonts w:ascii="Arial" w:cs="Arial" w:eastAsia="Arial" w:hAnsi="Arial"/>
          <w:sz w:val="22"/>
          <w:szCs w:val="22"/>
          <w:color w:val="auto"/>
        </w:rPr>
        <w:t>. Our Charter divides our Board of Directors into three separate classes, and directors are assigned to each class</w:t>
      </w:r>
      <w:r>
        <w:rPr>
          <w:rFonts w:ascii="Arial" w:cs="Arial" w:eastAsia="Arial" w:hAnsi="Arial"/>
          <w:sz w:val="22"/>
          <w:szCs w:val="22"/>
          <w:i w:val="1"/>
          <w:iCs w:val="1"/>
          <w:color w:val="auto"/>
        </w:rPr>
        <w:t xml:space="preserve"> </w:t>
      </w:r>
      <w:r>
        <w:rPr>
          <w:rFonts w:ascii="Arial" w:cs="Arial" w:eastAsia="Arial" w:hAnsi="Arial"/>
          <w:sz w:val="22"/>
          <w:szCs w:val="22"/>
          <w:color w:val="auto"/>
        </w:rPr>
        <w:t>in accordance by resolution of the Board of Directors. Each class of directors serves for a full term of three years, and the terms of the respective classes expire in succession so that only one class of directors is required to stand for re-election at each annual meeting. This provision prevents our shareholders or a potential acquirer from replacing all of our incumbent directors at a single annual meeting.</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Removal of Directors</w:t>
      </w:r>
      <w:r>
        <w:rPr>
          <w:rFonts w:ascii="Arial" w:cs="Arial" w:eastAsia="Arial" w:hAnsi="Arial"/>
          <w:sz w:val="22"/>
          <w:szCs w:val="22"/>
          <w:color w:val="auto"/>
        </w:rPr>
        <w:t>. Under Tennessee law, a director can be removed by the shareholders with or without cause, unless a</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corporation’s charter provides that the director can only be removed for cause. Our Charter includes this restriction, which could make it more difficult for shareholders to remove incumbent directors.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Advance Notice Provisions</w:t>
      </w:r>
      <w:r>
        <w:rPr>
          <w:rFonts w:ascii="Arial" w:cs="Arial" w:eastAsia="Arial" w:hAnsi="Arial"/>
          <w:sz w:val="22"/>
          <w:szCs w:val="22"/>
          <w:color w:val="auto"/>
        </w:rPr>
        <w:t>. Our Bylaws contain advance notice provisions applicable to shareholder proposals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nomination of candidates for election as directors by shareholders. These advance notice provisions may have the effect of precluding the conduct of certain business at a meeting if the proper procedures are not followed and may also discourage or deter a potential acquirer from conducting a solicitation of proxies to elect the acquirer’s own slate of directors or otherwise attempt to obtain control of the Company.</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color w:val="auto"/>
        </w:rPr>
        <w:t>Vacancies</w:t>
      </w:r>
      <w:r>
        <w:rPr>
          <w:rFonts w:ascii="Arial" w:cs="Arial" w:eastAsia="Arial" w:hAnsi="Arial"/>
          <w:sz w:val="21"/>
          <w:szCs w:val="21"/>
          <w:color w:val="auto"/>
        </w:rPr>
        <w:t>. Our Charter provides that the Board of Directors, by a majority vote of the remaining directors in office, shall fill any</w:t>
      </w:r>
      <w:r>
        <w:rPr>
          <w:rFonts w:ascii="Arial" w:cs="Arial" w:eastAsia="Arial" w:hAnsi="Arial"/>
          <w:sz w:val="21"/>
          <w:szCs w:val="21"/>
          <w:i w:val="1"/>
          <w:iCs w:val="1"/>
          <w:color w:val="auto"/>
        </w:rPr>
        <w:t xml:space="preserve"> </w:t>
      </w:r>
      <w:r>
        <w:rPr>
          <w:rFonts w:ascii="Arial" w:cs="Arial" w:eastAsia="Arial" w:hAnsi="Arial"/>
          <w:sz w:val="21"/>
          <w:szCs w:val="21"/>
          <w:color w:val="auto"/>
        </w:rPr>
        <w:t>vacant directorships caused by the death, resignation, disqualification, removal of a director. Our Charter also gives the Board of Directors the power to fill any vacancies resulting from the increase in the number of directors serving on the Board. These provisions could make it more difficult for an acquiror to gain control of our Board of Directors.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color w:val="auto"/>
        </w:rPr>
        <w:t>Calling of Special Meetings</w:t>
      </w:r>
      <w:r>
        <w:rPr>
          <w:rFonts w:ascii="Arial" w:cs="Arial" w:eastAsia="Arial" w:hAnsi="Arial"/>
          <w:sz w:val="21"/>
          <w:szCs w:val="21"/>
          <w:color w:val="auto"/>
        </w:rPr>
        <w:t>. Under Tennessee law, a special meeting of a Tennessee corporation’s shareholders can be called by</w:t>
      </w:r>
      <w:r>
        <w:rPr>
          <w:rFonts w:ascii="Arial" w:cs="Arial" w:eastAsia="Arial" w:hAnsi="Arial"/>
          <w:sz w:val="21"/>
          <w:szCs w:val="21"/>
          <w:i w:val="1"/>
          <w:iCs w:val="1"/>
          <w:color w:val="auto"/>
        </w:rPr>
        <w:t xml:space="preserve"> </w:t>
      </w:r>
      <w:r>
        <w:rPr>
          <w:rFonts w:ascii="Arial" w:cs="Arial" w:eastAsia="Arial" w:hAnsi="Arial"/>
          <w:sz w:val="21"/>
          <w:szCs w:val="21"/>
          <w:color w:val="auto"/>
        </w:rPr>
        <w:t>its board of directors or, unless the charter provides otherwise, the holders of at least 10% of the outstanding voting stock of the corporation. Our Charter provides that a special meeting can be called by our Chairman of the Board or the Chief Executive Officer only when shareholders owning at least two-thirds of the votes entitled to be cast on any issue proposed to be considered at the meeting deliver to the Company a written demand stating the purposes of the special meeting and a certified check in the amount of $50,000.00. This provision may make it harder for our shareholders to call special meetings without the consent of the Board of Directors of the Company.</w:t>
      </w:r>
    </w:p>
    <w:p>
      <w:pPr>
        <w:sectPr>
          <w:pgSz w:w="11900" w:h="16838" w:orient="portrait"/>
          <w:cols w:equalWidth="0" w:num="1">
            <w:col w:w="11240"/>
          </w:cols>
          <w:pgMar w:left="320" w:top="760" w:right="339" w:bottom="1440" w:gutter="0" w:footer="0" w:header="0"/>
        </w:sectPr>
      </w:pPr>
    </w:p>
    <w:bookmarkStart w:id="126" w:name="page127"/>
    <w:bookmarkEnd w:id="126"/>
    <w:p>
      <w:pPr>
        <w:jc w:val="both"/>
        <w:spacing w:after="0"/>
        <w:rPr>
          <w:sz w:val="20"/>
          <w:szCs w:val="20"/>
          <w:color w:val="auto"/>
        </w:rPr>
      </w:pPr>
      <w:r>
        <w:rPr>
          <w:rFonts w:ascii="Arial" w:cs="Arial" w:eastAsia="Arial" w:hAnsi="Arial"/>
          <w:sz w:val="22"/>
          <w:szCs w:val="22"/>
          <w:i w:val="1"/>
          <w:iCs w:val="1"/>
          <w:color w:val="auto"/>
        </w:rPr>
        <w:t>Undesignated Preferred Stock</w:t>
      </w:r>
      <w:r>
        <w:rPr>
          <w:rFonts w:ascii="Arial" w:cs="Arial" w:eastAsia="Arial" w:hAnsi="Arial"/>
          <w:sz w:val="22"/>
          <w:szCs w:val="22"/>
          <w:color w:val="auto"/>
        </w:rPr>
        <w:t>. Our Board of Directors has the ability to designate and issue preferred stock without shareholder</w:t>
      </w:r>
      <w:r>
        <w:rPr>
          <w:rFonts w:ascii="Arial" w:cs="Arial" w:eastAsia="Arial" w:hAnsi="Arial"/>
          <w:sz w:val="22"/>
          <w:szCs w:val="22"/>
          <w:i w:val="1"/>
          <w:iCs w:val="1"/>
          <w:color w:val="auto"/>
        </w:rPr>
        <w:t xml:space="preserve"> </w:t>
      </w:r>
      <w:r>
        <w:rPr>
          <w:rFonts w:ascii="Arial" w:cs="Arial" w:eastAsia="Arial" w:hAnsi="Arial"/>
          <w:sz w:val="22"/>
          <w:szCs w:val="22"/>
          <w:color w:val="auto"/>
        </w:rPr>
        <w:t>approval, and such preferred stock could have voting or other rights or preferences that could deter hostile takeovers or delay changes in control.</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No Cumulative Voting</w:t>
      </w:r>
      <w:r>
        <w:rPr>
          <w:rFonts w:ascii="Arial" w:cs="Arial" w:eastAsia="Arial" w:hAnsi="Arial"/>
          <w:sz w:val="19"/>
          <w:szCs w:val="19"/>
          <w:color w:val="auto"/>
        </w:rPr>
        <w:t>. Our Charter and Bylaws do not allow shareholders to cumulate votes for the election of directors, which</w:t>
      </w:r>
      <w:r>
        <w:rPr>
          <w:rFonts w:ascii="Arial" w:cs="Arial" w:eastAsia="Arial" w:hAnsi="Arial"/>
          <w:sz w:val="19"/>
          <w:szCs w:val="19"/>
          <w:i w:val="1"/>
          <w:iCs w:val="1"/>
          <w:color w:val="auto"/>
        </w:rPr>
        <w:t xml:space="preserve"> </w:t>
      </w:r>
      <w:r>
        <w:rPr>
          <w:rFonts w:ascii="Arial" w:cs="Arial" w:eastAsia="Arial" w:hAnsi="Arial"/>
          <w:sz w:val="19"/>
          <w:szCs w:val="19"/>
          <w:color w:val="auto"/>
        </w:rPr>
        <w:t>may have the effect of deterring our shareholder’s ability to replace incumbent directors serving on the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Tennessee Anti-Takeover Statutes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to the Charter and Bylaws provisions discussed above, Tennessee has adopted a series of statutes which can have an anti-takeover effect and may delay or prevent a tender offer or takeover attempt that a shareholder might consider in its best interest, including those attempts that might result in a premium over the market price for our capital stock.</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Tennessee Business Combination Act</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Tennessee Business Combination Act (the “TBCA”) governs all Tennessee corporations. It imposes a five-year standstill on transactions such as mergers, share exchanges, sales of assets, liquidations and other interested party transactions between Tennessee corporations and “interested shareholders” and their associates or affiliates, unless the business combination is approved by the board of directors before the interested shareholder goes above the 10% ownership threshold. Thereafter, the transaction either requires a two-thirds vote of the shareholders other than the interested shareholder or satisfaction of certain fair price standards.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TBCA also provides for additional exculpatory protection for the board of directors in resisting mergers, exchanges and tender offers if a Tennessee corporation’s charter specifically opts-in to such provisions. In particular, a Tennessee corporation’s charter may specifically authorize the members of a board of directors, in the exercise of their judgment, to give due consideration to factors other than price and to consider whether a merger, exchange, tender offer or significant disposition of assets would adversely affect the corporation’s employees, customers, suppliers, the communities in which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corporation operates, or any other relevant factor in the exercise of their fiduciary duty to the shareholders. Our Charter currently does not opt-in to the additional exculpation provisions available under the TBCA. In the future, if we amend our Charter to opt-in to such provisions, it could have the effect of protecting our management and Board of Directors from hostile takeover bids.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Tennessee Control Share Acquisition Act</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Tennessee Control Share Acquisition Act (the “TCSA”) limits the voting rights of shares owned by a person above certain percentage thresholds, unless the non-interested shareholders of the corporation approve the acquisition above the designated threshold. However, the TCSA only applies to corporations whose charter or bylaws contain an express declaration that control share acquisitions are to be governed by the TCSA. In addition, the charter or bylaws must specifically provide for the redemption of control shares or appraisal rights for dissenting shareholders in a control share transaction. Neither our Charter nor our Bylaws make the express declarations necessary to opt into the TCSA. In the future, if we amend our Bylaws or our Charter to opt into the TCSA, it will have the general effect of discouraging, or rendering more difficult, acquisition attempts.</w:t>
      </w:r>
    </w:p>
    <w:p>
      <w:pPr>
        <w:sectPr>
          <w:pgSz w:w="11900" w:h="16838" w:orient="portrait"/>
          <w:cols w:equalWidth="0" w:num="1">
            <w:col w:w="11240"/>
          </w:cols>
          <w:pgMar w:left="320" w:top="766"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i w:val="1"/>
          <w:iCs w:val="1"/>
          <w:color w:val="auto"/>
        </w:rPr>
        <w:t>Tennessee Investor Protection Act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Tennessee Investor Protection Act (“TIPA”) generally requires the registration, or an exemption from registration, before a person can make a tender offer for shares of a Tennessee corporation which, if successful, will result in the offeror beneficially owning more than 10% of any class of shares. Registration requires the filing with the Tennessee Commissioner of Commerce and Insurance of a registration statement, a copy of which must be sent to the target company, and the public disclosure of the material terms of the proposed offer. Additional requirements are imposed under that act if the offeror beneficially owns 5% or more of any class of equity securities of the target company, any of which was purchased within one year prior to the proposed takeover offer. TIPA also prohibits fraudulent and deceptive practices in connection with takeover offers, and provides remedies for violations.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TIPA does not apply to an offer involving a vote by holders of equity securities of the offeree company, pursuant to its charter, on a share exchange, consolidation or sale of corporate assets in consideration of the issuance of securities of another corporation, or on a sale of its securities in exchange for cash or securities of another corporation. Also exempt from TIPA are tender offers which are open on substantially equal terms to all shareholders, are recommended by the board of directors of the target company, and include full disclosure of all terms.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Tennessee Greenmail Act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Tennessee Greenmail Act (“TGA”) prohibits us from purchasing or agreeing to purchase any of our securities, at a price higher than fair market value, from a holder of 3% or more of any class of its securities who has beneficially owned the securities for less than two years. We can, however, make this purchase if the majority of the outstanding shares of each class of voting stock issued by us approves the purchase or if we make an offer of at least equal value per share to all holders of shares of the same class of securities as those held by the prospective seller.</w:t>
      </w:r>
    </w:p>
    <w:p>
      <w:pPr>
        <w:sectPr>
          <w:pgSz w:w="11900" w:h="16838" w:orient="portrait"/>
          <w:cols w:equalWidth="0" w:num="1">
            <w:col w:w="11240"/>
          </w:cols>
          <w:pgMar w:left="320" w:top="766"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March 8, 2021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A.J. Kazimi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Employment of A.J. Kazimi as Chief Executive Officer by Cumberland Pharmaceuticals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A.J.:</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Effective January 1, 2021,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33" w:lineRule="exact"/>
        <w:rPr>
          <w:sz w:val="20"/>
          <w:szCs w:val="20"/>
          <w:color w:val="auto"/>
        </w:rPr>
      </w:pPr>
    </w:p>
    <w:p>
      <w:pPr>
        <w:jc w:val="both"/>
        <w:ind w:firstLine="8"/>
        <w:spacing w:after="0" w:line="247" w:lineRule="auto"/>
        <w:tabs>
          <w:tab w:leader="none" w:pos="29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six hundred ten thousand one hundred thirty-two dollars ($610,132.00),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2021.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9" w:lineRule="exact"/>
        <w:rPr>
          <w:rFonts w:ascii="Arial" w:cs="Arial" w:eastAsia="Arial" w:hAnsi="Arial"/>
          <w:sz w:val="20"/>
          <w:szCs w:val="20"/>
          <w:color w:val="auto"/>
        </w:rPr>
      </w:pPr>
    </w:p>
    <w:p>
      <w:pPr>
        <w:jc w:val="both"/>
        <w:ind w:firstLine="8"/>
        <w:spacing w:after="0"/>
        <w:tabs>
          <w:tab w:leader="none" w:pos="306"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3" w:lineRule="exact"/>
        <w:rPr>
          <w:rFonts w:ascii="Arial" w:cs="Arial" w:eastAsia="Arial" w:hAnsi="Arial"/>
          <w:sz w:val="22"/>
          <w:szCs w:val="22"/>
          <w:color w:val="auto"/>
        </w:rPr>
      </w:pPr>
    </w:p>
    <w:p>
      <w:pPr>
        <w:jc w:val="both"/>
        <w:ind w:firstLine="8"/>
        <w:spacing w:after="0" w:line="252" w:lineRule="auto"/>
        <w:tabs>
          <w:tab w:leader="none" w:pos="294" w:val="left"/>
        </w:tabs>
        <w:numPr>
          <w:ilvl w:val="0"/>
          <w:numId w:val="52"/>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ectPr>
          <w:pgSz w:w="11900" w:h="16838" w:orient="portrait"/>
          <w:cols w:equalWidth="0" w:num="1">
            <w:col w:w="11240"/>
          </w:cols>
          <w:pgMar w:left="320" w:top="1428" w:right="339" w:bottom="1440" w:gutter="0" w:footer="0" w:header="0"/>
        </w:sectPr>
      </w:pPr>
    </w:p>
    <w:bookmarkStart w:id="129" w:name="page130"/>
    <w:bookmarkEnd w:id="129"/>
    <w:p>
      <w:pPr>
        <w:jc w:val="both"/>
        <w:ind w:left="-8" w:firstLine="8"/>
        <w:spacing w:after="0" w:line="252" w:lineRule="auto"/>
        <w:tabs>
          <w:tab w:leader="none" w:pos="298" w:val="left"/>
        </w:tabs>
        <w:numPr>
          <w:ilvl w:val="0"/>
          <w:numId w:val="53"/>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0" w:lineRule="exact"/>
        <w:rPr>
          <w:rFonts w:ascii="Arial" w:cs="Arial" w:eastAsia="Arial" w:hAnsi="Arial"/>
          <w:sz w:val="21"/>
          <w:szCs w:val="21"/>
          <w:color w:val="auto"/>
        </w:rPr>
      </w:pPr>
    </w:p>
    <w:p>
      <w:pPr>
        <w:spacing w:after="0" w:line="243" w:lineRule="exact"/>
        <w:rPr>
          <w:rFonts w:ascii="Arial" w:cs="Arial" w:eastAsia="Arial" w:hAnsi="Arial"/>
          <w:sz w:val="21"/>
          <w:szCs w:val="21"/>
          <w:color w:val="auto"/>
        </w:rPr>
      </w:pPr>
    </w:p>
    <w:p>
      <w:pPr>
        <w:ind w:left="-8" w:right="20" w:firstLine="8"/>
        <w:spacing w:after="0" w:line="250" w:lineRule="auto"/>
        <w:tabs>
          <w:tab w:leader="none" w:pos="286"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1" w:lineRule="exact"/>
        <w:rPr>
          <w:rFonts w:ascii="Arial" w:cs="Arial" w:eastAsia="Arial" w:hAnsi="Arial"/>
          <w:sz w:val="22"/>
          <w:szCs w:val="22"/>
          <w:color w:val="auto"/>
        </w:rPr>
      </w:pPr>
    </w:p>
    <w:p>
      <w:pPr>
        <w:jc w:val="both"/>
        <w:ind w:left="652" w:hanging="328"/>
        <w:spacing w:after="0" w:line="236" w:lineRule="auto"/>
        <w:tabs>
          <w:tab w:leader="none" w:pos="643"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4" w:lineRule="exact"/>
        <w:rPr>
          <w:sz w:val="20"/>
          <w:szCs w:val="20"/>
          <w:color w:val="auto"/>
        </w:rPr>
      </w:pPr>
    </w:p>
    <w:p>
      <w:pPr>
        <w:jc w:val="both"/>
        <w:ind w:left="-8" w:firstLine="8"/>
        <w:spacing w:after="0" w:line="252" w:lineRule="auto"/>
        <w:tabs>
          <w:tab w:leader="none" w:pos="208"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0" w:lineRule="exact"/>
        <w:rPr>
          <w:rFonts w:ascii="Arial" w:cs="Arial" w:eastAsia="Arial" w:hAnsi="Arial"/>
          <w:sz w:val="21"/>
          <w:szCs w:val="21"/>
          <w:color w:val="auto"/>
        </w:rPr>
      </w:pPr>
    </w:p>
    <w:p>
      <w:pPr>
        <w:jc w:val="both"/>
        <w:ind w:left="-8" w:firstLine="8"/>
        <w:spacing w:after="0" w:line="245" w:lineRule="auto"/>
        <w:tabs>
          <w:tab w:leader="none" w:pos="208"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11" w:lineRule="exact"/>
        <w:rPr>
          <w:rFonts w:ascii="Arial" w:cs="Arial" w:eastAsia="Arial" w:hAnsi="Arial"/>
          <w:sz w:val="21"/>
          <w:szCs w:val="21"/>
          <w:color w:val="auto"/>
        </w:rPr>
      </w:pPr>
    </w:p>
    <w:p>
      <w:pPr>
        <w:jc w:val="both"/>
        <w:ind w:left="-8" w:firstLine="8"/>
        <w:spacing w:after="0" w:line="246" w:lineRule="auto"/>
        <w:tabs>
          <w:tab w:leader="none" w:pos="221"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w:t>
      </w:r>
    </w:p>
    <w:p>
      <w:pPr>
        <w:sectPr>
          <w:pgSz w:w="11900" w:h="16838" w:orient="portrait"/>
          <w:cols w:equalWidth="0" w:num="1">
            <w:col w:w="11232"/>
          </w:cols>
          <w:pgMar w:left="328" w:top="1414" w:right="339" w:bottom="1440" w:gutter="0" w:footer="0" w:header="0"/>
        </w:sectPr>
      </w:pPr>
    </w:p>
    <w:bookmarkStart w:id="130" w:name="page131"/>
    <w:bookmarkEnd w:id="130"/>
    <w:p>
      <w:pPr>
        <w:jc w:val="both"/>
        <w:spacing w:after="0" w:line="249" w:lineRule="auto"/>
        <w:rPr>
          <w:sz w:val="20"/>
          <w:szCs w:val="20"/>
          <w:color w:val="auto"/>
        </w:rPr>
      </w:pPr>
      <w:r>
        <w:rPr>
          <w:rFonts w:ascii="Arial" w:cs="Arial" w:eastAsia="Arial" w:hAnsi="Arial"/>
          <w:sz w:val="21"/>
          <w:szCs w:val="21"/>
          <w:color w:val="auto"/>
        </w:rPr>
        <w:t>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205" w:lineRule="exact"/>
        <w:rPr>
          <w:sz w:val="20"/>
          <w:szCs w:val="20"/>
          <w:color w:val="auto"/>
        </w:rPr>
      </w:pPr>
    </w:p>
    <w:p>
      <w:pPr>
        <w:jc w:val="both"/>
        <w:ind w:firstLine="8"/>
        <w:spacing w:after="0" w:line="282" w:lineRule="auto"/>
        <w:tabs>
          <w:tab w:leader="none" w:pos="22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4" w:lineRule="exact"/>
        <w:rPr>
          <w:rFonts w:ascii="Arial" w:cs="Arial" w:eastAsia="Arial" w:hAnsi="Arial"/>
          <w:sz w:val="19"/>
          <w:szCs w:val="19"/>
          <w:color w:val="auto"/>
        </w:rPr>
      </w:pPr>
    </w:p>
    <w:p>
      <w:pPr>
        <w:jc w:val="both"/>
        <w:ind w:firstLine="8"/>
        <w:spacing w:after="0" w:line="238" w:lineRule="auto"/>
        <w:tabs>
          <w:tab w:leader="none" w:pos="21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1" w:lineRule="exact"/>
        <w:rPr>
          <w:rFonts w:ascii="Arial" w:cs="Arial" w:eastAsia="Arial" w:hAnsi="Arial"/>
          <w:sz w:val="22"/>
          <w:szCs w:val="22"/>
          <w:color w:val="auto"/>
        </w:rPr>
      </w:pPr>
    </w:p>
    <w:p>
      <w:pPr>
        <w:jc w:val="both"/>
        <w:ind w:firstLine="8"/>
        <w:spacing w:after="0" w:line="270" w:lineRule="auto"/>
        <w:tabs>
          <w:tab w:leader="none" w:pos="21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w:t>
      </w:r>
    </w:p>
    <w:p>
      <w:pPr>
        <w:sectPr>
          <w:pgSz w:w="11900" w:h="16838" w:orient="portrait"/>
          <w:cols w:equalWidth="0" w:num="1">
            <w:col w:w="11240"/>
          </w:cols>
          <w:pgMar w:left="320" w:top="1414"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mean the Company and any entity controlling, controlled by, or under common control with the Company.</w:t>
      </w:r>
    </w:p>
    <w:p>
      <w:pPr>
        <w:spacing w:after="0" w:line="233" w:lineRule="exact"/>
        <w:rPr>
          <w:sz w:val="20"/>
          <w:szCs w:val="20"/>
          <w:color w:val="auto"/>
        </w:rPr>
      </w:pPr>
    </w:p>
    <w:p>
      <w:pPr>
        <w:jc w:val="both"/>
        <w:ind w:firstLine="8"/>
        <w:spacing w:after="0" w:line="287" w:lineRule="auto"/>
        <w:tabs>
          <w:tab w:leader="none" w:pos="229"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40" w:hanging="332"/>
        <w:spacing w:after="0"/>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33" w:lineRule="exact"/>
        <w:rPr>
          <w:sz w:val="20"/>
          <w:szCs w:val="20"/>
          <w:color w:val="auto"/>
        </w:rPr>
      </w:pPr>
    </w:p>
    <w:p>
      <w:pPr>
        <w:jc w:val="both"/>
        <w:ind w:firstLine="8"/>
        <w:spacing w:after="0" w:line="279" w:lineRule="auto"/>
        <w:tabs>
          <w:tab w:leader="none" w:pos="307" w:val="left"/>
        </w:tabs>
        <w:numPr>
          <w:ilvl w:val="0"/>
          <w:numId w:val="57"/>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7" w:lineRule="exact"/>
        <w:rPr>
          <w:rFonts w:ascii="Arial" w:cs="Arial" w:eastAsia="Arial" w:hAnsi="Arial"/>
          <w:sz w:val="19"/>
          <w:szCs w:val="19"/>
          <w:color w:val="auto"/>
        </w:rPr>
      </w:pPr>
    </w:p>
    <w:p>
      <w:pPr>
        <w:ind w:right="20" w:firstLine="8"/>
        <w:spacing w:after="0" w:line="250" w:lineRule="auto"/>
        <w:tabs>
          <w:tab w:leader="none" w:pos="319" w:val="left"/>
        </w:tabs>
        <w:numPr>
          <w:ilvl w:val="0"/>
          <w:numId w:val="57"/>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38" w:lineRule="auto"/>
        <w:tabs>
          <w:tab w:leader="none" w:pos="31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11" w:lineRule="exact"/>
        <w:rPr>
          <w:rFonts w:ascii="Arial" w:cs="Arial" w:eastAsia="Arial" w:hAnsi="Arial"/>
          <w:sz w:val="22"/>
          <w:szCs w:val="22"/>
          <w:color w:val="auto"/>
        </w:rPr>
      </w:pPr>
    </w:p>
    <w:p>
      <w:pPr>
        <w:jc w:val="both"/>
        <w:ind w:firstLine="8"/>
        <w:spacing w:after="0" w:line="234" w:lineRule="auto"/>
        <w:tabs>
          <w:tab w:leader="none" w:pos="337"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17" w:lineRule="exact"/>
        <w:rPr>
          <w:rFonts w:ascii="Arial" w:cs="Arial" w:eastAsia="Arial" w:hAnsi="Arial"/>
          <w:sz w:val="22"/>
          <w:szCs w:val="22"/>
          <w:color w:val="auto"/>
        </w:rPr>
      </w:pPr>
    </w:p>
    <w:p>
      <w:pPr>
        <w:jc w:val="both"/>
        <w:ind w:firstLine="8"/>
        <w:spacing w:after="0" w:line="236" w:lineRule="auto"/>
        <w:tabs>
          <w:tab w:leader="none" w:pos="32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Best Efforts and Conflicts of Interest</w:t>
      </w:r>
      <w:r>
        <w:rPr>
          <w:rFonts w:ascii="Arial" w:cs="Arial" w:eastAsia="Arial" w:hAnsi="Arial"/>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w:t>
      </w:r>
    </w:p>
    <w:p>
      <w:pPr>
        <w:sectPr>
          <w:pgSz w:w="11900" w:h="16838" w:orient="portrait"/>
          <w:cols w:equalWidth="0" w:num="1">
            <w:col w:w="11240"/>
          </w:cols>
          <w:pgMar w:left="320" w:top="1414" w:right="339" w:bottom="1440" w:gutter="0" w:footer="0" w:header="0"/>
        </w:sectPr>
      </w:pPr>
    </w:p>
    <w:bookmarkStart w:id="132" w:name="page133"/>
    <w:bookmarkEnd w:id="132"/>
    <w:p>
      <w:pPr>
        <w:jc w:val="both"/>
        <w:spacing w:after="0" w:line="252" w:lineRule="auto"/>
        <w:rPr>
          <w:sz w:val="20"/>
          <w:szCs w:val="20"/>
          <w:color w:val="auto"/>
        </w:rPr>
      </w:pPr>
      <w:r>
        <w:rPr>
          <w:rFonts w:ascii="Arial" w:cs="Arial" w:eastAsia="Arial" w:hAnsi="Arial"/>
          <w:sz w:val="21"/>
          <w:szCs w:val="21"/>
          <w:color w:val="auto"/>
        </w:rPr>
        <w:t>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00" w:lineRule="exact"/>
        <w:rPr>
          <w:sz w:val="20"/>
          <w:szCs w:val="20"/>
          <w:color w:val="auto"/>
        </w:rPr>
      </w:pPr>
    </w:p>
    <w:p>
      <w:pPr>
        <w:spacing w:after="0" w:line="244" w:lineRule="exact"/>
        <w:rPr>
          <w:sz w:val="20"/>
          <w:szCs w:val="20"/>
          <w:color w:val="auto"/>
        </w:rPr>
      </w:pPr>
    </w:p>
    <w:p>
      <w:pPr>
        <w:jc w:val="both"/>
        <w:ind w:firstLine="8"/>
        <w:spacing w:after="0" w:line="297" w:lineRule="auto"/>
        <w:tabs>
          <w:tab w:leader="none" w:pos="33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pacing w:after="0" w:line="160" w:lineRule="exact"/>
        <w:rPr>
          <w:rFonts w:ascii="Arial" w:cs="Arial" w:eastAsia="Arial" w:hAnsi="Arial"/>
          <w:sz w:val="19"/>
          <w:szCs w:val="19"/>
          <w:color w:val="auto"/>
        </w:rPr>
      </w:pPr>
    </w:p>
    <w:p>
      <w:pPr>
        <w:ind w:firstLine="8"/>
        <w:spacing w:after="0" w:line="274" w:lineRule="auto"/>
        <w:tabs>
          <w:tab w:leader="none" w:pos="324"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Arial" w:cs="Arial" w:eastAsia="Arial" w:hAnsi="Arial"/>
          <w:sz w:val="21"/>
          <w:szCs w:val="21"/>
          <w:color w:val="auto"/>
        </w:rPr>
      </w:pPr>
    </w:p>
    <w:p>
      <w:pPr>
        <w:ind w:firstLine="8"/>
        <w:spacing w:after="0" w:line="274" w:lineRule="auto"/>
        <w:tabs>
          <w:tab w:leader="none" w:pos="337"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tabs>
          <w:tab w:leader="none" w:pos="32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3" w:lineRule="exact"/>
        <w:rPr>
          <w:rFonts w:ascii="Arial" w:cs="Arial" w:eastAsia="Arial" w:hAnsi="Arial"/>
          <w:sz w:val="22"/>
          <w:szCs w:val="22"/>
          <w:color w:val="auto"/>
        </w:rPr>
      </w:pPr>
    </w:p>
    <w:p>
      <w:pPr>
        <w:jc w:val="both"/>
        <w:ind w:firstLine="8"/>
        <w:spacing w:after="0"/>
        <w:tabs>
          <w:tab w:leader="none" w:pos="351"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3" w:lineRule="exact"/>
        <w:rPr>
          <w:rFonts w:ascii="Arial" w:cs="Arial" w:eastAsia="Arial" w:hAnsi="Arial"/>
          <w:sz w:val="22"/>
          <w:szCs w:val="22"/>
          <w:color w:val="auto"/>
        </w:rPr>
      </w:pPr>
    </w:p>
    <w:p>
      <w:pPr>
        <w:jc w:val="both"/>
        <w:ind w:firstLine="8"/>
        <w:spacing w:after="0"/>
        <w:tabs>
          <w:tab w:leader="none" w:pos="32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3" w:lineRule="exact"/>
        <w:rPr>
          <w:rFonts w:ascii="Arial" w:cs="Arial" w:eastAsia="Arial" w:hAnsi="Arial"/>
          <w:sz w:val="22"/>
          <w:szCs w:val="22"/>
          <w:color w:val="auto"/>
        </w:rPr>
      </w:pPr>
    </w:p>
    <w:p>
      <w:pPr>
        <w:ind w:firstLine="8"/>
        <w:spacing w:after="0" w:line="250" w:lineRule="auto"/>
        <w:tabs>
          <w:tab w:leader="none" w:pos="36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1" w:lineRule="exact"/>
        <w:rPr>
          <w:rFonts w:ascii="Arial" w:cs="Arial" w:eastAsia="Arial" w:hAnsi="Arial"/>
          <w:sz w:val="22"/>
          <w:szCs w:val="22"/>
          <w:color w:val="auto"/>
        </w:rPr>
      </w:pPr>
    </w:p>
    <w:p>
      <w:pPr>
        <w:ind w:left="5480" w:hanging="153"/>
        <w:spacing w:after="0"/>
        <w:tabs>
          <w:tab w:leader="none" w:pos="54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14" w:right="339" w:bottom="1440" w:gutter="0" w:footer="0" w:header="0"/>
        </w:sectPr>
      </w:pPr>
    </w:p>
    <w:bookmarkStart w:id="133" w:name="page134"/>
    <w:bookmarkEnd w:id="133"/>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294" w:lineRule="exact"/>
        <w:rPr>
          <w:sz w:val="20"/>
          <w:szCs w:val="20"/>
          <w:color w:val="auto"/>
        </w:rPr>
      </w:pPr>
    </w:p>
    <w:p>
      <w:pPr>
        <w:jc w:val="center"/>
        <w:ind w:right="340"/>
        <w:spacing w:after="0"/>
        <w:rPr>
          <w:sz w:val="20"/>
          <w:szCs w:val="20"/>
          <w:color w:val="auto"/>
        </w:rPr>
      </w:pPr>
      <w:r>
        <w:rPr>
          <w:rFonts w:ascii="Arial" w:cs="Arial" w:eastAsia="Arial" w:hAnsi="Arial"/>
          <w:sz w:val="18"/>
          <w:szCs w:val="18"/>
          <w:i w:val="1"/>
          <w:iCs w:val="1"/>
          <w:color w:val="auto"/>
        </w:rPr>
        <w:t>/s/ Jean W. Marstiller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9" w:lineRule="exact"/>
        <w:rPr>
          <w:sz w:val="20"/>
          <w:szCs w:val="20"/>
          <w:color w:val="auto"/>
        </w:rPr>
      </w:pPr>
    </w:p>
    <w:p>
      <w:pPr>
        <w:jc w:val="center"/>
        <w:ind w:left="4560"/>
        <w:spacing w:after="0"/>
        <w:tabs>
          <w:tab w:leader="none" w:pos="260" w:val="left"/>
        </w:tabs>
        <w:rPr>
          <w:sz w:val="20"/>
          <w:szCs w:val="20"/>
          <w:color w:val="auto"/>
        </w:rPr>
      </w:pPr>
      <w:r>
        <w:rPr>
          <w:rFonts w:ascii="Arial" w:cs="Arial" w:eastAsia="Arial" w:hAnsi="Arial"/>
          <w:sz w:val="22"/>
          <w:szCs w:val="22"/>
          <w:color w:val="auto"/>
        </w:rPr>
        <w:t>By:</w:t>
        <w:tab/>
        <w:t>Jean W. Marstiller</w:t>
      </w:r>
    </w:p>
    <w:p>
      <w:pPr>
        <w:spacing w:after="0" w:line="2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8th of March, 2021:</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062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A.J. Kazimi</w:t>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March 8, 2021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Martin E. Cearnal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500" w:right="20" w:hanging="647"/>
        <w:spacing w:after="0" w:line="263" w:lineRule="auto"/>
        <w:tabs>
          <w:tab w:leader="none" w:pos="480" w:val="left"/>
        </w:tabs>
        <w:rPr>
          <w:sz w:val="20"/>
          <w:szCs w:val="20"/>
          <w:color w:val="auto"/>
        </w:rPr>
      </w:pPr>
      <w:r>
        <w:rPr>
          <w:rFonts w:ascii="Arial" w:cs="Arial" w:eastAsia="Arial" w:hAnsi="Arial"/>
          <w:sz w:val="22"/>
          <w:szCs w:val="22"/>
          <w:color w:val="auto"/>
        </w:rPr>
        <w:t>Re:</w:t>
        <w:tab/>
        <w:t>Employment of Martin E. Cearnal as Executive Vice President, Chief Commercial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Martin: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Effective January 1, 2021, this letter agreement (the “Agreement”) will evidence the terms and conditions under which you will be employed by Cumberland Pharmaceuticals Inc. (the “Company”) In consideration of your appointment as Executive Vice President, Chief Commercial Officer of the Company, and other good and valuable consideration, the receipt and sufficiency of which is hereby acknowledged, the parties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33" w:lineRule="exact"/>
        <w:rPr>
          <w:sz w:val="20"/>
          <w:szCs w:val="20"/>
          <w:color w:val="auto"/>
        </w:rPr>
      </w:pPr>
    </w:p>
    <w:p>
      <w:pPr>
        <w:jc w:val="both"/>
        <w:ind w:firstLine="8"/>
        <w:spacing w:after="0" w:line="247" w:lineRule="auto"/>
        <w:tabs>
          <w:tab w:leader="none" w:pos="294"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three hundred thirty-six thousand five hundred dollars ($336,500.00),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2021.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9" w:lineRule="exact"/>
        <w:rPr>
          <w:rFonts w:ascii="Arial" w:cs="Arial" w:eastAsia="Arial" w:hAnsi="Arial"/>
          <w:sz w:val="20"/>
          <w:szCs w:val="20"/>
          <w:color w:val="auto"/>
        </w:rPr>
      </w:pPr>
    </w:p>
    <w:p>
      <w:pPr>
        <w:jc w:val="both"/>
        <w:ind w:firstLine="8"/>
        <w:spacing w:after="0"/>
        <w:tabs>
          <w:tab w:leader="none" w:pos="306" w:val="left"/>
        </w:tabs>
        <w:numPr>
          <w:ilvl w:val="0"/>
          <w:numId w:val="61"/>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3" w:lineRule="exact"/>
        <w:rPr>
          <w:rFonts w:ascii="Arial" w:cs="Arial" w:eastAsia="Arial" w:hAnsi="Arial"/>
          <w:sz w:val="22"/>
          <w:szCs w:val="22"/>
          <w:color w:val="auto"/>
        </w:rPr>
      </w:pPr>
    </w:p>
    <w:p>
      <w:pPr>
        <w:jc w:val="both"/>
        <w:ind w:firstLine="8"/>
        <w:spacing w:after="0" w:line="252" w:lineRule="auto"/>
        <w:tabs>
          <w:tab w:leader="none" w:pos="294" w:val="left"/>
        </w:tabs>
        <w:numPr>
          <w:ilvl w:val="0"/>
          <w:numId w:val="61"/>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ectPr>
          <w:pgSz w:w="11900" w:h="16838" w:orient="portrait"/>
          <w:cols w:equalWidth="0" w:num="1">
            <w:col w:w="11240"/>
          </w:cols>
          <w:pgMar w:left="320" w:top="1427" w:right="339" w:bottom="1440" w:gutter="0" w:footer="0" w:header="0"/>
        </w:sectPr>
      </w:pPr>
    </w:p>
    <w:bookmarkStart w:id="135" w:name="page136"/>
    <w:bookmarkEnd w:id="135"/>
    <w:p>
      <w:pPr>
        <w:spacing w:after="0" w:line="217" w:lineRule="exact"/>
        <w:rPr>
          <w:sz w:val="20"/>
          <w:szCs w:val="20"/>
          <w:color w:val="auto"/>
        </w:rPr>
      </w:pPr>
    </w:p>
    <w:p>
      <w:pPr>
        <w:jc w:val="both"/>
        <w:ind w:left="-8" w:firstLine="8"/>
        <w:spacing w:after="0" w:line="252" w:lineRule="auto"/>
        <w:tabs>
          <w:tab w:leader="none" w:pos="298" w:val="left"/>
        </w:tabs>
        <w:numPr>
          <w:ilvl w:val="0"/>
          <w:numId w:val="62"/>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0" w:lineRule="exact"/>
        <w:rPr>
          <w:rFonts w:ascii="Arial" w:cs="Arial" w:eastAsia="Arial" w:hAnsi="Arial"/>
          <w:sz w:val="21"/>
          <w:szCs w:val="21"/>
          <w:color w:val="auto"/>
        </w:rPr>
      </w:pPr>
    </w:p>
    <w:p>
      <w:pPr>
        <w:spacing w:after="0" w:line="243" w:lineRule="exact"/>
        <w:rPr>
          <w:rFonts w:ascii="Arial" w:cs="Arial" w:eastAsia="Arial" w:hAnsi="Arial"/>
          <w:sz w:val="21"/>
          <w:szCs w:val="21"/>
          <w:color w:val="auto"/>
        </w:rPr>
      </w:pPr>
    </w:p>
    <w:p>
      <w:pPr>
        <w:ind w:left="-8" w:right="20" w:firstLine="8"/>
        <w:spacing w:after="0" w:line="250" w:lineRule="auto"/>
        <w:tabs>
          <w:tab w:leader="none" w:pos="286" w:val="left"/>
        </w:tabs>
        <w:numPr>
          <w:ilvl w:val="0"/>
          <w:numId w:val="62"/>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1" w:lineRule="exact"/>
        <w:rPr>
          <w:rFonts w:ascii="Arial" w:cs="Arial" w:eastAsia="Arial" w:hAnsi="Arial"/>
          <w:sz w:val="22"/>
          <w:szCs w:val="22"/>
          <w:color w:val="auto"/>
        </w:rPr>
      </w:pPr>
    </w:p>
    <w:p>
      <w:pPr>
        <w:jc w:val="both"/>
        <w:ind w:left="652" w:hanging="328"/>
        <w:spacing w:after="0" w:line="236" w:lineRule="auto"/>
        <w:tabs>
          <w:tab w:leader="none" w:pos="643"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4" w:lineRule="exact"/>
        <w:rPr>
          <w:sz w:val="20"/>
          <w:szCs w:val="20"/>
          <w:color w:val="auto"/>
        </w:rPr>
      </w:pPr>
    </w:p>
    <w:p>
      <w:pPr>
        <w:jc w:val="both"/>
        <w:ind w:left="-8" w:firstLine="8"/>
        <w:spacing w:after="0" w:line="252" w:lineRule="auto"/>
        <w:tabs>
          <w:tab w:leader="none" w:pos="208"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0" w:lineRule="exact"/>
        <w:rPr>
          <w:rFonts w:ascii="Arial" w:cs="Arial" w:eastAsia="Arial" w:hAnsi="Arial"/>
          <w:sz w:val="21"/>
          <w:szCs w:val="21"/>
          <w:color w:val="auto"/>
        </w:rPr>
      </w:pPr>
    </w:p>
    <w:p>
      <w:pPr>
        <w:jc w:val="both"/>
        <w:ind w:left="-8" w:firstLine="8"/>
        <w:spacing w:after="0" w:line="245" w:lineRule="auto"/>
        <w:tabs>
          <w:tab w:leader="none" w:pos="208"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11" w:lineRule="exact"/>
        <w:rPr>
          <w:rFonts w:ascii="Arial" w:cs="Arial" w:eastAsia="Arial" w:hAnsi="Arial"/>
          <w:sz w:val="21"/>
          <w:szCs w:val="21"/>
          <w:color w:val="auto"/>
        </w:rPr>
      </w:pPr>
    </w:p>
    <w:p>
      <w:pPr>
        <w:jc w:val="both"/>
        <w:ind w:left="-8" w:firstLine="8"/>
        <w:spacing w:after="0" w:line="277" w:lineRule="auto"/>
        <w:tabs>
          <w:tab w:leader="none" w:pos="22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Discoveries and Improvements</w:t>
      </w:r>
      <w:r>
        <w:rPr>
          <w:rFonts w:ascii="Arial" w:cs="Arial" w:eastAsia="Arial" w:hAnsi="Arial"/>
          <w:sz w:val="19"/>
          <w:szCs w:val="19"/>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w:t>
      </w:r>
    </w:p>
    <w:p>
      <w:pPr>
        <w:sectPr>
          <w:pgSz w:w="11900" w:h="16838" w:orient="portrait"/>
          <w:cols w:equalWidth="0" w:num="1">
            <w:col w:w="11232"/>
          </w:cols>
          <w:pgMar w:left="328" w:top="1440" w:right="339" w:bottom="1440" w:gutter="0" w:footer="0" w:header="0"/>
        </w:sectPr>
      </w:pPr>
    </w:p>
    <w:bookmarkStart w:id="136" w:name="page137"/>
    <w:bookmarkEnd w:id="136"/>
    <w:p>
      <w:pPr>
        <w:jc w:val="both"/>
        <w:spacing w:after="0" w:line="235" w:lineRule="auto"/>
        <w:rPr>
          <w:sz w:val="20"/>
          <w:szCs w:val="20"/>
          <w:color w:val="auto"/>
        </w:rPr>
      </w:pPr>
      <w:r>
        <w:rPr>
          <w:rFonts w:ascii="Arial" w:cs="Arial" w:eastAsia="Arial" w:hAnsi="Arial"/>
          <w:sz w:val="22"/>
          <w:szCs w:val="22"/>
          <w:color w:val="auto"/>
        </w:rPr>
        <w:t>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215" w:lineRule="exact"/>
        <w:rPr>
          <w:sz w:val="20"/>
          <w:szCs w:val="20"/>
          <w:color w:val="auto"/>
        </w:rPr>
      </w:pPr>
    </w:p>
    <w:p>
      <w:pPr>
        <w:jc w:val="both"/>
        <w:ind w:firstLine="8"/>
        <w:spacing w:after="0" w:line="282" w:lineRule="auto"/>
        <w:tabs>
          <w:tab w:leader="none" w:pos="22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4" w:lineRule="exact"/>
        <w:rPr>
          <w:rFonts w:ascii="Arial" w:cs="Arial" w:eastAsia="Arial" w:hAnsi="Arial"/>
          <w:sz w:val="19"/>
          <w:szCs w:val="19"/>
          <w:color w:val="auto"/>
        </w:rPr>
      </w:pPr>
    </w:p>
    <w:p>
      <w:pPr>
        <w:jc w:val="both"/>
        <w:ind w:firstLine="8"/>
        <w:spacing w:after="0" w:line="238" w:lineRule="auto"/>
        <w:tabs>
          <w:tab w:leader="none" w:pos="21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1" w:lineRule="exact"/>
        <w:rPr>
          <w:rFonts w:ascii="Arial" w:cs="Arial" w:eastAsia="Arial" w:hAnsi="Arial"/>
          <w:sz w:val="22"/>
          <w:szCs w:val="22"/>
          <w:color w:val="auto"/>
        </w:rPr>
      </w:pPr>
    </w:p>
    <w:p>
      <w:pPr>
        <w:jc w:val="both"/>
        <w:ind w:firstLine="8"/>
        <w:spacing w:after="0" w:line="270" w:lineRule="auto"/>
        <w:tabs>
          <w:tab w:leader="none" w:pos="21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w:t>
      </w:r>
    </w:p>
    <w:p>
      <w:pPr>
        <w:sectPr>
          <w:pgSz w:w="11900" w:h="16838" w:orient="portrait"/>
          <w:cols w:equalWidth="0" w:num="1">
            <w:col w:w="11240"/>
          </w:cols>
          <w:pgMar w:left="320" w:top="1414"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mean the Company and any entity controlling, controlled by, or under common control with the Company.</w:t>
      </w:r>
    </w:p>
    <w:p>
      <w:pPr>
        <w:spacing w:after="0" w:line="233" w:lineRule="exact"/>
        <w:rPr>
          <w:sz w:val="20"/>
          <w:szCs w:val="20"/>
          <w:color w:val="auto"/>
        </w:rPr>
      </w:pPr>
    </w:p>
    <w:p>
      <w:pPr>
        <w:jc w:val="both"/>
        <w:ind w:firstLine="8"/>
        <w:spacing w:after="0" w:line="287" w:lineRule="auto"/>
        <w:tabs>
          <w:tab w:leader="none" w:pos="22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40" w:hanging="332"/>
        <w:spacing w:after="0"/>
        <w:tabs>
          <w:tab w:leader="none" w:pos="3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33" w:lineRule="exact"/>
        <w:rPr>
          <w:sz w:val="20"/>
          <w:szCs w:val="20"/>
          <w:color w:val="auto"/>
        </w:rPr>
      </w:pPr>
    </w:p>
    <w:p>
      <w:pPr>
        <w:jc w:val="both"/>
        <w:ind w:firstLine="8"/>
        <w:spacing w:after="0" w:line="279" w:lineRule="auto"/>
        <w:tabs>
          <w:tab w:leader="none" w:pos="307" w:val="left"/>
        </w:tabs>
        <w:numPr>
          <w:ilvl w:val="0"/>
          <w:numId w:val="66"/>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7" w:lineRule="exact"/>
        <w:rPr>
          <w:rFonts w:ascii="Arial" w:cs="Arial" w:eastAsia="Arial" w:hAnsi="Arial"/>
          <w:sz w:val="19"/>
          <w:szCs w:val="19"/>
          <w:color w:val="auto"/>
        </w:rPr>
      </w:pPr>
    </w:p>
    <w:p>
      <w:pPr>
        <w:ind w:right="20" w:firstLine="8"/>
        <w:spacing w:after="0" w:line="250" w:lineRule="auto"/>
        <w:tabs>
          <w:tab w:leader="none" w:pos="319" w:val="left"/>
        </w:tabs>
        <w:numPr>
          <w:ilvl w:val="0"/>
          <w:numId w:val="66"/>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38" w:lineRule="auto"/>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11" w:lineRule="exact"/>
        <w:rPr>
          <w:rFonts w:ascii="Arial" w:cs="Arial" w:eastAsia="Arial" w:hAnsi="Arial"/>
          <w:sz w:val="22"/>
          <w:szCs w:val="22"/>
          <w:color w:val="auto"/>
        </w:rPr>
      </w:pPr>
    </w:p>
    <w:p>
      <w:pPr>
        <w:jc w:val="both"/>
        <w:ind w:firstLine="8"/>
        <w:spacing w:after="0" w:line="234" w:lineRule="auto"/>
        <w:tabs>
          <w:tab w:leader="none" w:pos="337"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17" w:lineRule="exact"/>
        <w:rPr>
          <w:rFonts w:ascii="Arial" w:cs="Arial" w:eastAsia="Arial" w:hAnsi="Arial"/>
          <w:sz w:val="22"/>
          <w:szCs w:val="22"/>
          <w:color w:val="auto"/>
        </w:rPr>
      </w:pPr>
    </w:p>
    <w:p>
      <w:pPr>
        <w:jc w:val="both"/>
        <w:ind w:firstLine="8"/>
        <w:spacing w:after="0" w:line="236" w:lineRule="auto"/>
        <w:tabs>
          <w:tab w:leader="none" w:pos="32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Best Efforts and Conflicts of Interest</w:t>
      </w:r>
      <w:r>
        <w:rPr>
          <w:rFonts w:ascii="Arial" w:cs="Arial" w:eastAsia="Arial" w:hAnsi="Arial"/>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w:t>
      </w:r>
    </w:p>
    <w:p>
      <w:pPr>
        <w:sectPr>
          <w:pgSz w:w="11900" w:h="16838" w:orient="portrait"/>
          <w:cols w:equalWidth="0" w:num="1">
            <w:col w:w="11240"/>
          </w:cols>
          <w:pgMar w:left="320" w:top="1414" w:right="339" w:bottom="1440" w:gutter="0" w:footer="0" w:header="0"/>
        </w:sectPr>
      </w:pPr>
    </w:p>
    <w:bookmarkStart w:id="138" w:name="page139"/>
    <w:bookmarkEnd w:id="138"/>
    <w:p>
      <w:pPr>
        <w:jc w:val="both"/>
        <w:spacing w:after="0" w:line="252" w:lineRule="auto"/>
        <w:rPr>
          <w:sz w:val="20"/>
          <w:szCs w:val="20"/>
          <w:color w:val="auto"/>
        </w:rPr>
      </w:pPr>
      <w:r>
        <w:rPr>
          <w:rFonts w:ascii="Arial" w:cs="Arial" w:eastAsia="Arial" w:hAnsi="Arial"/>
          <w:sz w:val="21"/>
          <w:szCs w:val="21"/>
          <w:color w:val="auto"/>
        </w:rPr>
        <w:t>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00" w:lineRule="exact"/>
        <w:rPr>
          <w:sz w:val="20"/>
          <w:szCs w:val="20"/>
          <w:color w:val="auto"/>
        </w:rPr>
      </w:pPr>
    </w:p>
    <w:p>
      <w:pPr>
        <w:spacing w:after="0" w:line="244" w:lineRule="exact"/>
        <w:rPr>
          <w:sz w:val="20"/>
          <w:szCs w:val="20"/>
          <w:color w:val="auto"/>
        </w:rPr>
      </w:pPr>
    </w:p>
    <w:p>
      <w:pPr>
        <w:jc w:val="both"/>
        <w:ind w:firstLine="8"/>
        <w:spacing w:after="0" w:line="297" w:lineRule="auto"/>
        <w:tabs>
          <w:tab w:leader="none" w:pos="33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pacing w:after="0" w:line="160" w:lineRule="exact"/>
        <w:rPr>
          <w:rFonts w:ascii="Arial" w:cs="Arial" w:eastAsia="Arial" w:hAnsi="Arial"/>
          <w:sz w:val="19"/>
          <w:szCs w:val="19"/>
          <w:color w:val="auto"/>
        </w:rPr>
      </w:pPr>
    </w:p>
    <w:p>
      <w:pPr>
        <w:ind w:firstLine="8"/>
        <w:spacing w:after="0" w:line="274" w:lineRule="auto"/>
        <w:tabs>
          <w:tab w:leader="none" w:pos="324"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Arial" w:cs="Arial" w:eastAsia="Arial" w:hAnsi="Arial"/>
          <w:sz w:val="21"/>
          <w:szCs w:val="21"/>
          <w:color w:val="auto"/>
        </w:rPr>
      </w:pPr>
    </w:p>
    <w:p>
      <w:pPr>
        <w:ind w:firstLine="8"/>
        <w:spacing w:after="0" w:line="274" w:lineRule="auto"/>
        <w:tabs>
          <w:tab w:leader="none" w:pos="337"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tabs>
          <w:tab w:leader="none" w:pos="32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3" w:lineRule="exact"/>
        <w:rPr>
          <w:rFonts w:ascii="Arial" w:cs="Arial" w:eastAsia="Arial" w:hAnsi="Arial"/>
          <w:sz w:val="22"/>
          <w:szCs w:val="22"/>
          <w:color w:val="auto"/>
        </w:rPr>
      </w:pPr>
    </w:p>
    <w:p>
      <w:pPr>
        <w:jc w:val="both"/>
        <w:ind w:firstLine="8"/>
        <w:spacing w:after="0"/>
        <w:tabs>
          <w:tab w:leader="none" w:pos="35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3" w:lineRule="exact"/>
        <w:rPr>
          <w:rFonts w:ascii="Arial" w:cs="Arial" w:eastAsia="Arial" w:hAnsi="Arial"/>
          <w:sz w:val="22"/>
          <w:szCs w:val="22"/>
          <w:color w:val="auto"/>
        </w:rPr>
      </w:pPr>
    </w:p>
    <w:p>
      <w:pPr>
        <w:jc w:val="both"/>
        <w:ind w:firstLine="8"/>
        <w:spacing w:after="0"/>
        <w:tabs>
          <w:tab w:leader="none" w:pos="32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3" w:lineRule="exact"/>
        <w:rPr>
          <w:rFonts w:ascii="Arial" w:cs="Arial" w:eastAsia="Arial" w:hAnsi="Arial"/>
          <w:sz w:val="22"/>
          <w:szCs w:val="22"/>
          <w:color w:val="auto"/>
        </w:rPr>
      </w:pPr>
    </w:p>
    <w:p>
      <w:pPr>
        <w:ind w:firstLine="8"/>
        <w:spacing w:after="0" w:line="250" w:lineRule="auto"/>
        <w:tabs>
          <w:tab w:leader="none" w:pos="36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7" w:lineRule="exact"/>
        <w:rPr>
          <w:rFonts w:ascii="Arial" w:cs="Arial" w:eastAsia="Arial" w:hAnsi="Arial"/>
          <w:sz w:val="22"/>
          <w:szCs w:val="22"/>
          <w:color w:val="auto"/>
        </w:rPr>
      </w:pPr>
    </w:p>
    <w:p>
      <w:pPr>
        <w:ind w:left="5480" w:hanging="153"/>
        <w:spacing w:after="0"/>
        <w:tabs>
          <w:tab w:leader="none" w:pos="54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14" w:right="339" w:bottom="1440" w:gutter="0" w:footer="0" w:header="0"/>
        </w:sectPr>
      </w:pPr>
    </w:p>
    <w:bookmarkStart w:id="139" w:name="page140"/>
    <w:bookmarkEnd w:id="139"/>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29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9" w:lineRule="exact"/>
        <w:rPr>
          <w:sz w:val="20"/>
          <w:szCs w:val="20"/>
          <w:color w:val="auto"/>
        </w:rPr>
      </w:pPr>
    </w:p>
    <w:p>
      <w:pPr>
        <w:jc w:val="center"/>
        <w:ind w:left="4100"/>
        <w:spacing w:after="0"/>
        <w:tabs>
          <w:tab w:leader="none" w:pos="240" w:val="left"/>
        </w:tabs>
        <w:rPr>
          <w:sz w:val="20"/>
          <w:szCs w:val="20"/>
          <w:color w:val="auto"/>
        </w:rPr>
      </w:pPr>
      <w:r>
        <w:rPr>
          <w:rFonts w:ascii="Arial" w:cs="Arial" w:eastAsia="Arial" w:hAnsi="Arial"/>
          <w:sz w:val="22"/>
          <w:szCs w:val="22"/>
          <w:color w:val="auto"/>
        </w:rPr>
        <w:t>By:</w:t>
        <w:tab/>
        <w:t>A.J. Kazimi</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8th of March, 2021:</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Martin E. Cearnal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062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Martin E. Cearnal</w:t>
      </w:r>
    </w:p>
    <w:p>
      <w:pPr>
        <w:sectPr>
          <w:pgSz w:w="11900" w:h="16838" w:orient="portrait"/>
          <w:cols w:equalWidth="0" w:num="1">
            <w:col w:w="11240"/>
          </w:cols>
          <w:pgMar w:left="320" w:top="144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March 8, 2021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Leo Pavliv</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Employment of Leo Pavliv as Executive Vice President, Operations and Chief Development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Leo,</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Effective January 1, 2021, this letter agreement (the “Agreement”) will evidence the terms and conditions under which you will be employed by Cumberland Pharmaceuticals Inc. (the “Company”) In consideration of your appointment as Executive Vice President, Chief Development &amp; Operations Officer of the Company, and other good and valuable consideration, the receipt and sufficiency of which is hereby acknowledged, the parties agree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33" w:lineRule="exact"/>
        <w:rPr>
          <w:sz w:val="20"/>
          <w:szCs w:val="20"/>
          <w:color w:val="auto"/>
        </w:rPr>
      </w:pPr>
    </w:p>
    <w:p>
      <w:pPr>
        <w:jc w:val="both"/>
        <w:ind w:firstLine="8"/>
        <w:spacing w:after="0" w:line="247" w:lineRule="auto"/>
        <w:tabs>
          <w:tab w:leader="none" w:pos="294"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four hundred thirty-seven thousand five hundred dollars ($437,500.00),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2021.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9" w:lineRule="exact"/>
        <w:rPr>
          <w:rFonts w:ascii="Arial" w:cs="Arial" w:eastAsia="Arial" w:hAnsi="Arial"/>
          <w:sz w:val="20"/>
          <w:szCs w:val="20"/>
          <w:color w:val="auto"/>
        </w:rPr>
      </w:pPr>
    </w:p>
    <w:p>
      <w:pPr>
        <w:jc w:val="both"/>
        <w:ind w:firstLine="8"/>
        <w:spacing w:after="0"/>
        <w:tabs>
          <w:tab w:leader="none" w:pos="306" w:val="left"/>
        </w:tabs>
        <w:numPr>
          <w:ilvl w:val="0"/>
          <w:numId w:val="70"/>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3" w:lineRule="exact"/>
        <w:rPr>
          <w:rFonts w:ascii="Arial" w:cs="Arial" w:eastAsia="Arial" w:hAnsi="Arial"/>
          <w:sz w:val="22"/>
          <w:szCs w:val="22"/>
          <w:color w:val="auto"/>
        </w:rPr>
      </w:pPr>
    </w:p>
    <w:p>
      <w:pPr>
        <w:jc w:val="both"/>
        <w:ind w:firstLine="8"/>
        <w:spacing w:after="0"/>
        <w:tabs>
          <w:tab w:leader="none" w:pos="294" w:val="left"/>
        </w:tabs>
        <w:numPr>
          <w:ilvl w:val="0"/>
          <w:numId w:val="70"/>
        </w:numPr>
        <w:rPr>
          <w:rFonts w:ascii="Arial" w:cs="Arial" w:eastAsia="Arial" w:hAnsi="Arial"/>
          <w:sz w:val="22"/>
          <w:szCs w:val="22"/>
          <w:color w:val="auto"/>
        </w:rPr>
      </w:pPr>
      <w:r>
        <w:rPr>
          <w:rFonts w:ascii="Arial" w:cs="Arial" w:eastAsia="Arial" w:hAnsi="Arial"/>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w:t>
      </w:r>
    </w:p>
    <w:p>
      <w:pPr>
        <w:sectPr>
          <w:pgSz w:w="11900" w:h="16838" w:orient="portrait"/>
          <w:cols w:equalWidth="0" w:num="1">
            <w:col w:w="11240"/>
          </w:cols>
          <w:pgMar w:left="320" w:top="1427" w:right="339" w:bottom="1440" w:gutter="0" w:footer="0" w:header="0"/>
        </w:sectPr>
      </w:pPr>
    </w:p>
    <w:bookmarkStart w:id="141" w:name="page142"/>
    <w:bookmarkEnd w:id="141"/>
    <w:p>
      <w:pPr>
        <w:spacing w:after="0" w:line="250" w:lineRule="auto"/>
        <w:rPr>
          <w:sz w:val="20"/>
          <w:szCs w:val="20"/>
          <w:color w:val="auto"/>
        </w:rPr>
      </w:pPr>
      <w:r>
        <w:rPr>
          <w:rFonts w:ascii="Arial" w:cs="Arial" w:eastAsia="Arial" w:hAnsi="Arial"/>
          <w:sz w:val="22"/>
          <w:szCs w:val="22"/>
          <w:color w:val="auto"/>
        </w:rPr>
        <w:t>and will be subject to the terms of the applicable bonus program, the terms of which program may be modified from year to year in the sole discretion of the Company’s Board of Directors.</w:t>
      </w:r>
    </w:p>
    <w:p>
      <w:pPr>
        <w:spacing w:after="0" w:line="202" w:lineRule="exact"/>
        <w:rPr>
          <w:sz w:val="20"/>
          <w:szCs w:val="20"/>
          <w:color w:val="auto"/>
        </w:rPr>
      </w:pPr>
    </w:p>
    <w:p>
      <w:pPr>
        <w:jc w:val="both"/>
        <w:ind w:firstLine="8"/>
        <w:spacing w:after="0" w:line="252" w:lineRule="auto"/>
        <w:tabs>
          <w:tab w:leader="none" w:pos="306" w:val="left"/>
        </w:tabs>
        <w:numPr>
          <w:ilvl w:val="0"/>
          <w:numId w:val="71"/>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0" w:lineRule="exact"/>
        <w:rPr>
          <w:rFonts w:ascii="Arial" w:cs="Arial" w:eastAsia="Arial" w:hAnsi="Arial"/>
          <w:sz w:val="21"/>
          <w:szCs w:val="21"/>
          <w:color w:val="auto"/>
        </w:rPr>
      </w:pPr>
    </w:p>
    <w:p>
      <w:pPr>
        <w:spacing w:after="0" w:line="243" w:lineRule="exact"/>
        <w:rPr>
          <w:rFonts w:ascii="Arial" w:cs="Arial" w:eastAsia="Arial" w:hAnsi="Arial"/>
          <w:sz w:val="21"/>
          <w:szCs w:val="21"/>
          <w:color w:val="auto"/>
        </w:rPr>
      </w:pPr>
    </w:p>
    <w:p>
      <w:pPr>
        <w:ind w:right="20" w:firstLine="8"/>
        <w:spacing w:after="0" w:line="250" w:lineRule="auto"/>
        <w:tabs>
          <w:tab w:leader="none" w:pos="294"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1" w:lineRule="exact"/>
        <w:rPr>
          <w:rFonts w:ascii="Arial" w:cs="Arial" w:eastAsia="Arial" w:hAnsi="Arial"/>
          <w:sz w:val="22"/>
          <w:szCs w:val="22"/>
          <w:color w:val="auto"/>
        </w:rPr>
      </w:pPr>
    </w:p>
    <w:p>
      <w:pPr>
        <w:jc w:val="both"/>
        <w:ind w:left="660" w:hanging="328"/>
        <w:spacing w:after="0" w:line="236" w:lineRule="auto"/>
        <w:tabs>
          <w:tab w:leader="none" w:pos="651"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4" w:lineRule="exact"/>
        <w:rPr>
          <w:sz w:val="20"/>
          <w:szCs w:val="20"/>
          <w:color w:val="auto"/>
        </w:rPr>
      </w:pPr>
    </w:p>
    <w:p>
      <w:pPr>
        <w:jc w:val="both"/>
        <w:ind w:firstLine="8"/>
        <w:spacing w:after="0" w:line="252" w:lineRule="auto"/>
        <w:tabs>
          <w:tab w:leader="none" w:pos="216"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0" w:lineRule="exact"/>
        <w:rPr>
          <w:rFonts w:ascii="Arial" w:cs="Arial" w:eastAsia="Arial" w:hAnsi="Arial"/>
          <w:sz w:val="21"/>
          <w:szCs w:val="21"/>
          <w:color w:val="auto"/>
        </w:rPr>
      </w:pPr>
    </w:p>
    <w:p>
      <w:pPr>
        <w:jc w:val="both"/>
        <w:ind w:firstLine="8"/>
        <w:spacing w:after="0" w:line="245" w:lineRule="auto"/>
        <w:tabs>
          <w:tab w:leader="none" w:pos="216"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11" w:lineRule="exact"/>
        <w:rPr>
          <w:rFonts w:ascii="Arial" w:cs="Arial" w:eastAsia="Arial" w:hAnsi="Arial"/>
          <w:sz w:val="21"/>
          <w:szCs w:val="21"/>
          <w:color w:val="auto"/>
        </w:rPr>
      </w:pPr>
    </w:p>
    <w:p>
      <w:pPr>
        <w:jc w:val="both"/>
        <w:ind w:firstLine="8"/>
        <w:spacing w:after="0" w:line="235" w:lineRule="auto"/>
        <w:tabs>
          <w:tab w:leader="none" w:pos="229"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Discoveries and Improvements</w:t>
      </w:r>
      <w:r>
        <w:rPr>
          <w:rFonts w:ascii="Arial" w:cs="Arial" w:eastAsia="Arial" w:hAnsi="Arial"/>
          <w:sz w:val="22"/>
          <w:szCs w:val="22"/>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w:t>
      </w:r>
    </w:p>
    <w:p>
      <w:pPr>
        <w:sectPr>
          <w:pgSz w:w="11900" w:h="16838" w:orient="portrait"/>
          <w:cols w:equalWidth="0" w:num="1">
            <w:col w:w="11240"/>
          </w:cols>
          <w:pgMar w:left="320" w:top="1414" w:right="339" w:bottom="1440" w:gutter="0" w:footer="0" w:header="0"/>
        </w:sectPr>
      </w:pPr>
    </w:p>
    <w:bookmarkStart w:id="142" w:name="page143"/>
    <w:bookmarkEnd w:id="142"/>
    <w:p>
      <w:pPr>
        <w:jc w:val="both"/>
        <w:spacing w:after="0" w:line="277" w:lineRule="auto"/>
        <w:rPr>
          <w:sz w:val="20"/>
          <w:szCs w:val="20"/>
          <w:color w:val="auto"/>
        </w:rPr>
      </w:pPr>
      <w:r>
        <w:rPr>
          <w:rFonts w:ascii="Arial" w:cs="Arial" w:eastAsia="Arial" w:hAnsi="Arial"/>
          <w:sz w:val="19"/>
          <w:szCs w:val="19"/>
          <w:color w:val="auto"/>
        </w:rPr>
        <w:t>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79" w:lineRule="exact"/>
        <w:rPr>
          <w:sz w:val="20"/>
          <w:szCs w:val="20"/>
          <w:color w:val="auto"/>
        </w:rPr>
      </w:pPr>
    </w:p>
    <w:p>
      <w:pPr>
        <w:jc w:val="both"/>
        <w:ind w:firstLine="8"/>
        <w:spacing w:after="0" w:line="282" w:lineRule="auto"/>
        <w:tabs>
          <w:tab w:leader="none" w:pos="229"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4" w:lineRule="exact"/>
        <w:rPr>
          <w:rFonts w:ascii="Arial" w:cs="Arial" w:eastAsia="Arial" w:hAnsi="Arial"/>
          <w:sz w:val="19"/>
          <w:szCs w:val="19"/>
          <w:color w:val="auto"/>
        </w:rPr>
      </w:pPr>
    </w:p>
    <w:p>
      <w:pPr>
        <w:jc w:val="both"/>
        <w:ind w:firstLine="8"/>
        <w:spacing w:after="0" w:line="238" w:lineRule="auto"/>
        <w:tabs>
          <w:tab w:leader="none" w:pos="21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1" w:lineRule="exact"/>
        <w:rPr>
          <w:rFonts w:ascii="Arial" w:cs="Arial" w:eastAsia="Arial" w:hAnsi="Arial"/>
          <w:sz w:val="22"/>
          <w:szCs w:val="22"/>
          <w:color w:val="auto"/>
        </w:rPr>
      </w:pPr>
    </w:p>
    <w:p>
      <w:pPr>
        <w:jc w:val="both"/>
        <w:ind w:firstLine="8"/>
        <w:spacing w:after="0" w:line="271" w:lineRule="auto"/>
        <w:tabs>
          <w:tab w:leader="none" w:pos="21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w:t>
      </w:r>
    </w:p>
    <w:p>
      <w:pPr>
        <w:sectPr>
          <w:pgSz w:w="11900" w:h="16838" w:orient="portrait"/>
          <w:cols w:equalWidth="0" w:num="1">
            <w:col w:w="11240"/>
          </w:cols>
          <w:pgMar w:left="320" w:top="1414" w:right="339" w:bottom="1440" w:gutter="0" w:footer="0" w:header="0"/>
        </w:sectPr>
      </w:pPr>
    </w:p>
    <w:bookmarkStart w:id="143" w:name="page144"/>
    <w:bookmarkEnd w:id="143"/>
    <w:p>
      <w:pPr>
        <w:jc w:val="both"/>
        <w:spacing w:after="0"/>
        <w:rPr>
          <w:sz w:val="20"/>
          <w:szCs w:val="20"/>
          <w:color w:val="auto"/>
        </w:rPr>
      </w:pPr>
      <w:r>
        <w:rPr>
          <w:rFonts w:ascii="Arial" w:cs="Arial" w:eastAsia="Arial" w:hAnsi="Arial"/>
          <w:sz w:val="22"/>
          <w:szCs w:val="22"/>
          <w:color w:val="auto"/>
        </w:rPr>
        <w:t>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13" w:lineRule="exact"/>
        <w:rPr>
          <w:sz w:val="20"/>
          <w:szCs w:val="20"/>
          <w:color w:val="auto"/>
        </w:rPr>
      </w:pPr>
    </w:p>
    <w:p>
      <w:pPr>
        <w:jc w:val="both"/>
        <w:ind w:firstLine="8"/>
        <w:spacing w:after="0" w:line="287" w:lineRule="auto"/>
        <w:tabs>
          <w:tab w:leader="none" w:pos="229"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40" w:hanging="332"/>
        <w:spacing w:after="0"/>
        <w:tabs>
          <w:tab w:leader="none" w:pos="3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33" w:lineRule="exact"/>
        <w:rPr>
          <w:sz w:val="20"/>
          <w:szCs w:val="20"/>
          <w:color w:val="auto"/>
        </w:rPr>
      </w:pPr>
    </w:p>
    <w:p>
      <w:pPr>
        <w:jc w:val="both"/>
        <w:ind w:firstLine="8"/>
        <w:spacing w:after="0" w:line="279" w:lineRule="auto"/>
        <w:tabs>
          <w:tab w:leader="none" w:pos="307" w:val="left"/>
        </w:tabs>
        <w:numPr>
          <w:ilvl w:val="0"/>
          <w:numId w:val="75"/>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7" w:lineRule="exact"/>
        <w:rPr>
          <w:rFonts w:ascii="Arial" w:cs="Arial" w:eastAsia="Arial" w:hAnsi="Arial"/>
          <w:sz w:val="19"/>
          <w:szCs w:val="19"/>
          <w:color w:val="auto"/>
        </w:rPr>
      </w:pPr>
    </w:p>
    <w:p>
      <w:pPr>
        <w:ind w:right="20" w:firstLine="8"/>
        <w:spacing w:after="0" w:line="250" w:lineRule="auto"/>
        <w:tabs>
          <w:tab w:leader="none" w:pos="319" w:val="left"/>
        </w:tabs>
        <w:numPr>
          <w:ilvl w:val="0"/>
          <w:numId w:val="75"/>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38" w:lineRule="auto"/>
        <w:tabs>
          <w:tab w:leader="none" w:pos="31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11" w:lineRule="exact"/>
        <w:rPr>
          <w:rFonts w:ascii="Arial" w:cs="Arial" w:eastAsia="Arial" w:hAnsi="Arial"/>
          <w:sz w:val="22"/>
          <w:szCs w:val="22"/>
          <w:color w:val="auto"/>
        </w:rPr>
      </w:pPr>
    </w:p>
    <w:p>
      <w:pPr>
        <w:jc w:val="both"/>
        <w:ind w:firstLine="8"/>
        <w:spacing w:after="0" w:line="234" w:lineRule="auto"/>
        <w:tabs>
          <w:tab w:leader="none" w:pos="33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17" w:lineRule="exact"/>
        <w:rPr>
          <w:rFonts w:ascii="Arial" w:cs="Arial" w:eastAsia="Arial" w:hAnsi="Arial"/>
          <w:sz w:val="22"/>
          <w:szCs w:val="22"/>
          <w:color w:val="auto"/>
        </w:rPr>
      </w:pPr>
    </w:p>
    <w:p>
      <w:pPr>
        <w:jc w:val="both"/>
        <w:ind w:firstLine="8"/>
        <w:spacing w:after="0" w:line="257" w:lineRule="auto"/>
        <w:tabs>
          <w:tab w:leader="none" w:pos="324"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Best Efforts and Conflicts of Interest</w:t>
      </w:r>
      <w:r>
        <w:rPr>
          <w:rFonts w:ascii="Arial" w:cs="Arial" w:eastAsia="Arial" w:hAnsi="Arial"/>
          <w:sz w:val="21"/>
          <w:szCs w:val="21"/>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w:t>
      </w:r>
    </w:p>
    <w:p>
      <w:pPr>
        <w:sectPr>
          <w:pgSz w:w="11900" w:h="16838" w:orient="portrait"/>
          <w:cols w:equalWidth="0" w:num="1">
            <w:col w:w="11240"/>
          </w:cols>
          <w:pgMar w:left="320" w:top="1414" w:right="339" w:bottom="1440" w:gutter="0" w:footer="0" w:header="0"/>
        </w:sectPr>
      </w:pPr>
    </w:p>
    <w:bookmarkStart w:id="144" w:name="page145"/>
    <w:bookmarkEnd w:id="144"/>
    <w:p>
      <w:pPr>
        <w:jc w:val="both"/>
        <w:spacing w:after="0" w:line="235" w:lineRule="auto"/>
        <w:rPr>
          <w:sz w:val="20"/>
          <w:szCs w:val="20"/>
          <w:color w:val="auto"/>
        </w:rPr>
      </w:pPr>
      <w:r>
        <w:rPr>
          <w:rFonts w:ascii="Arial" w:cs="Arial" w:eastAsia="Arial" w:hAnsi="Arial"/>
          <w:sz w:val="22"/>
          <w:szCs w:val="22"/>
          <w:color w:val="auto"/>
        </w:rPr>
        <w:t>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00" w:lineRule="exact"/>
        <w:rPr>
          <w:sz w:val="20"/>
          <w:szCs w:val="20"/>
          <w:color w:val="auto"/>
        </w:rPr>
      </w:pPr>
    </w:p>
    <w:p>
      <w:pPr>
        <w:spacing w:after="0" w:line="258" w:lineRule="exact"/>
        <w:rPr>
          <w:sz w:val="20"/>
          <w:szCs w:val="20"/>
          <w:color w:val="auto"/>
        </w:rPr>
      </w:pPr>
    </w:p>
    <w:p>
      <w:pPr>
        <w:jc w:val="both"/>
        <w:ind w:firstLine="8"/>
        <w:spacing w:after="0" w:line="297" w:lineRule="auto"/>
        <w:tabs>
          <w:tab w:leader="none" w:pos="33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pacing w:after="0" w:line="160" w:lineRule="exact"/>
        <w:rPr>
          <w:rFonts w:ascii="Arial" w:cs="Arial" w:eastAsia="Arial" w:hAnsi="Arial"/>
          <w:sz w:val="19"/>
          <w:szCs w:val="19"/>
          <w:color w:val="auto"/>
        </w:rPr>
      </w:pPr>
    </w:p>
    <w:p>
      <w:pPr>
        <w:ind w:firstLine="8"/>
        <w:spacing w:after="0" w:line="274" w:lineRule="auto"/>
        <w:tabs>
          <w:tab w:leader="none" w:pos="324"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Arial" w:cs="Arial" w:eastAsia="Arial" w:hAnsi="Arial"/>
          <w:sz w:val="21"/>
          <w:szCs w:val="21"/>
          <w:color w:val="auto"/>
        </w:rPr>
      </w:pPr>
    </w:p>
    <w:p>
      <w:pPr>
        <w:ind w:firstLine="8"/>
        <w:spacing w:after="0" w:line="274" w:lineRule="auto"/>
        <w:tabs>
          <w:tab w:leader="none" w:pos="337"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tabs>
          <w:tab w:leader="none" w:pos="32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3" w:lineRule="exact"/>
        <w:rPr>
          <w:rFonts w:ascii="Arial" w:cs="Arial" w:eastAsia="Arial" w:hAnsi="Arial"/>
          <w:sz w:val="22"/>
          <w:szCs w:val="22"/>
          <w:color w:val="auto"/>
        </w:rPr>
      </w:pPr>
    </w:p>
    <w:p>
      <w:pPr>
        <w:jc w:val="both"/>
        <w:ind w:firstLine="8"/>
        <w:spacing w:after="0"/>
        <w:tabs>
          <w:tab w:leader="none" w:pos="351"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3" w:lineRule="exact"/>
        <w:rPr>
          <w:rFonts w:ascii="Arial" w:cs="Arial" w:eastAsia="Arial" w:hAnsi="Arial"/>
          <w:sz w:val="22"/>
          <w:szCs w:val="22"/>
          <w:color w:val="auto"/>
        </w:rPr>
      </w:pPr>
    </w:p>
    <w:p>
      <w:pPr>
        <w:jc w:val="both"/>
        <w:ind w:firstLine="8"/>
        <w:spacing w:after="0"/>
        <w:tabs>
          <w:tab w:leader="none" w:pos="32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3" w:lineRule="exact"/>
        <w:rPr>
          <w:rFonts w:ascii="Arial" w:cs="Arial" w:eastAsia="Arial" w:hAnsi="Arial"/>
          <w:sz w:val="22"/>
          <w:szCs w:val="22"/>
          <w:color w:val="auto"/>
        </w:rPr>
      </w:pPr>
    </w:p>
    <w:p>
      <w:pPr>
        <w:ind w:firstLine="8"/>
        <w:spacing w:after="0" w:line="250" w:lineRule="auto"/>
        <w:tabs>
          <w:tab w:leader="none" w:pos="36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4" w:lineRule="exact"/>
        <w:rPr>
          <w:rFonts w:ascii="Arial" w:cs="Arial" w:eastAsia="Arial" w:hAnsi="Arial"/>
          <w:sz w:val="22"/>
          <w:szCs w:val="22"/>
          <w:color w:val="auto"/>
        </w:rPr>
      </w:pPr>
    </w:p>
    <w:p>
      <w:pPr>
        <w:ind w:left="5480" w:hanging="153"/>
        <w:spacing w:after="0"/>
        <w:tabs>
          <w:tab w:leader="none" w:pos="54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14" w:right="339" w:bottom="1440" w:gutter="0" w:footer="0" w:header="0"/>
        </w:sectPr>
      </w:pPr>
    </w:p>
    <w:bookmarkStart w:id="145" w:name="page146"/>
    <w:bookmarkEnd w:id="145"/>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29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9" w:lineRule="exact"/>
        <w:rPr>
          <w:sz w:val="20"/>
          <w:szCs w:val="20"/>
          <w:color w:val="auto"/>
        </w:rPr>
      </w:pPr>
    </w:p>
    <w:p>
      <w:pPr>
        <w:jc w:val="center"/>
        <w:ind w:left="4100"/>
        <w:spacing w:after="0"/>
        <w:tabs>
          <w:tab w:leader="none" w:pos="240" w:val="left"/>
        </w:tabs>
        <w:rPr>
          <w:sz w:val="20"/>
          <w:szCs w:val="20"/>
          <w:color w:val="auto"/>
        </w:rPr>
      </w:pPr>
      <w:r>
        <w:rPr>
          <w:rFonts w:ascii="Arial" w:cs="Arial" w:eastAsia="Arial" w:hAnsi="Arial"/>
          <w:sz w:val="22"/>
          <w:szCs w:val="22"/>
          <w:color w:val="auto"/>
        </w:rPr>
        <w:t>By:</w:t>
        <w:tab/>
        <w:t>A.J. Kazimi</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8th of March, 2021:</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Leo Pavliv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062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Leo Pavliv</w:t>
      </w:r>
    </w:p>
    <w:p>
      <w:pPr>
        <w:sectPr>
          <w:pgSz w:w="11900" w:h="16838" w:orient="portrait"/>
          <w:cols w:equalWidth="0" w:num="1">
            <w:col w:w="11240"/>
          </w:cols>
          <w:pgMar w:left="320" w:top="1440"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March 8, 2021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Michael Bonner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640" w:right="20" w:hanging="647"/>
        <w:spacing w:after="0" w:line="263" w:lineRule="auto"/>
        <w:tabs>
          <w:tab w:leader="none" w:pos="6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Employment of Michael Bonner as Senior Director, Finance &amp; Accounting; Chief Financial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Michael:</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Effective January 1, 2021, this letter agreement (the “Agreement”) will evidence the terms and conditions under which you will be employed by Cumberland Pharmaceuticals Inc. (the “Company”) In consideration of your appointment as Executive Director, Finance &amp; Accounting; Chief Financial Officer of the Company, and other good and valuable consideration, the receipt and sufficiency of which is hereby acknowledged, the parties agree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33" w:lineRule="exact"/>
        <w:rPr>
          <w:sz w:val="20"/>
          <w:szCs w:val="20"/>
          <w:color w:val="auto"/>
        </w:rPr>
      </w:pPr>
    </w:p>
    <w:p>
      <w:pPr>
        <w:jc w:val="both"/>
        <w:ind w:firstLine="8"/>
        <w:spacing w:after="0" w:line="247" w:lineRule="auto"/>
        <w:tabs>
          <w:tab w:leader="none" w:pos="307"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two hundred twenty thousand dollars ($220,000.00),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2021.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9" w:lineRule="exact"/>
        <w:rPr>
          <w:rFonts w:ascii="Arial" w:cs="Arial" w:eastAsia="Arial" w:hAnsi="Arial"/>
          <w:sz w:val="20"/>
          <w:szCs w:val="20"/>
          <w:color w:val="auto"/>
        </w:rPr>
      </w:pPr>
    </w:p>
    <w:p>
      <w:pPr>
        <w:jc w:val="both"/>
        <w:ind w:firstLine="8"/>
        <w:spacing w:after="0"/>
        <w:tabs>
          <w:tab w:leader="none" w:pos="306" w:val="left"/>
        </w:tabs>
        <w:numPr>
          <w:ilvl w:val="0"/>
          <w:numId w:val="79"/>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3" w:lineRule="exact"/>
        <w:rPr>
          <w:rFonts w:ascii="Arial" w:cs="Arial" w:eastAsia="Arial" w:hAnsi="Arial"/>
          <w:sz w:val="22"/>
          <w:szCs w:val="22"/>
          <w:color w:val="auto"/>
        </w:rPr>
      </w:pPr>
    </w:p>
    <w:p>
      <w:pPr>
        <w:jc w:val="both"/>
        <w:ind w:firstLine="8"/>
        <w:spacing w:after="0" w:line="252" w:lineRule="auto"/>
        <w:tabs>
          <w:tab w:leader="none" w:pos="294" w:val="left"/>
        </w:tabs>
        <w:numPr>
          <w:ilvl w:val="0"/>
          <w:numId w:val="79"/>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ectPr>
          <w:pgSz w:w="11900" w:h="16838" w:orient="portrait"/>
          <w:cols w:equalWidth="0" w:num="1">
            <w:col w:w="11240"/>
          </w:cols>
          <w:pgMar w:left="320" w:top="1427" w:right="339" w:bottom="1440" w:gutter="0" w:footer="0" w:header="0"/>
        </w:sectPr>
      </w:pPr>
    </w:p>
    <w:bookmarkStart w:id="147" w:name="page148"/>
    <w:bookmarkEnd w:id="147"/>
    <w:p>
      <w:pPr>
        <w:jc w:val="both"/>
        <w:ind w:left="-8" w:firstLine="8"/>
        <w:spacing w:after="0" w:line="252" w:lineRule="auto"/>
        <w:tabs>
          <w:tab w:leader="none" w:pos="298" w:val="left"/>
        </w:tabs>
        <w:numPr>
          <w:ilvl w:val="0"/>
          <w:numId w:val="80"/>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0" w:lineRule="exact"/>
        <w:rPr>
          <w:rFonts w:ascii="Arial" w:cs="Arial" w:eastAsia="Arial" w:hAnsi="Arial"/>
          <w:sz w:val="21"/>
          <w:szCs w:val="21"/>
          <w:color w:val="auto"/>
        </w:rPr>
      </w:pPr>
    </w:p>
    <w:p>
      <w:pPr>
        <w:spacing w:after="0" w:line="243" w:lineRule="exact"/>
        <w:rPr>
          <w:rFonts w:ascii="Arial" w:cs="Arial" w:eastAsia="Arial" w:hAnsi="Arial"/>
          <w:sz w:val="21"/>
          <w:szCs w:val="21"/>
          <w:color w:val="auto"/>
        </w:rPr>
      </w:pPr>
    </w:p>
    <w:p>
      <w:pPr>
        <w:ind w:left="-8" w:right="20" w:firstLine="8"/>
        <w:spacing w:after="0" w:line="250" w:lineRule="auto"/>
        <w:tabs>
          <w:tab w:leader="none" w:pos="286" w:val="left"/>
        </w:tabs>
        <w:numPr>
          <w:ilvl w:val="0"/>
          <w:numId w:val="80"/>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1" w:lineRule="exact"/>
        <w:rPr>
          <w:rFonts w:ascii="Arial" w:cs="Arial" w:eastAsia="Arial" w:hAnsi="Arial"/>
          <w:sz w:val="22"/>
          <w:szCs w:val="22"/>
          <w:color w:val="auto"/>
        </w:rPr>
      </w:pPr>
    </w:p>
    <w:p>
      <w:pPr>
        <w:jc w:val="both"/>
        <w:ind w:left="652" w:hanging="328"/>
        <w:spacing w:after="0" w:line="236" w:lineRule="auto"/>
        <w:tabs>
          <w:tab w:leader="none" w:pos="643"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4" w:lineRule="exact"/>
        <w:rPr>
          <w:sz w:val="20"/>
          <w:szCs w:val="20"/>
          <w:color w:val="auto"/>
        </w:rPr>
      </w:pPr>
    </w:p>
    <w:p>
      <w:pPr>
        <w:jc w:val="both"/>
        <w:ind w:left="-8" w:firstLine="8"/>
        <w:spacing w:after="0" w:line="252" w:lineRule="auto"/>
        <w:tabs>
          <w:tab w:leader="none" w:pos="20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0" w:lineRule="exact"/>
        <w:rPr>
          <w:rFonts w:ascii="Arial" w:cs="Arial" w:eastAsia="Arial" w:hAnsi="Arial"/>
          <w:sz w:val="21"/>
          <w:szCs w:val="21"/>
          <w:color w:val="auto"/>
        </w:rPr>
      </w:pPr>
    </w:p>
    <w:p>
      <w:pPr>
        <w:jc w:val="both"/>
        <w:ind w:left="-8" w:firstLine="8"/>
        <w:spacing w:after="0" w:line="245" w:lineRule="auto"/>
        <w:tabs>
          <w:tab w:leader="none" w:pos="20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11" w:lineRule="exact"/>
        <w:rPr>
          <w:rFonts w:ascii="Arial" w:cs="Arial" w:eastAsia="Arial" w:hAnsi="Arial"/>
          <w:sz w:val="21"/>
          <w:szCs w:val="21"/>
          <w:color w:val="auto"/>
        </w:rPr>
      </w:pPr>
    </w:p>
    <w:p>
      <w:pPr>
        <w:jc w:val="both"/>
        <w:ind w:left="-8" w:firstLine="8"/>
        <w:spacing w:after="0" w:line="246" w:lineRule="auto"/>
        <w:tabs>
          <w:tab w:leader="none" w:pos="221"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w:t>
      </w:r>
    </w:p>
    <w:p>
      <w:pPr>
        <w:sectPr>
          <w:pgSz w:w="11900" w:h="16838" w:orient="portrait"/>
          <w:cols w:equalWidth="0" w:num="1">
            <w:col w:w="11232"/>
          </w:cols>
          <w:pgMar w:left="328" w:top="1414" w:right="339" w:bottom="1440" w:gutter="0" w:footer="0" w:header="0"/>
        </w:sectPr>
      </w:pPr>
    </w:p>
    <w:bookmarkStart w:id="148" w:name="page149"/>
    <w:bookmarkEnd w:id="148"/>
    <w:p>
      <w:pPr>
        <w:jc w:val="both"/>
        <w:spacing w:after="0" w:line="249" w:lineRule="auto"/>
        <w:rPr>
          <w:sz w:val="20"/>
          <w:szCs w:val="20"/>
          <w:color w:val="auto"/>
        </w:rPr>
      </w:pPr>
      <w:r>
        <w:rPr>
          <w:rFonts w:ascii="Arial" w:cs="Arial" w:eastAsia="Arial" w:hAnsi="Arial"/>
          <w:sz w:val="21"/>
          <w:szCs w:val="21"/>
          <w:color w:val="auto"/>
        </w:rPr>
        <w:t>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205" w:lineRule="exact"/>
        <w:rPr>
          <w:sz w:val="20"/>
          <w:szCs w:val="20"/>
          <w:color w:val="auto"/>
        </w:rPr>
      </w:pPr>
    </w:p>
    <w:p>
      <w:pPr>
        <w:jc w:val="both"/>
        <w:ind w:firstLine="8"/>
        <w:spacing w:after="0" w:line="282" w:lineRule="auto"/>
        <w:tabs>
          <w:tab w:leader="none" w:pos="229"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4" w:lineRule="exact"/>
        <w:rPr>
          <w:rFonts w:ascii="Arial" w:cs="Arial" w:eastAsia="Arial" w:hAnsi="Arial"/>
          <w:sz w:val="19"/>
          <w:szCs w:val="19"/>
          <w:color w:val="auto"/>
        </w:rPr>
      </w:pPr>
    </w:p>
    <w:p>
      <w:pPr>
        <w:jc w:val="both"/>
        <w:ind w:firstLine="8"/>
        <w:spacing w:after="0" w:line="238" w:lineRule="auto"/>
        <w:tabs>
          <w:tab w:leader="none" w:pos="21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1" w:lineRule="exact"/>
        <w:rPr>
          <w:rFonts w:ascii="Arial" w:cs="Arial" w:eastAsia="Arial" w:hAnsi="Arial"/>
          <w:sz w:val="22"/>
          <w:szCs w:val="22"/>
          <w:color w:val="auto"/>
        </w:rPr>
      </w:pPr>
    </w:p>
    <w:p>
      <w:pPr>
        <w:jc w:val="both"/>
        <w:ind w:firstLine="8"/>
        <w:spacing w:after="0" w:line="270" w:lineRule="auto"/>
        <w:tabs>
          <w:tab w:leader="none" w:pos="21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1to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w:t>
      </w:r>
    </w:p>
    <w:p>
      <w:pPr>
        <w:sectPr>
          <w:pgSz w:w="11900" w:h="16838" w:orient="portrait"/>
          <w:cols w:equalWidth="0" w:num="1">
            <w:col w:w="11240"/>
          </w:cols>
          <w:pgMar w:left="320" w:top="1414" w:right="3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mean the Company and any entity controlling, controlled by, or under common control with the Company.</w:t>
      </w:r>
    </w:p>
    <w:p>
      <w:pPr>
        <w:spacing w:after="0" w:line="233" w:lineRule="exact"/>
        <w:rPr>
          <w:sz w:val="20"/>
          <w:szCs w:val="20"/>
          <w:color w:val="auto"/>
        </w:rPr>
      </w:pPr>
    </w:p>
    <w:p>
      <w:pPr>
        <w:jc w:val="both"/>
        <w:ind w:firstLine="8"/>
        <w:spacing w:after="0" w:line="287" w:lineRule="auto"/>
        <w:tabs>
          <w:tab w:leader="none" w:pos="22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40" w:hanging="332"/>
        <w:spacing w:after="0"/>
        <w:tabs>
          <w:tab w:leader="none" w:pos="3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33" w:lineRule="exact"/>
        <w:rPr>
          <w:sz w:val="20"/>
          <w:szCs w:val="20"/>
          <w:color w:val="auto"/>
        </w:rPr>
      </w:pPr>
    </w:p>
    <w:p>
      <w:pPr>
        <w:jc w:val="both"/>
        <w:ind w:firstLine="8"/>
        <w:spacing w:after="0" w:line="279" w:lineRule="auto"/>
        <w:tabs>
          <w:tab w:leader="none" w:pos="307" w:val="left"/>
        </w:tabs>
        <w:numPr>
          <w:ilvl w:val="0"/>
          <w:numId w:val="84"/>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7" w:lineRule="exact"/>
        <w:rPr>
          <w:rFonts w:ascii="Arial" w:cs="Arial" w:eastAsia="Arial" w:hAnsi="Arial"/>
          <w:sz w:val="19"/>
          <w:szCs w:val="19"/>
          <w:color w:val="auto"/>
        </w:rPr>
      </w:pPr>
    </w:p>
    <w:p>
      <w:pPr>
        <w:ind w:right="20" w:firstLine="8"/>
        <w:spacing w:after="0" w:line="250" w:lineRule="auto"/>
        <w:tabs>
          <w:tab w:leader="none" w:pos="319" w:val="left"/>
        </w:tabs>
        <w:numPr>
          <w:ilvl w:val="0"/>
          <w:numId w:val="84"/>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38" w:lineRule="auto"/>
        <w:tabs>
          <w:tab w:leader="none" w:pos="31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11" w:lineRule="exact"/>
        <w:rPr>
          <w:rFonts w:ascii="Arial" w:cs="Arial" w:eastAsia="Arial" w:hAnsi="Arial"/>
          <w:sz w:val="22"/>
          <w:szCs w:val="22"/>
          <w:color w:val="auto"/>
        </w:rPr>
      </w:pPr>
    </w:p>
    <w:p>
      <w:pPr>
        <w:jc w:val="both"/>
        <w:ind w:firstLine="8"/>
        <w:spacing w:after="0" w:line="234" w:lineRule="auto"/>
        <w:tabs>
          <w:tab w:leader="none" w:pos="337"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17" w:lineRule="exact"/>
        <w:rPr>
          <w:rFonts w:ascii="Arial" w:cs="Arial" w:eastAsia="Arial" w:hAnsi="Arial"/>
          <w:sz w:val="22"/>
          <w:szCs w:val="22"/>
          <w:color w:val="auto"/>
        </w:rPr>
      </w:pPr>
    </w:p>
    <w:p>
      <w:pPr>
        <w:jc w:val="both"/>
        <w:ind w:firstLine="8"/>
        <w:spacing w:after="0" w:line="236" w:lineRule="auto"/>
        <w:tabs>
          <w:tab w:leader="none" w:pos="32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Best Efforts and Conflicts of Interest</w:t>
      </w:r>
      <w:r>
        <w:rPr>
          <w:rFonts w:ascii="Arial" w:cs="Arial" w:eastAsia="Arial" w:hAnsi="Arial"/>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w:t>
      </w:r>
    </w:p>
    <w:p>
      <w:pPr>
        <w:sectPr>
          <w:pgSz w:w="11900" w:h="16838" w:orient="portrait"/>
          <w:cols w:equalWidth="0" w:num="1">
            <w:col w:w="11240"/>
          </w:cols>
          <w:pgMar w:left="320" w:top="1414" w:right="339" w:bottom="1440" w:gutter="0" w:footer="0" w:header="0"/>
        </w:sectPr>
      </w:pPr>
    </w:p>
    <w:bookmarkStart w:id="150" w:name="page151"/>
    <w:bookmarkEnd w:id="150"/>
    <w:p>
      <w:pPr>
        <w:jc w:val="both"/>
        <w:spacing w:after="0" w:line="252" w:lineRule="auto"/>
        <w:rPr>
          <w:sz w:val="20"/>
          <w:szCs w:val="20"/>
          <w:color w:val="auto"/>
        </w:rPr>
      </w:pPr>
      <w:r>
        <w:rPr>
          <w:rFonts w:ascii="Arial" w:cs="Arial" w:eastAsia="Arial" w:hAnsi="Arial"/>
          <w:sz w:val="21"/>
          <w:szCs w:val="21"/>
          <w:color w:val="auto"/>
        </w:rPr>
        <w:t>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00" w:lineRule="exact"/>
        <w:rPr>
          <w:sz w:val="20"/>
          <w:szCs w:val="20"/>
          <w:color w:val="auto"/>
        </w:rPr>
      </w:pPr>
    </w:p>
    <w:p>
      <w:pPr>
        <w:spacing w:after="0" w:line="244" w:lineRule="exact"/>
        <w:rPr>
          <w:sz w:val="20"/>
          <w:szCs w:val="20"/>
          <w:color w:val="auto"/>
        </w:rPr>
      </w:pPr>
    </w:p>
    <w:p>
      <w:pPr>
        <w:jc w:val="both"/>
        <w:ind w:firstLine="8"/>
        <w:spacing w:after="0" w:line="297" w:lineRule="auto"/>
        <w:tabs>
          <w:tab w:leader="none" w:pos="337"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pacing w:after="0" w:line="160" w:lineRule="exact"/>
        <w:rPr>
          <w:rFonts w:ascii="Arial" w:cs="Arial" w:eastAsia="Arial" w:hAnsi="Arial"/>
          <w:sz w:val="19"/>
          <w:szCs w:val="19"/>
          <w:color w:val="auto"/>
        </w:rPr>
      </w:pPr>
    </w:p>
    <w:p>
      <w:pPr>
        <w:ind w:firstLine="8"/>
        <w:spacing w:after="0" w:line="274" w:lineRule="auto"/>
        <w:tabs>
          <w:tab w:leader="none" w:pos="32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Arial" w:cs="Arial" w:eastAsia="Arial" w:hAnsi="Arial"/>
          <w:sz w:val="21"/>
          <w:szCs w:val="21"/>
          <w:color w:val="auto"/>
        </w:rPr>
      </w:pPr>
    </w:p>
    <w:p>
      <w:pPr>
        <w:ind w:firstLine="8"/>
        <w:spacing w:after="0" w:line="274" w:lineRule="auto"/>
        <w:tabs>
          <w:tab w:leader="none" w:pos="337"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tabs>
          <w:tab w:leader="none" w:pos="32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3" w:lineRule="exact"/>
        <w:rPr>
          <w:rFonts w:ascii="Arial" w:cs="Arial" w:eastAsia="Arial" w:hAnsi="Arial"/>
          <w:sz w:val="22"/>
          <w:szCs w:val="22"/>
          <w:color w:val="auto"/>
        </w:rPr>
      </w:pPr>
    </w:p>
    <w:p>
      <w:pPr>
        <w:jc w:val="both"/>
        <w:ind w:firstLine="8"/>
        <w:spacing w:after="0"/>
        <w:tabs>
          <w:tab w:leader="none" w:pos="351"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3" w:lineRule="exact"/>
        <w:rPr>
          <w:rFonts w:ascii="Arial" w:cs="Arial" w:eastAsia="Arial" w:hAnsi="Arial"/>
          <w:sz w:val="22"/>
          <w:szCs w:val="22"/>
          <w:color w:val="auto"/>
        </w:rPr>
      </w:pPr>
    </w:p>
    <w:p>
      <w:pPr>
        <w:jc w:val="both"/>
        <w:ind w:firstLine="8"/>
        <w:spacing w:after="0"/>
        <w:tabs>
          <w:tab w:leader="none" w:pos="32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3" w:lineRule="exact"/>
        <w:rPr>
          <w:rFonts w:ascii="Arial" w:cs="Arial" w:eastAsia="Arial" w:hAnsi="Arial"/>
          <w:sz w:val="22"/>
          <w:szCs w:val="22"/>
          <w:color w:val="auto"/>
        </w:rPr>
      </w:pPr>
    </w:p>
    <w:p>
      <w:pPr>
        <w:ind w:firstLine="8"/>
        <w:spacing w:after="0" w:line="250" w:lineRule="auto"/>
        <w:tabs>
          <w:tab w:leader="none" w:pos="36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4" w:lineRule="exact"/>
        <w:rPr>
          <w:rFonts w:ascii="Arial" w:cs="Arial" w:eastAsia="Arial" w:hAnsi="Arial"/>
          <w:sz w:val="22"/>
          <w:szCs w:val="22"/>
          <w:color w:val="auto"/>
        </w:rPr>
      </w:pPr>
    </w:p>
    <w:p>
      <w:pPr>
        <w:ind w:left="5480" w:hanging="153"/>
        <w:spacing w:after="0"/>
        <w:tabs>
          <w:tab w:leader="none" w:pos="5480" w:val="left"/>
        </w:tabs>
        <w:numPr>
          <w:ilvl w:val="1"/>
          <w:numId w:val="87"/>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14"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29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9" w:lineRule="exact"/>
        <w:rPr>
          <w:sz w:val="20"/>
          <w:szCs w:val="20"/>
          <w:color w:val="auto"/>
        </w:rPr>
      </w:pPr>
    </w:p>
    <w:p>
      <w:pPr>
        <w:jc w:val="center"/>
        <w:ind w:left="4100"/>
        <w:spacing w:after="0"/>
        <w:tabs>
          <w:tab w:leader="none" w:pos="240" w:val="left"/>
        </w:tabs>
        <w:rPr>
          <w:sz w:val="20"/>
          <w:szCs w:val="20"/>
          <w:color w:val="auto"/>
        </w:rPr>
      </w:pPr>
      <w:r>
        <w:rPr>
          <w:rFonts w:ascii="Arial" w:cs="Arial" w:eastAsia="Arial" w:hAnsi="Arial"/>
          <w:sz w:val="22"/>
          <w:szCs w:val="22"/>
          <w:color w:val="auto"/>
        </w:rPr>
        <w:t>By:</w:t>
        <w:tab/>
        <w:t>A.J. Kazimi</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8th of March, 2021:</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062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Michael Bonner</w:t>
      </w:r>
    </w:p>
    <w:p>
      <w:pPr>
        <w:sectPr>
          <w:pgSz w:w="11900" w:h="16838" w:orient="portrait"/>
          <w:cols w:equalWidth="0" w:num="1">
            <w:col w:w="11240"/>
          </w:cols>
          <w:pgMar w:left="320" w:top="144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March 8, 2021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James L. Herman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Employment of James L. Herman as Senior Vice President, National Accounts and Chief Compliance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Jim:</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Effective January 1, 2021, this letter agreement (the “Agreement”) will evidence the terms and conditions under which you will be employed by Cumberland Pharmaceuticals Inc. (the “Company”) In consideration of your appointment as Senior Vice President, National Accounts and Chief Compliance Officer of the Company, and other good and valuable consideration, the receipt and sufficiency of which is hereby acknowledged, the parties agree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33" w:lineRule="exact"/>
        <w:rPr>
          <w:sz w:val="20"/>
          <w:szCs w:val="20"/>
          <w:color w:val="auto"/>
        </w:rPr>
      </w:pPr>
    </w:p>
    <w:p>
      <w:pPr>
        <w:jc w:val="both"/>
        <w:ind w:firstLine="8"/>
        <w:spacing w:after="0" w:line="247" w:lineRule="auto"/>
        <w:tabs>
          <w:tab w:leader="none" w:pos="307"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two hundred seventy thousand dollars ($270,000.00),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2021.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9" w:lineRule="exact"/>
        <w:rPr>
          <w:rFonts w:ascii="Arial" w:cs="Arial" w:eastAsia="Arial" w:hAnsi="Arial"/>
          <w:sz w:val="20"/>
          <w:szCs w:val="20"/>
          <w:color w:val="auto"/>
        </w:rPr>
      </w:pPr>
    </w:p>
    <w:p>
      <w:pPr>
        <w:jc w:val="both"/>
        <w:ind w:firstLine="8"/>
        <w:spacing w:after="0"/>
        <w:tabs>
          <w:tab w:leader="none" w:pos="306" w:val="left"/>
        </w:tabs>
        <w:numPr>
          <w:ilvl w:val="0"/>
          <w:numId w:val="88"/>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3" w:lineRule="exact"/>
        <w:rPr>
          <w:rFonts w:ascii="Arial" w:cs="Arial" w:eastAsia="Arial" w:hAnsi="Arial"/>
          <w:sz w:val="22"/>
          <w:szCs w:val="22"/>
          <w:color w:val="auto"/>
        </w:rPr>
      </w:pPr>
    </w:p>
    <w:p>
      <w:pPr>
        <w:jc w:val="both"/>
        <w:ind w:firstLine="8"/>
        <w:spacing w:after="0" w:line="252" w:lineRule="auto"/>
        <w:tabs>
          <w:tab w:leader="none" w:pos="294" w:val="left"/>
        </w:tabs>
        <w:numPr>
          <w:ilvl w:val="0"/>
          <w:numId w:val="88"/>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200" w:lineRule="exact"/>
        <w:rPr>
          <w:rFonts w:ascii="Arial" w:cs="Arial" w:eastAsia="Arial" w:hAnsi="Arial"/>
          <w:sz w:val="21"/>
          <w:szCs w:val="21"/>
          <w:color w:val="auto"/>
        </w:rPr>
      </w:pPr>
    </w:p>
    <w:p>
      <w:pPr>
        <w:jc w:val="both"/>
        <w:ind w:firstLine="8"/>
        <w:spacing w:after="0"/>
        <w:tabs>
          <w:tab w:leader="none" w:pos="306" w:val="left"/>
        </w:tabs>
        <w:numPr>
          <w:ilvl w:val="0"/>
          <w:numId w:val="88"/>
        </w:numPr>
        <w:rPr>
          <w:rFonts w:ascii="Arial" w:cs="Arial" w:eastAsia="Arial" w:hAnsi="Arial"/>
          <w:sz w:val="22"/>
          <w:szCs w:val="22"/>
          <w:color w:val="auto"/>
        </w:rPr>
      </w:pPr>
      <w:r>
        <w:rPr>
          <w:rFonts w:ascii="Arial" w:cs="Arial" w:eastAsia="Arial" w:hAnsi="Arial"/>
          <w:sz w:val="22"/>
          <w:szCs w:val="22"/>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w:t>
      </w:r>
    </w:p>
    <w:p>
      <w:pPr>
        <w:sectPr>
          <w:pgSz w:w="11900" w:h="16838" w:orient="portrait"/>
          <w:cols w:equalWidth="0" w:num="1">
            <w:col w:w="11240"/>
          </w:cols>
          <w:pgMar w:left="320" w:top="901" w:right="339" w:bottom="1440" w:gutter="0" w:footer="0" w:header="0"/>
        </w:sectPr>
      </w:pPr>
    </w:p>
    <w:bookmarkStart w:id="153" w:name="page154"/>
    <w:bookmarkEnd w:id="153"/>
    <w:p>
      <w:pPr>
        <w:ind w:right="20"/>
        <w:spacing w:after="0" w:line="250" w:lineRule="auto"/>
        <w:rPr>
          <w:sz w:val="20"/>
          <w:szCs w:val="20"/>
          <w:color w:val="auto"/>
        </w:rPr>
      </w:pPr>
      <w:r>
        <w:rPr>
          <w:rFonts w:ascii="Arial" w:cs="Arial" w:eastAsia="Arial" w:hAnsi="Arial"/>
          <w:sz w:val="22"/>
          <w:szCs w:val="22"/>
          <w:color w:val="auto"/>
        </w:rPr>
        <w:t>additional awards of Company equity, which will be subject to their designated agreements and the incentive compensation plans under which they are awarded.</w:t>
      </w:r>
    </w:p>
    <w:p>
      <w:pPr>
        <w:spacing w:after="0" w:line="200" w:lineRule="exact"/>
        <w:rPr>
          <w:sz w:val="20"/>
          <w:szCs w:val="20"/>
          <w:color w:val="auto"/>
        </w:rPr>
      </w:pPr>
    </w:p>
    <w:p>
      <w:pPr>
        <w:spacing w:after="0" w:line="245" w:lineRule="exact"/>
        <w:rPr>
          <w:sz w:val="20"/>
          <w:szCs w:val="20"/>
          <w:color w:val="auto"/>
        </w:rPr>
      </w:pPr>
    </w:p>
    <w:p>
      <w:pPr>
        <w:ind w:right="20" w:firstLine="8"/>
        <w:spacing w:after="0" w:line="250" w:lineRule="auto"/>
        <w:tabs>
          <w:tab w:leader="none" w:pos="294" w:val="left"/>
        </w:tabs>
        <w:numPr>
          <w:ilvl w:val="0"/>
          <w:numId w:val="89"/>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1" w:lineRule="exact"/>
        <w:rPr>
          <w:rFonts w:ascii="Arial" w:cs="Arial" w:eastAsia="Arial" w:hAnsi="Arial"/>
          <w:sz w:val="22"/>
          <w:szCs w:val="22"/>
          <w:color w:val="auto"/>
        </w:rPr>
      </w:pPr>
    </w:p>
    <w:p>
      <w:pPr>
        <w:jc w:val="both"/>
        <w:ind w:left="660" w:hanging="328"/>
        <w:spacing w:after="0" w:line="236" w:lineRule="auto"/>
        <w:tabs>
          <w:tab w:leader="none" w:pos="651"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4" w:lineRule="exact"/>
        <w:rPr>
          <w:sz w:val="20"/>
          <w:szCs w:val="20"/>
          <w:color w:val="auto"/>
        </w:rPr>
      </w:pPr>
    </w:p>
    <w:p>
      <w:pPr>
        <w:jc w:val="both"/>
        <w:ind w:firstLine="8"/>
        <w:spacing w:after="0" w:line="252" w:lineRule="auto"/>
        <w:tabs>
          <w:tab w:leader="none" w:pos="21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0" w:lineRule="exact"/>
        <w:rPr>
          <w:rFonts w:ascii="Arial" w:cs="Arial" w:eastAsia="Arial" w:hAnsi="Arial"/>
          <w:sz w:val="21"/>
          <w:szCs w:val="21"/>
          <w:color w:val="auto"/>
        </w:rPr>
      </w:pPr>
    </w:p>
    <w:p>
      <w:pPr>
        <w:jc w:val="both"/>
        <w:ind w:firstLine="8"/>
        <w:spacing w:after="0" w:line="245" w:lineRule="auto"/>
        <w:tabs>
          <w:tab w:leader="none" w:pos="21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11" w:lineRule="exact"/>
        <w:rPr>
          <w:rFonts w:ascii="Arial" w:cs="Arial" w:eastAsia="Arial" w:hAnsi="Arial"/>
          <w:sz w:val="21"/>
          <w:szCs w:val="21"/>
          <w:color w:val="auto"/>
        </w:rPr>
      </w:pPr>
    </w:p>
    <w:p>
      <w:pPr>
        <w:jc w:val="both"/>
        <w:ind w:firstLine="8"/>
        <w:spacing w:after="0" w:line="244" w:lineRule="auto"/>
        <w:tabs>
          <w:tab w:leader="none" w:pos="229"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210" w:lineRule="exact"/>
        <w:rPr>
          <w:rFonts w:ascii="Arial" w:cs="Arial" w:eastAsia="Arial" w:hAnsi="Arial"/>
          <w:sz w:val="21"/>
          <w:szCs w:val="21"/>
          <w:color w:val="auto"/>
        </w:rPr>
      </w:pPr>
    </w:p>
    <w:p>
      <w:pPr>
        <w:jc w:val="both"/>
        <w:ind w:firstLine="8"/>
        <w:spacing w:after="0"/>
        <w:tabs>
          <w:tab w:leader="none" w:pos="229"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Publication</w:t>
      </w:r>
      <w:r>
        <w:rPr>
          <w:rFonts w:ascii="Arial" w:cs="Arial" w:eastAsia="Arial" w:hAnsi="Arial"/>
          <w:sz w:val="22"/>
          <w:szCs w:val="22"/>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w:t>
      </w:r>
    </w:p>
    <w:p>
      <w:pPr>
        <w:sectPr>
          <w:pgSz w:w="11900" w:h="16838" w:orient="portrait"/>
          <w:cols w:equalWidth="0" w:num="1">
            <w:col w:w="11240"/>
          </w:cols>
          <w:pgMar w:left="320" w:top="888" w:right="339" w:bottom="1440" w:gutter="0" w:footer="0" w:header="0"/>
        </w:sectPr>
      </w:pPr>
    </w:p>
    <w:bookmarkStart w:id="154" w:name="page155"/>
    <w:bookmarkEnd w:id="154"/>
    <w:p>
      <w:pPr>
        <w:jc w:val="both"/>
        <w:spacing w:after="0"/>
        <w:rPr>
          <w:sz w:val="20"/>
          <w:szCs w:val="20"/>
          <w:color w:val="auto"/>
        </w:rPr>
      </w:pPr>
      <w:r>
        <w:rPr>
          <w:rFonts w:ascii="Arial" w:cs="Arial" w:eastAsia="Arial" w:hAnsi="Arial"/>
          <w:sz w:val="22"/>
          <w:szCs w:val="22"/>
          <w:color w:val="auto"/>
        </w:rPr>
        <w:t>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213" w:lineRule="exact"/>
        <w:rPr>
          <w:sz w:val="20"/>
          <w:szCs w:val="20"/>
          <w:color w:val="auto"/>
        </w:rPr>
      </w:pPr>
    </w:p>
    <w:p>
      <w:pPr>
        <w:jc w:val="both"/>
        <w:ind w:firstLine="8"/>
        <w:spacing w:after="0" w:line="238" w:lineRule="auto"/>
        <w:tabs>
          <w:tab w:leader="none" w:pos="21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1" w:lineRule="exact"/>
        <w:rPr>
          <w:rFonts w:ascii="Arial" w:cs="Arial" w:eastAsia="Arial" w:hAnsi="Arial"/>
          <w:sz w:val="22"/>
          <w:szCs w:val="22"/>
          <w:color w:val="auto"/>
        </w:rPr>
      </w:pPr>
    </w:p>
    <w:p>
      <w:pPr>
        <w:jc w:val="both"/>
        <w:ind w:firstLine="8"/>
        <w:spacing w:after="0" w:line="270" w:lineRule="auto"/>
        <w:tabs>
          <w:tab w:leader="none" w:pos="21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8"/>
        <w:spacing w:after="0" w:line="287" w:lineRule="auto"/>
        <w:tabs>
          <w:tab w:leader="none" w:pos="229"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40" w:hanging="332"/>
        <w:spacing w:after="0"/>
        <w:tabs>
          <w:tab w:leader="none" w:pos="3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33" w:lineRule="exact"/>
        <w:rPr>
          <w:sz w:val="20"/>
          <w:szCs w:val="20"/>
          <w:color w:val="auto"/>
        </w:rPr>
      </w:pPr>
    </w:p>
    <w:p>
      <w:pPr>
        <w:jc w:val="both"/>
        <w:ind w:firstLine="8"/>
        <w:spacing w:after="0" w:line="279" w:lineRule="auto"/>
        <w:tabs>
          <w:tab w:leader="none" w:pos="307" w:val="left"/>
        </w:tabs>
        <w:numPr>
          <w:ilvl w:val="0"/>
          <w:numId w:val="92"/>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ectPr>
          <w:pgSz w:w="11900" w:h="16838" w:orient="portrait"/>
          <w:cols w:equalWidth="0" w:num="1">
            <w:col w:w="11240"/>
          </w:cols>
          <w:pgMar w:left="320" w:top="888" w:right="339" w:bottom="1440" w:gutter="0" w:footer="0" w:header="0"/>
        </w:sectPr>
      </w:pPr>
    </w:p>
    <w:bookmarkStart w:id="155" w:name="page156"/>
    <w:bookmarkEnd w:id="155"/>
    <w:p>
      <w:pPr>
        <w:ind w:right="20" w:firstLine="8"/>
        <w:spacing w:after="0" w:line="250" w:lineRule="auto"/>
        <w:tabs>
          <w:tab w:leader="none" w:pos="319" w:val="left"/>
        </w:tabs>
        <w:numPr>
          <w:ilvl w:val="0"/>
          <w:numId w:val="93"/>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38" w:lineRule="auto"/>
        <w:tabs>
          <w:tab w:leader="none" w:pos="31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11" w:lineRule="exact"/>
        <w:rPr>
          <w:rFonts w:ascii="Arial" w:cs="Arial" w:eastAsia="Arial" w:hAnsi="Arial"/>
          <w:sz w:val="22"/>
          <w:szCs w:val="22"/>
          <w:color w:val="auto"/>
        </w:rPr>
      </w:pPr>
    </w:p>
    <w:p>
      <w:pPr>
        <w:jc w:val="both"/>
        <w:ind w:firstLine="8"/>
        <w:spacing w:after="0" w:line="234" w:lineRule="auto"/>
        <w:tabs>
          <w:tab w:leader="none" w:pos="337"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17" w:lineRule="exact"/>
        <w:rPr>
          <w:rFonts w:ascii="Arial" w:cs="Arial" w:eastAsia="Arial" w:hAnsi="Arial"/>
          <w:sz w:val="22"/>
          <w:szCs w:val="22"/>
          <w:color w:val="auto"/>
        </w:rPr>
      </w:pPr>
    </w:p>
    <w:p>
      <w:pPr>
        <w:jc w:val="both"/>
        <w:ind w:firstLine="8"/>
        <w:spacing w:after="0" w:line="275" w:lineRule="auto"/>
        <w:tabs>
          <w:tab w:leader="none" w:pos="32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Best Efforts and Conflicts of Interest</w:t>
      </w:r>
      <w:r>
        <w:rPr>
          <w:rFonts w:ascii="Arial" w:cs="Arial" w:eastAsia="Arial" w:hAnsi="Arial"/>
          <w:sz w:val="19"/>
          <w:szCs w:val="19"/>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8"/>
        <w:spacing w:after="0" w:line="297" w:lineRule="auto"/>
        <w:tabs>
          <w:tab w:leader="none" w:pos="337"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pacing w:after="0" w:line="160" w:lineRule="exact"/>
        <w:rPr>
          <w:rFonts w:ascii="Arial" w:cs="Arial" w:eastAsia="Arial" w:hAnsi="Arial"/>
          <w:sz w:val="19"/>
          <w:szCs w:val="19"/>
          <w:color w:val="auto"/>
        </w:rPr>
      </w:pPr>
    </w:p>
    <w:p>
      <w:pPr>
        <w:ind w:firstLine="8"/>
        <w:spacing w:after="0" w:line="274" w:lineRule="auto"/>
        <w:tabs>
          <w:tab w:leader="none" w:pos="324"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Arial" w:cs="Arial" w:eastAsia="Arial" w:hAnsi="Arial"/>
          <w:sz w:val="21"/>
          <w:szCs w:val="21"/>
          <w:color w:val="auto"/>
        </w:rPr>
      </w:pPr>
    </w:p>
    <w:p>
      <w:pPr>
        <w:ind w:firstLine="8"/>
        <w:spacing w:after="0" w:line="274" w:lineRule="auto"/>
        <w:tabs>
          <w:tab w:leader="none" w:pos="337"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tabs>
          <w:tab w:leader="none" w:pos="32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ectPr>
          <w:pgSz w:w="11900" w:h="16838" w:orient="portrait"/>
          <w:cols w:equalWidth="0" w:num="1">
            <w:col w:w="11240"/>
          </w:cols>
          <w:pgMar w:left="320" w:top="1131" w:right="339" w:bottom="1440" w:gutter="0" w:footer="0" w:header="0"/>
        </w:sectPr>
      </w:pPr>
    </w:p>
    <w:bookmarkStart w:id="156" w:name="page157"/>
    <w:bookmarkEnd w:id="156"/>
    <w:p>
      <w:pPr>
        <w:jc w:val="both"/>
        <w:ind w:firstLine="8"/>
        <w:spacing w:after="0"/>
        <w:tabs>
          <w:tab w:leader="none" w:pos="35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3" w:lineRule="exact"/>
        <w:rPr>
          <w:rFonts w:ascii="Arial" w:cs="Arial" w:eastAsia="Arial" w:hAnsi="Arial"/>
          <w:sz w:val="22"/>
          <w:szCs w:val="22"/>
          <w:color w:val="auto"/>
        </w:rPr>
      </w:pPr>
    </w:p>
    <w:p>
      <w:pPr>
        <w:jc w:val="both"/>
        <w:ind w:firstLine="8"/>
        <w:spacing w:after="0"/>
        <w:tabs>
          <w:tab w:leader="none" w:pos="32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3" w:lineRule="exact"/>
        <w:rPr>
          <w:rFonts w:ascii="Arial" w:cs="Arial" w:eastAsia="Arial" w:hAnsi="Arial"/>
          <w:sz w:val="22"/>
          <w:szCs w:val="22"/>
          <w:color w:val="auto"/>
        </w:rPr>
      </w:pPr>
    </w:p>
    <w:p>
      <w:pPr>
        <w:ind w:firstLine="8"/>
        <w:spacing w:after="0" w:line="250" w:lineRule="auto"/>
        <w:tabs>
          <w:tab w:leader="none" w:pos="36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Sincerely yours,</w:t>
      </w:r>
    </w:p>
    <w:p>
      <w:pPr>
        <w:spacing w:after="0" w:line="17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CUMBERLAND PHARMACEUTICALS INC.</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15875</wp:posOffset>
            </wp:positionV>
            <wp:extent cx="38658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1" w:lineRule="exact"/>
        <w:rPr>
          <w:sz w:val="20"/>
          <w:szCs w:val="20"/>
          <w:color w:val="auto"/>
        </w:rPr>
      </w:pPr>
    </w:p>
    <w:p>
      <w:pPr>
        <w:ind w:left="5160"/>
        <w:spacing w:after="0"/>
        <w:tabs>
          <w:tab w:leader="none" w:pos="5720" w:val="left"/>
        </w:tabs>
        <w:rPr>
          <w:sz w:val="20"/>
          <w:szCs w:val="20"/>
          <w:color w:val="auto"/>
        </w:rPr>
      </w:pPr>
      <w:r>
        <w:rPr>
          <w:rFonts w:ascii="Arial" w:cs="Arial" w:eastAsia="Arial" w:hAnsi="Arial"/>
          <w:sz w:val="22"/>
          <w:szCs w:val="22"/>
          <w:color w:val="auto"/>
        </w:rPr>
        <w:t>By:</w:t>
        <w:tab/>
        <w:t>A.J. Kazimi</w:t>
      </w:r>
    </w:p>
    <w:p>
      <w:pPr>
        <w:spacing w:after="0" w:line="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8th of March, 2021:</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James L.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01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James L. Herman</w:t>
      </w:r>
    </w:p>
    <w:p>
      <w:pPr>
        <w:sectPr>
          <w:pgSz w:w="11900" w:h="16838" w:orient="portrait"/>
          <w:cols w:equalWidth="0" w:num="1">
            <w:col w:w="11240"/>
          </w:cols>
          <w:pgMar w:left="320" w:top="88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0" w:lineRule="exact"/>
        <w:rPr>
          <w:sz w:val="20"/>
          <w:szCs w:val="20"/>
          <w:color w:val="auto"/>
        </w:rPr>
      </w:pPr>
    </w:p>
    <w:p>
      <w:pPr>
        <w:spacing w:after="0" w:line="28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333-251308) and Form S-8 (No. 333-164376) of Cumberland Pharmaceuticals Inc. of our report dated March 20, 2020 (except for the effects of presenting discontinued operations discussed in Note 20, as to which the date is December 10, 2020), relating to the consolidated financial statements and schedule, which appears in this Form 10-K</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ectPr>
          <w:pgSz w:w="11900" w:h="16838" w:orient="portrait"/>
          <w:cols w:equalWidth="0" w:num="1">
            <w:col w:w="11240"/>
          </w:cols>
          <w:pgMar w:left="320" w:top="618"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0" w:lineRule="exact"/>
        <w:rPr>
          <w:sz w:val="20"/>
          <w:szCs w:val="20"/>
          <w:color w:val="auto"/>
        </w:rPr>
      </w:pPr>
    </w:p>
    <w:p>
      <w:pPr>
        <w:spacing w:after="0" w:line="28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of Cumberland Pharmaceuticals Inc. on Form S-3 (No. 333-251308) and Form S-8 (No. 333-164376) of our report dated March 12, 2021, on our audit of the consolidated financial statements of Cumberland Pharmaceuticals Inc. as of December 31, 2020 and for the year ended December 31, 2020, which report is included in this Annual Report on Form 10-K.</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BKD,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ectPr>
          <w:pgSz w:w="11900" w:h="16838" w:orient="portrait"/>
          <w:cols w:equalWidth="0" w:num="1">
            <w:col w:w="11240"/>
          </w:cols>
          <w:pgMar w:left="320" w:top="61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266" w:lineRule="exact"/>
        <w:rPr>
          <w:sz w:val="20"/>
          <w:szCs w:val="20"/>
          <w:color w:val="auto"/>
        </w:rPr>
      </w:pPr>
    </w:p>
    <w:p>
      <w:pPr>
        <w:ind w:left="680" w:hanging="654"/>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Form 10-K of Cumberland Pharmaceuticals Inc.;</w:t>
      </w:r>
    </w:p>
    <w:p>
      <w:pPr>
        <w:spacing w:after="0" w:line="373"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1"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5"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Arial" w:cs="Arial" w:eastAsia="Arial" w:hAnsi="Arial"/>
          <w:sz w:val="18"/>
          <w:szCs w:val="18"/>
          <w:color w:val="auto"/>
        </w:rPr>
      </w:pPr>
    </w:p>
    <w:p>
      <w:pPr>
        <w:jc w:val="both"/>
        <w:ind w:left="560" w:hanging="328"/>
        <w:spacing w:after="0" w:line="255" w:lineRule="auto"/>
        <w:tabs>
          <w:tab w:leader="none" w:pos="55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560" w:hanging="328"/>
        <w:spacing w:after="0" w:line="250" w:lineRule="auto"/>
        <w:tabs>
          <w:tab w:leader="none" w:pos="5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60" w:right="20" w:hanging="328"/>
        <w:spacing w:after="0" w:line="265" w:lineRule="auto"/>
        <w:tabs>
          <w:tab w:leader="none" w:pos="550"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560" w:hanging="328"/>
        <w:spacing w:after="0" w:line="255" w:lineRule="auto"/>
        <w:tabs>
          <w:tab w:leader="none" w:pos="5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2" w:lineRule="exact"/>
        <w:rPr>
          <w:rFonts w:ascii="Arial" w:cs="Arial" w:eastAsia="Arial" w:hAnsi="Arial"/>
          <w:sz w:val="16"/>
          <w:szCs w:val="16"/>
          <w:color w:val="auto"/>
        </w:rPr>
      </w:pPr>
    </w:p>
    <w:p>
      <w:pPr>
        <w:ind w:left="560" w:hanging="328"/>
        <w:spacing w:after="0" w:line="258" w:lineRule="auto"/>
        <w:tabs>
          <w:tab w:leader="none" w:pos="55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60" w:right="20" w:hanging="328"/>
        <w:spacing w:after="0" w:line="260" w:lineRule="auto"/>
        <w:tabs>
          <w:tab w:leader="none" w:pos="5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580"/>
        <w:spacing w:after="0"/>
        <w:tabs>
          <w:tab w:leader="none" w:pos="6020" w:val="left"/>
          <w:tab w:leader="none" w:pos="6800" w:val="left"/>
        </w:tabs>
        <w:rPr>
          <w:sz w:val="20"/>
          <w:szCs w:val="20"/>
          <w:color w:val="auto"/>
        </w:rPr>
      </w:pPr>
      <w:r>
        <w:rPr>
          <w:rFonts w:ascii="Arial" w:cs="Arial" w:eastAsia="Arial" w:hAnsi="Arial"/>
          <w:sz w:val="18"/>
          <w:szCs w:val="18"/>
          <w:color w:val="auto"/>
        </w:rPr>
        <w:t>March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7686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Michael P. Bonner, certify that:</w:t>
      </w:r>
    </w:p>
    <w:p>
      <w:pPr>
        <w:spacing w:after="0" w:line="266" w:lineRule="exact"/>
        <w:rPr>
          <w:sz w:val="20"/>
          <w:szCs w:val="20"/>
          <w:color w:val="auto"/>
        </w:rPr>
      </w:pPr>
    </w:p>
    <w:p>
      <w:pPr>
        <w:ind w:left="680" w:hanging="654"/>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Form 10-K of Cumberland Pharmaceuticals Inc.;</w:t>
      </w:r>
    </w:p>
    <w:p>
      <w:pPr>
        <w:spacing w:after="0" w:line="373"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1"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5"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Arial" w:cs="Arial" w:eastAsia="Arial" w:hAnsi="Arial"/>
          <w:sz w:val="18"/>
          <w:szCs w:val="18"/>
          <w:color w:val="auto"/>
        </w:rPr>
      </w:pPr>
    </w:p>
    <w:p>
      <w:pPr>
        <w:jc w:val="both"/>
        <w:ind w:left="560" w:hanging="328"/>
        <w:spacing w:after="0" w:line="255" w:lineRule="auto"/>
        <w:tabs>
          <w:tab w:leader="none" w:pos="5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560" w:hanging="328"/>
        <w:spacing w:after="0" w:line="250" w:lineRule="auto"/>
        <w:tabs>
          <w:tab w:leader="none" w:pos="5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60" w:right="20" w:hanging="328"/>
        <w:spacing w:after="0" w:line="265" w:lineRule="auto"/>
        <w:tabs>
          <w:tab w:leader="none" w:pos="550" w:val="left"/>
        </w:tabs>
        <w:numPr>
          <w:ilvl w:val="1"/>
          <w:numId w:val="9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560" w:hanging="328"/>
        <w:spacing w:after="0" w:line="255" w:lineRule="auto"/>
        <w:tabs>
          <w:tab w:leader="none" w:pos="5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2" w:lineRule="exact"/>
        <w:rPr>
          <w:rFonts w:ascii="Arial" w:cs="Arial" w:eastAsia="Arial" w:hAnsi="Arial"/>
          <w:sz w:val="16"/>
          <w:szCs w:val="16"/>
          <w:color w:val="auto"/>
        </w:rPr>
      </w:pPr>
    </w:p>
    <w:p>
      <w:pPr>
        <w:ind w:left="560" w:hanging="328"/>
        <w:spacing w:after="0" w:line="258" w:lineRule="auto"/>
        <w:tabs>
          <w:tab w:leader="none" w:pos="5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60" w:right="20" w:hanging="328"/>
        <w:spacing w:after="0" w:line="260" w:lineRule="auto"/>
        <w:tabs>
          <w:tab w:leader="none" w:pos="5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580"/>
        <w:spacing w:after="0"/>
        <w:tabs>
          <w:tab w:leader="none" w:pos="6000" w:val="left"/>
          <w:tab w:leader="none" w:pos="6800" w:val="left"/>
        </w:tabs>
        <w:rPr>
          <w:sz w:val="20"/>
          <w:szCs w:val="20"/>
          <w:color w:val="auto"/>
        </w:rPr>
      </w:pPr>
      <w:r>
        <w:rPr>
          <w:rFonts w:ascii="Arial" w:cs="Arial" w:eastAsia="Arial" w:hAnsi="Arial"/>
          <w:sz w:val="18"/>
          <w:szCs w:val="18"/>
          <w:color w:val="auto"/>
        </w:rPr>
        <w:t>March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686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Michael P. Bonner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Senior Director and Chief Financial Officer</w:t>
      </w:r>
    </w:p>
    <w:p>
      <w:pPr>
        <w:sectPr>
          <w:pgSz w:w="11900" w:h="16838" w:orient="portrait"/>
          <w:cols w:equalWidth="0" w:num="1">
            <w:col w:w="11240"/>
          </w:cols>
          <w:pgMar w:left="320" w:top="1039"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Cumberland Pharmaceuticals Inc. (the “Company”) on Form 10-K for the fiscal year ended December 31, 2020, as filed with the Securities and Exchange Commission on the date hereof (the “Report”), I, A.J. Kazimi, Chief Executive Officer, and Michael P. Bonner, Senior Director and Chief Financial Officer, of the Company, certify, pursuant to Section 906 of the Sarbanes-Oxley Act of 2002 (18 U.S.C. section 1350), that, based on my knowledge:</w:t>
      </w:r>
    </w:p>
    <w:p>
      <w:pPr>
        <w:spacing w:after="0" w:line="119"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Michael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P. Bonner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Director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1"/>
      <w:numFmt w:val="decimal"/>
      <w:start w:val="2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2"/>
    </w:lvl>
  </w:abstractNum>
  <w:abstractNum w:abstractNumId="41">
    <w:nsid w:val="98A3148"/>
    <w:multiLevelType w:val="hybridMultilevel"/>
    <w:lvl w:ilvl="0">
      <w:lvlJc w:val="left"/>
      <w:lvlText w:val="(%1)"/>
      <w:numFmt w:val="decimal"/>
      <w:start w:val="3"/>
    </w:lvl>
  </w:abstractNum>
  <w:abstractNum w:abstractNumId="42">
    <w:nsid w:val="799D0247"/>
    <w:multiLevelType w:val="hybridMultilevel"/>
    <w:lvl w:ilvl="0">
      <w:lvlJc w:val="left"/>
      <w:lvlText w:val="(%1)"/>
      <w:numFmt w:val="decimal"/>
      <w:start w:val="4"/>
    </w:lvl>
  </w:abstractNum>
  <w:abstractNum w:abstractNumId="43">
    <w:nsid w:val="6B94764"/>
    <w:multiLevelType w:val="hybridMultilevel"/>
    <w:lvl w:ilvl="0">
      <w:lvlJc w:val="left"/>
      <w:lvlText w:val="(%1)"/>
      <w:numFmt w:val="decimal"/>
      <w:start w:val="6"/>
    </w:lvl>
  </w:abstractNum>
  <w:abstractNum w:abstractNumId="44">
    <w:nsid w:val="42C296BD"/>
    <w:multiLevelType w:val="hybridMultilevel"/>
    <w:lvl w:ilvl="0">
      <w:lvlJc w:val="left"/>
      <w:lvlText w:val="(%1)"/>
      <w:numFmt w:val="decimal"/>
      <w:start w:val="9"/>
    </w:lvl>
  </w:abstractNum>
  <w:abstractNum w:abstractNumId="45">
    <w:nsid w:val="168E121F"/>
    <w:multiLevelType w:val="hybridMultilevel"/>
    <w:lvl w:ilvl="0">
      <w:lvlJc w:val="left"/>
      <w:lvlText w:val="(%1)"/>
      <w:numFmt w:val="decimal"/>
      <w:start w:val="10"/>
    </w:lvl>
    <w:lvl w:ilvl="1">
      <w:lvlJc w:val="left"/>
      <w:lvlText w:val="(%2)"/>
      <w:numFmt w:val="lowerLetter"/>
      <w:start w:val="1"/>
    </w:lvl>
  </w:abstractNum>
  <w:abstractNum w:abstractNumId="46">
    <w:nsid w:val="1EBA5D23"/>
    <w:multiLevelType w:val="hybridMultilevel"/>
    <w:lvl w:ilvl="0">
      <w:lvlJc w:val="left"/>
      <w:lvlText w:val="(%1)"/>
      <w:numFmt w:val="lowerLetter"/>
      <w:start w:val="2"/>
    </w:lvl>
  </w:abstractNum>
  <w:abstractNum w:abstractNumId="47">
    <w:nsid w:val="661E3F1E"/>
    <w:multiLevelType w:val="hybridMultilevel"/>
    <w:lvl w:ilvl="0">
      <w:lvlJc w:val="left"/>
      <w:lvlText w:val="(%1)"/>
      <w:numFmt w:val="lowerLetter"/>
      <w:start w:val="7"/>
    </w:lvl>
  </w:abstractNum>
  <w:abstractNum w:abstractNumId="48">
    <w:nsid w:val="5DC79EA8"/>
    <w:multiLevelType w:val="hybridMultilevel"/>
    <w:lvl w:ilvl="0">
      <w:lvlJc w:val="left"/>
      <w:lvlText w:val="(%1)"/>
      <w:numFmt w:val="lowerLetter"/>
      <w:start w:val="8"/>
    </w:lvl>
  </w:abstractNum>
  <w:abstractNum w:abstractNumId="49">
    <w:nsid w:val="540A471C"/>
    <w:multiLevelType w:val="hybridMultilevel"/>
    <w:lvl w:ilvl="0">
      <w:lvlJc w:val="left"/>
      <w:lvlText w:val="(%1)"/>
      <w:numFmt w:val="decimal"/>
      <w:start w:val="11"/>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lowerLetter"/>
      <w:start w:val="4"/>
    </w:lvl>
    <w:lvl w:ilvl="1">
      <w:lvlJc w:val="left"/>
      <w:lvlText w:val="%2."/>
      <w:numFmt w:val="decimal"/>
      <w:start w:val="1"/>
    </w:lvl>
  </w:abstractNum>
  <w:abstractNum w:abstractNumId="53">
    <w:nsid w:val="BF72B14"/>
    <w:multiLevelType w:val="hybridMultilevel"/>
    <w:lvl w:ilvl="0">
      <w:lvlJc w:val="left"/>
      <w:lvlText w:val="%1."/>
      <w:numFmt w:val="decimal"/>
      <w:start w:val="3"/>
    </w:lvl>
  </w:abstractNum>
  <w:abstractNum w:abstractNumId="54">
    <w:nsid w:val="11447B73"/>
    <w:multiLevelType w:val="hybridMultilevel"/>
    <w:lvl w:ilvl="0">
      <w:lvlJc w:val="left"/>
      <w:lvlText w:val="%1."/>
      <w:numFmt w:val="decimal"/>
      <w:start w:val="6"/>
    </w:lvl>
  </w:abstractNum>
  <w:abstractNum w:abstractNumId="55">
    <w:nsid w:val="42963E5A"/>
    <w:multiLevelType w:val="hybridMultilevel"/>
    <w:lvl w:ilvl="0">
      <w:lvlJc w:val="left"/>
      <w:lvlText w:val="%1."/>
      <w:numFmt w:val="decimal"/>
      <w:start w:val="9"/>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decimal"/>
      <w:start w:val="11"/>
    </w:lvl>
  </w:abstractNum>
  <w:abstractNum w:abstractNumId="58">
    <w:nsid w:val="1A32234B"/>
    <w:multiLevelType w:val="hybridMultilevel"/>
    <w:lvl w:ilvl="0">
      <w:lvlJc w:val="left"/>
      <w:lvlText w:val="%1."/>
      <w:numFmt w:val="decimal"/>
      <w:start w:val="14"/>
    </w:lvl>
  </w:abstractNum>
  <w:abstractNum w:abstractNumId="59">
    <w:nsid w:val="3B0FD379"/>
    <w:multiLevelType w:val="hybridMultilevel"/>
    <w:lvl w:ilvl="0">
      <w:lvlJc w:val="left"/>
      <w:lvlText w:val="%1."/>
      <w:numFmt w:val="decimal"/>
      <w:start w:val="18"/>
    </w:lvl>
    <w:lvl w:ilvl="1">
      <w:lvlJc w:val="left"/>
      <w:lvlText w:val="#"/>
      <w:numFmt w:val="bullet"/>
      <w:start w:val="1"/>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1)"/>
      <w:numFmt w:val="lowerLetter"/>
      <w:start w:val="4"/>
    </w:lvl>
    <w:lvl w:ilvl="1">
      <w:lvlJc w:val="left"/>
      <w:lvlText w:val="%2."/>
      <w:numFmt w:val="decimal"/>
      <w:start w:val="1"/>
    </w:lvl>
  </w:abstractNum>
  <w:abstractNum w:abstractNumId="62">
    <w:nsid w:val="60B6DF70"/>
    <w:multiLevelType w:val="hybridMultilevel"/>
    <w:lvl w:ilvl="0">
      <w:lvlJc w:val="left"/>
      <w:lvlText w:val="%1."/>
      <w:numFmt w:val="decimal"/>
      <w:start w:val="3"/>
    </w:lvl>
  </w:abstractNum>
  <w:abstractNum w:abstractNumId="63">
    <w:nsid w:val="6A5EE64"/>
    <w:multiLevelType w:val="hybridMultilevel"/>
    <w:lvl w:ilvl="0">
      <w:lvlJc w:val="left"/>
      <w:lvlText w:val="%1."/>
      <w:numFmt w:val="decimal"/>
      <w:start w:val="6"/>
    </w:lvl>
  </w:abstractNum>
  <w:abstractNum w:abstractNumId="64">
    <w:nsid w:val="14330624"/>
    <w:multiLevelType w:val="hybridMultilevel"/>
    <w:lvl w:ilvl="0">
      <w:lvlJc w:val="left"/>
      <w:lvlText w:val="%1."/>
      <w:numFmt w:val="decimal"/>
      <w:start w:val="9"/>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decimal"/>
      <w:start w:val="11"/>
    </w:lvl>
  </w:abstractNum>
  <w:abstractNum w:abstractNumId="67">
    <w:nsid w:val="71EA1109"/>
    <w:multiLevelType w:val="hybridMultilevel"/>
    <w:lvl w:ilvl="0">
      <w:lvlJc w:val="left"/>
      <w:lvlText w:val="%1."/>
      <w:numFmt w:val="decimal"/>
      <w:start w:val="14"/>
    </w:lvl>
  </w:abstractNum>
  <w:abstractNum w:abstractNumId="68">
    <w:nsid w:val="100F59DC"/>
    <w:multiLevelType w:val="hybridMultilevel"/>
    <w:lvl w:ilvl="0">
      <w:lvlJc w:val="left"/>
      <w:lvlText w:val="%1."/>
      <w:numFmt w:val="decimal"/>
      <w:start w:val="18"/>
    </w:lvl>
    <w:lvl w:ilvl="1">
      <w:lvlJc w:val="left"/>
      <w:lvlText w:val="#"/>
      <w:numFmt w:val="bullet"/>
      <w:start w:val="1"/>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lowerLetter"/>
      <w:start w:val="4"/>
    </w:lvl>
    <w:lvl w:ilvl="1">
      <w:lvlJc w:val="left"/>
      <w:lvlText w:val="%2."/>
      <w:numFmt w:val="decimal"/>
      <w:start w:val="1"/>
    </w:lvl>
  </w:abstractNum>
  <w:abstractNum w:abstractNumId="71">
    <w:nsid w:val="6F6DD9AC"/>
    <w:multiLevelType w:val="hybridMultilevel"/>
    <w:lvl w:ilvl="0">
      <w:lvlJc w:val="left"/>
      <w:lvlText w:val="%1."/>
      <w:numFmt w:val="decimal"/>
      <w:start w:val="3"/>
    </w:lvl>
  </w:abstractNum>
  <w:abstractNum w:abstractNumId="72">
    <w:nsid w:val="94211F2"/>
    <w:multiLevelType w:val="hybridMultilevel"/>
    <w:lvl w:ilvl="0">
      <w:lvlJc w:val="left"/>
      <w:lvlText w:val="%1."/>
      <w:numFmt w:val="decimal"/>
      <w:start w:val="6"/>
    </w:lvl>
  </w:abstractNum>
  <w:abstractNum w:abstractNumId="73">
    <w:nsid w:val="885E1B"/>
    <w:multiLevelType w:val="hybridMultilevel"/>
    <w:lvl w:ilvl="0">
      <w:lvlJc w:val="left"/>
      <w:lvlText w:val="%1."/>
      <w:numFmt w:val="decimal"/>
      <w:start w:val="9"/>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decimal"/>
      <w:start w:val="11"/>
    </w:lvl>
  </w:abstractNum>
  <w:abstractNum w:abstractNumId="76">
    <w:nsid w:val="1716703B"/>
    <w:multiLevelType w:val="hybridMultilevel"/>
    <w:lvl w:ilvl="0">
      <w:lvlJc w:val="left"/>
      <w:lvlText w:val="%1."/>
      <w:numFmt w:val="decimal"/>
      <w:start w:val="14"/>
    </w:lvl>
  </w:abstractNum>
  <w:abstractNum w:abstractNumId="77">
    <w:nsid w:val="14E17E33"/>
    <w:multiLevelType w:val="hybridMultilevel"/>
    <w:lvl w:ilvl="0">
      <w:lvlJc w:val="left"/>
      <w:lvlText w:val="%1."/>
      <w:numFmt w:val="decimal"/>
      <w:start w:val="18"/>
    </w:lvl>
    <w:lvl w:ilvl="1">
      <w:lvlJc w:val="left"/>
      <w:lvlText w:val="#"/>
      <w:numFmt w:val="bullet"/>
      <w:start w:val="1"/>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4"/>
    </w:lvl>
    <w:lvl w:ilvl="1">
      <w:lvlJc w:val="left"/>
      <w:lvlText w:val="%2."/>
      <w:numFmt w:val="decimal"/>
      <w:start w:val="1"/>
    </w:lvl>
  </w:abstractNum>
  <w:abstractNum w:abstractNumId="80">
    <w:nsid w:val="68EBC550"/>
    <w:multiLevelType w:val="hybridMultilevel"/>
    <w:lvl w:ilvl="0">
      <w:lvlJc w:val="left"/>
      <w:lvlText w:val="%1."/>
      <w:numFmt w:val="decimal"/>
      <w:start w:val="3"/>
    </w:lvl>
  </w:abstractNum>
  <w:abstractNum w:abstractNumId="81">
    <w:nsid w:val="2DF6D648"/>
    <w:multiLevelType w:val="hybridMultilevel"/>
    <w:lvl w:ilvl="0">
      <w:lvlJc w:val="left"/>
      <w:lvlText w:val="%1."/>
      <w:numFmt w:val="decimal"/>
      <w:start w:val="6"/>
    </w:lvl>
  </w:abstractNum>
  <w:abstractNum w:abstractNumId="82">
    <w:nsid w:val="46B7D447"/>
    <w:multiLevelType w:val="hybridMultilevel"/>
    <w:lvl w:ilvl="0">
      <w:lvlJc w:val="left"/>
      <w:lvlText w:val="%1."/>
      <w:numFmt w:val="decimal"/>
      <w:start w:val="9"/>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decimal"/>
      <w:start w:val="11"/>
    </w:lvl>
  </w:abstractNum>
  <w:abstractNum w:abstractNumId="85">
    <w:nsid w:val="57FC4FBB"/>
    <w:multiLevelType w:val="hybridMultilevel"/>
    <w:lvl w:ilvl="0">
      <w:lvlJc w:val="left"/>
      <w:lvlText w:val="%1."/>
      <w:numFmt w:val="decimal"/>
      <w:start w:val="14"/>
    </w:lvl>
  </w:abstractNum>
  <w:abstractNum w:abstractNumId="86">
    <w:nsid w:val="CC1016F"/>
    <w:multiLevelType w:val="hybridMultilevel"/>
    <w:lvl w:ilvl="0">
      <w:lvlJc w:val="left"/>
      <w:lvlText w:val="%1."/>
      <w:numFmt w:val="decimal"/>
      <w:start w:val="18"/>
    </w:lvl>
    <w:lvl w:ilvl="1">
      <w:lvlJc w:val="left"/>
      <w:lvlText w:val="#"/>
      <w:numFmt w:val="bullet"/>
      <w:start w:val="1"/>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lowerLetter"/>
      <w:start w:val="5"/>
    </w:lvl>
    <w:lvl w:ilvl="1">
      <w:lvlJc w:val="left"/>
      <w:lvlText w:val="%2."/>
      <w:numFmt w:val="decimal"/>
      <w:start w:val="1"/>
    </w:lvl>
  </w:abstractNum>
  <w:abstractNum w:abstractNumId="89">
    <w:nsid w:val="26F324BA"/>
    <w:multiLevelType w:val="hybridMultilevel"/>
    <w:lvl w:ilvl="0">
      <w:lvlJc w:val="left"/>
      <w:lvlText w:val="%1."/>
      <w:numFmt w:val="decimal"/>
      <w:start w:val="3"/>
    </w:lvl>
  </w:abstractNum>
  <w:abstractNum w:abstractNumId="90">
    <w:nsid w:val="7F01579B"/>
    <w:multiLevelType w:val="hybridMultilevel"/>
    <w:lvl w:ilvl="0">
      <w:lvlJc w:val="left"/>
      <w:lvlText w:val="%1."/>
      <w:numFmt w:val="decimal"/>
      <w:start w:val="7"/>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lowerLetter"/>
      <w:start w:val="2"/>
    </w:lvl>
  </w:abstractNum>
  <w:abstractNum w:abstractNumId="93">
    <w:nsid w:val="5FB8370B"/>
    <w:multiLevelType w:val="hybridMultilevel"/>
    <w:lvl w:ilvl="0">
      <w:lvlJc w:val="left"/>
      <w:lvlText w:val="%1."/>
      <w:numFmt w:val="decimal"/>
      <w:start w:val="11"/>
    </w:lvl>
  </w:abstractNum>
  <w:abstractNum w:abstractNumId="94">
    <w:nsid w:val="50801EE1"/>
    <w:multiLevelType w:val="hybridMultilevel"/>
    <w:lvl w:ilvl="0">
      <w:lvlJc w:val="left"/>
      <w:lvlText w:val="%1."/>
      <w:numFmt w:val="decimal"/>
      <w:start w:val="18"/>
    </w:lvl>
  </w:abstractNum>
  <w:abstractNum w:abstractNumId="95">
    <w:nsid w:val="488AC1A"/>
    <w:multiLevelType w:val="hybridMultilevel"/>
    <w:lvl w:ilvl="0">
      <w:lvlJc w:val="left"/>
      <w:lvlText w:val="%1."/>
      <w:numFmt w:val="decimal"/>
      <w:start w:val="19"/>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4" Type="http://schemas.openxmlformats.org/officeDocument/2006/relationships/image" Target="media/image81.png"/><Relationship Id="rId103" Type="http://schemas.openxmlformats.org/officeDocument/2006/relationships/image" Target="media/image82.png"/><Relationship Id="rId115" Type="http://schemas.openxmlformats.org/officeDocument/2006/relationships/image" Target="media/image83.png"/><Relationship Id="rId126"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88" Type="http://schemas.openxmlformats.org/officeDocument/2006/relationships/hyperlink" Target="http://www.sec.gov/Archives/edgar/data/1087294/000095012309023228/c0628619exv3w1.htm" TargetMode="External"/><Relationship Id="rId89" Type="http://schemas.openxmlformats.org/officeDocument/2006/relationships/hyperlink" Target="http://www.sec.gov/Archives/edgar/data/1087294/000095012309023228/c0628619exv3w2.htm" TargetMode="External"/><Relationship Id="rId90" Type="http://schemas.openxmlformats.org/officeDocument/2006/relationships/hyperlink" Target="http://www.sec.gov/Archives/edgar/data/1087294/000095014407007248/g06286a5exv4w1.htm" TargetMode="External"/><Relationship Id="rId91" Type="http://schemas.openxmlformats.org/officeDocument/2006/relationships/hyperlink" Target="http://www.sec.gov/Archives/edgar/data/1087294/000119312517372414/d489256dex42.htm" TargetMode="External"/><Relationship Id="rId92" Type="http://schemas.openxmlformats.org/officeDocument/2006/relationships/hyperlink" Target="http://www.sec.gov/Archives/edgar/data/1087294/000119312517335943/d489256dex42.htm" TargetMode="External"/><Relationship Id="rId93" Type="http://schemas.openxmlformats.org/officeDocument/2006/relationships/hyperlink" Target="http://www.sec.gov/Archives/edgar/data/1087294/000119312517335943/d489256dex43.htm" TargetMode="External"/><Relationship Id="rId95" Type="http://schemas.openxmlformats.org/officeDocument/2006/relationships/hyperlink" Target="http://www.sec.gov/Archives/edgar/data/1087294/000095014407004069/g06286exv4w5.htm" TargetMode="External"/><Relationship Id="rId96" Type="http://schemas.openxmlformats.org/officeDocument/2006/relationships/hyperlink" Target="http://www.sec.gov/Archives/edgar/data/1087294/000144530513000573/cpixexhibit461.htm" TargetMode="External"/><Relationship Id="rId97" Type="http://schemas.openxmlformats.org/officeDocument/2006/relationships/hyperlink" Target="http://www.sec.gov/Archives/edgar/data/1087294/000144530513000573/cpixexhibit462.htm" TargetMode="External"/><Relationship Id="rId98" Type="http://schemas.openxmlformats.org/officeDocument/2006/relationships/hyperlink" Target="http://www.sec.gov/Archives/edgar/data/1087294/000144530513000573/cpixexhibit47.htm" TargetMode="External"/><Relationship Id="rId99" Type="http://schemas.openxmlformats.org/officeDocument/2006/relationships/hyperlink" Target="http://www.sec.gov/Archives/edgar/data/1087294/000095012310026333/g22569exv4w8.htm" TargetMode="External"/><Relationship Id="rId100" Type="http://schemas.openxmlformats.org/officeDocument/2006/relationships/hyperlink" Target="http://www.sec.gov/Archives/edgar/data/1087294/000129993310003084/exhibit1.htm" TargetMode="External"/><Relationship Id="rId101" Type="http://schemas.openxmlformats.org/officeDocument/2006/relationships/hyperlink" Target="http://www.sec.gov/Archives/edgar/data/1087294/000108729413000004/exhibit1071amendmenttoexcl.htm" TargetMode="External"/><Relationship Id="rId102" Type="http://schemas.openxmlformats.org/officeDocument/2006/relationships/hyperlink" Target="http://www.sec.gov/Archives/edgar/data/1087294/000095014407006504/g06286a3exv10w10.htm" TargetMode="External"/><Relationship Id="rId104" Type="http://schemas.openxmlformats.org/officeDocument/2006/relationships/hyperlink" Target="http://www.sec.gov/Archives/edgar/data/1087294/000095014407004069/g06286exv10w17.htm" TargetMode="External"/><Relationship Id="rId105" Type="http://schemas.openxmlformats.org/officeDocument/2006/relationships/hyperlink" Target="http://www.sec.gov/Archives/edgar/data/1087294/000119312512107956/d293470ddef14a.htm" TargetMode="External"/><Relationship Id="rId106" Type="http://schemas.openxmlformats.org/officeDocument/2006/relationships/hyperlink" Target="http://www.sec.gov/Archives/edgar/data/1087294/000095014407004069/g06286exv10w20.htm" TargetMode="External"/><Relationship Id="rId107" Type="http://schemas.openxmlformats.org/officeDocument/2006/relationships/hyperlink" Target="http://www.sec.gov/Archives/edgar/data/1087294/000095014407006504/g06286a3exv10w21.htm" TargetMode="External"/><Relationship Id="rId108" Type="http://schemas.openxmlformats.org/officeDocument/2006/relationships/hyperlink" Target="http://www.sec.gov/Archives/edgar/data/1087294/000095014408004306/g06286b1exv10w21w1.htm" TargetMode="External"/><Relationship Id="rId109" Type="http://schemas.openxmlformats.org/officeDocument/2006/relationships/hyperlink" Target="http://www.sec.gov/Archives/edgar/data/1087294/000095012310050308/g23297exv10w21w2.htm" TargetMode="External"/><Relationship Id="rId110" Type="http://schemas.openxmlformats.org/officeDocument/2006/relationships/hyperlink" Target="http://www.sec.gov/Archives/edgar/data/1087294/000162828015008469/q3201510q.htm" TargetMode="External"/><Relationship Id="rId111" Type="http://schemas.openxmlformats.org/officeDocument/2006/relationships/hyperlink" Target="http://www.sec.gov/Archives/edgar/data/1087294/000095014407004069/g06286exv10w23.htm" TargetMode="External"/><Relationship Id="rId112" Type="http://schemas.openxmlformats.org/officeDocument/2006/relationships/hyperlink" Target="http://www.sec.gov/Archives/edgar/data/1087294/000095014407004069/g06286exv10w24.htm" TargetMode="External"/><Relationship Id="rId113" Type="http://schemas.openxmlformats.org/officeDocument/2006/relationships/hyperlink" Target="http://www.sec.gov/Archives/edgar/data/1087294/000095014408004306/g06286b1exv10w24w1.htm" TargetMode="External"/><Relationship Id="rId114" Type="http://schemas.openxmlformats.org/officeDocument/2006/relationships/hyperlink" Target="http://www.sec.gov/Archives/edgar/data/1087294/000119312512347942/d334181dex10241.htm" TargetMode="External"/><Relationship Id="rId116" Type="http://schemas.openxmlformats.org/officeDocument/2006/relationships/hyperlink" Target="http://www.sec.gov/Archives/edgar/data/1087294/000162828016012682/a2015-10kxexhibit1025gelli.htm" TargetMode="External"/><Relationship Id="rId117" Type="http://schemas.openxmlformats.org/officeDocument/2006/relationships/hyperlink" Target="http://www.sec.gov/Archives/edgar/data/1087294/000129993311003397/exhibit1.htm" TargetMode="External"/><Relationship Id="rId118" Type="http://schemas.openxmlformats.org/officeDocument/2006/relationships/hyperlink" Target="http://www.sec.gov/Archives/edgar/data/1087294/000119312512247355/d358671dex1030.htm" TargetMode="External"/><Relationship Id="rId119" Type="http://schemas.openxmlformats.org/officeDocument/2006/relationships/hyperlink" Target="http://www.sec.gov/Archives/edgar/data/1087294/000144530513000573/cpixexhibit1031-perrigoxpa.htm" TargetMode="External"/><Relationship Id="rId120" Type="http://schemas.openxmlformats.org/officeDocument/2006/relationships/hyperlink" Target="http://www.sec.gov/Archives/edgar/data/1087294/000144530513000573/cpixexhibit1032-perrigoxpa.htm" TargetMode="External"/><Relationship Id="rId121" Type="http://schemas.openxmlformats.org/officeDocument/2006/relationships/hyperlink" Target="http://www.sec.gov/Archives/edgar/data/1087294/000162828017011224/loanagreementexhibit1034.htm" TargetMode="External"/><Relationship Id="rId122" Type="http://schemas.openxmlformats.org/officeDocument/2006/relationships/hyperlink" Target="https://www.sec.gov/Archives/edgar/data/1087294/000162828020012738/exhibit101-amendment2l.htm" TargetMode="External"/><Relationship Id="rId123" Type="http://schemas.openxmlformats.org/officeDocument/2006/relationships/hyperlink" Target="https://www.sec.gov/Archives/edgar/data/1087294/000162828020012738/exhibit102-amendment2d.htm" TargetMode="External"/><Relationship Id="rId124" Type="http://schemas.openxmlformats.org/officeDocument/2006/relationships/hyperlink" Target="https://www.sec.gov/Archives/edgar/data/1087294/000162828020012738/exhibit103-form147_716ba.htm" TargetMode="External"/><Relationship Id="rId125" Type="http://schemas.openxmlformats.org/officeDocument/2006/relationships/hyperlink" Target="https://www.sec.gov/Archives/edgar/data/1087294/000162828020016446/a2020q3-exhibit101.htm" TargetMode="External"/><Relationship Id="rId127" Type="http://schemas.openxmlformats.org/officeDocument/2006/relationships/hyperlink" Target="http://www.sec.gov/Archives/edgar/data/1087294/000095014407004069/g06286exv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2021-03-12T16:28:08Z</dcterms:created>
  <dcterms:modified xsi:type="dcterms:W3CDTF">2021-03-12T16:28:08Z</dcterms:modified>
</cp:coreProperties>
</file>