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August 5, 2025 (August 5, 2025)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August 5, 2025, Cumberland Pharmaceuticals Inc. (the "Company") issued a press release which provided a company update and the financial results for the three and six months ended June 30, 2025. A copy of the press release is attached as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 xml:space="preserve"> to this Current Report on Form 8-K and is incorporated by reference into this Item 2.02.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140" w:type="dxa"/>
            <w:vAlign w:val="bottom"/>
          </w:tcPr>
          <w:p>
            <w:pPr>
              <w:spacing w:after="0"/>
              <w:rPr>
                <w:sz w:val="24"/>
                <w:szCs w:val="24"/>
                <w:color w:val="auto"/>
              </w:rPr>
            </w:pPr>
          </w:p>
        </w:tc>
        <w:tc>
          <w:tcPr>
            <w:tcW w:w="7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dated August 5, 2025</w:t>
            </w:r>
          </w:p>
        </w:tc>
      </w:tr>
      <w:tr>
        <w:trPr>
          <w:trHeight w:val="1000"/>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00" w:type="dxa"/>
            <w:vAlign w:val="bottom"/>
            <w:tcBorders>
              <w:top w:val="single" w:sz="8" w:color="0000FF"/>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686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5, 2025</w:t>
            </w:r>
          </w:p>
        </w:tc>
        <w:tc>
          <w:tcPr>
            <w:tcW w:w="40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3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3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089"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2033905</wp:posOffset>
            </wp:positionH>
            <wp:positionV relativeFrom="page">
              <wp:posOffset>826135</wp:posOffset>
            </wp:positionV>
            <wp:extent cx="348869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48869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Cumberland Pharmaceuticals Reports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23% Revenue Growth Year-to-Date</w:t>
      </w:r>
    </w:p>
    <w:p>
      <w:pPr>
        <w:spacing w:after="0" w:line="200" w:lineRule="exact"/>
        <w:rPr>
          <w:sz w:val="20"/>
          <w:szCs w:val="20"/>
          <w:color w:val="auto"/>
        </w:rPr>
      </w:pPr>
    </w:p>
    <w:p>
      <w:pPr>
        <w:spacing w:after="0" w:line="2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NASHVILLE, Tenn. (Tuesday, August 5, 2025) – Cumberland Pharmaceuticals Inc. (Nasdaq: CPIX)</w:t>
      </w:r>
      <w:r>
        <w:rPr>
          <w:rFonts w:ascii="Times New Roman" w:cs="Times New Roman" w:eastAsia="Times New Roman" w:hAnsi="Times New Roman"/>
          <w:sz w:val="22"/>
          <w:szCs w:val="22"/>
          <w:color w:val="auto"/>
        </w:rPr>
        <w:t>, a specialty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pharmaceutical company, announced today that its product portfolio of FDA-approved brands delivered combined net revenues of </w:t>
      </w:r>
      <w:r>
        <w:rPr>
          <w:rFonts w:ascii="Times New Roman" w:cs="Times New Roman" w:eastAsia="Times New Roman" w:hAnsi="Times New Roman"/>
          <w:sz w:val="22"/>
          <w:szCs w:val="22"/>
          <w:color w:val="242424"/>
        </w:rPr>
        <w:t>$10.8 million</w:t>
      </w:r>
      <w:r>
        <w:rPr>
          <w:rFonts w:ascii="Times New Roman" w:cs="Times New Roman" w:eastAsia="Times New Roman" w:hAnsi="Times New Roman"/>
          <w:sz w:val="22"/>
          <w:szCs w:val="22"/>
          <w:color w:val="auto"/>
        </w:rPr>
        <w:t xml:space="preserve"> during the second quarter of 2025, a 10% increase over the prior year period. Year-to-date revenues for the first six months of the year totaled $22.6 million, representing an increase of 23% over the first half of 2024.</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Cumberland ended the quarter with approximately </w:t>
      </w:r>
      <w:r>
        <w:rPr>
          <w:rFonts w:ascii="Times New Roman" w:cs="Times New Roman" w:eastAsia="Times New Roman" w:hAnsi="Times New Roman"/>
          <w:sz w:val="22"/>
          <w:szCs w:val="22"/>
          <w:color w:val="242424"/>
        </w:rPr>
        <w:t>$68 million</w:t>
      </w:r>
      <w:r>
        <w:rPr>
          <w:rFonts w:ascii="Times New Roman" w:cs="Times New Roman" w:eastAsia="Times New Roman" w:hAnsi="Times New Roman"/>
          <w:sz w:val="22"/>
          <w:szCs w:val="22"/>
          <w:color w:val="auto"/>
        </w:rPr>
        <w:t xml:space="preserve"> in total assets, </w:t>
      </w:r>
      <w:r>
        <w:rPr>
          <w:rFonts w:ascii="Times New Roman" w:cs="Times New Roman" w:eastAsia="Times New Roman" w:hAnsi="Times New Roman"/>
          <w:sz w:val="22"/>
          <w:szCs w:val="22"/>
          <w:color w:val="242424"/>
        </w:rPr>
        <w:t>$40 million</w:t>
      </w:r>
      <w:r>
        <w:rPr>
          <w:rFonts w:ascii="Times New Roman" w:cs="Times New Roman" w:eastAsia="Times New Roman" w:hAnsi="Times New Roman"/>
          <w:sz w:val="22"/>
          <w:szCs w:val="22"/>
          <w:color w:val="auto"/>
        </w:rPr>
        <w:t xml:space="preserve"> in liabilities and </w:t>
      </w:r>
      <w:r>
        <w:rPr>
          <w:rFonts w:ascii="Times New Roman" w:cs="Times New Roman" w:eastAsia="Times New Roman" w:hAnsi="Times New Roman"/>
          <w:sz w:val="22"/>
          <w:szCs w:val="22"/>
          <w:color w:val="242424"/>
        </w:rPr>
        <w:t>$28 million</w:t>
      </w:r>
      <w:r>
        <w:rPr>
          <w:rFonts w:ascii="Times New Roman" w:cs="Times New Roman" w:eastAsia="Times New Roman" w:hAnsi="Times New Roman"/>
          <w:sz w:val="22"/>
          <w:szCs w:val="22"/>
          <w:color w:val="auto"/>
        </w:rPr>
        <w:t xml:space="preserve"> of shareholders’ equity.</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have had a strong first half of the year, especially following the progress of our clinical development programs,” said Cumberland Pharmaceuticals CEO A.J. Kazimi. “We look forward to building on this success throughout the remainder of the year as we continue our mission of working together to provide unique products that improve the quality of patient care.”</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RECENT COMPANY DEVELOPMENTS INCLUDE: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4-Vial Starter Pak Now Available for Vizient Providers</w:t>
      </w:r>
    </w:p>
    <w:p>
      <w:pPr>
        <w:spacing w:after="0" w:line="8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Cumberland recently announced the availability of the Vibativ (telavancin) 4-Vial Starter Pak through a new supply arrangement with Vizient Inc., making it accessible to their health care providers nationwide.</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As the country’s largest provider-driven health care performance improvement company, Vizient serves more than 65% of the nation’s acute care providers, including 97% of academic medical centers and 35% of the non-acute market. Through this agreement, Vizient members now have access to Vibativ’s new 4-vial configuration, which supports flexible treatment initiation in both inpatient and outpatient settings for this potentially life-saving therapy.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Pharmacokinetic Analysis Reinforces Vibativ Dosing Strategies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A comprehensive new pharmacokinetic analysis of Vibativ was published in </w:t>
      </w:r>
      <w:r>
        <w:rPr>
          <w:rFonts w:ascii="Times New Roman" w:cs="Times New Roman" w:eastAsia="Times New Roman" w:hAnsi="Times New Roman"/>
          <w:sz w:val="22"/>
          <w:szCs w:val="22"/>
          <w:i w:val="1"/>
          <w:iCs w:val="1"/>
          <w:color w:val="auto"/>
        </w:rPr>
        <w:t>Antimicrobial Agents and Chemotherapy</w:t>
      </w:r>
      <w:r>
        <w:rPr>
          <w:rFonts w:ascii="Times New Roman" w:cs="Times New Roman" w:eastAsia="Times New Roman" w:hAnsi="Times New Roman"/>
          <w:sz w:val="22"/>
          <w:szCs w:val="22"/>
          <w:color w:val="auto"/>
        </w:rPr>
        <w:t xml:space="preserve"> in June 2025. The analysis utilizes data from over 1,200 patients across varied demographics and comorbidity profiles. The findings support optimized dosing strategies for patients with different infection severities and renal function levels, reinforcing Vibativ’s critical role in treating life-threatening gram-positive infections.</w:t>
      </w:r>
    </w:p>
    <w:p>
      <w:pPr>
        <w:sectPr>
          <w:pgSz w:w="11900" w:h="16838" w:orient="portrait"/>
          <w:cols w:equalWidth="0" w:num="1">
            <w:col w:w="11240"/>
          </w:cols>
          <w:pgMar w:left="320" w:top="1440" w:right="339" w:bottom="1440" w:gutter="0" w:footer="0" w:header="0"/>
        </w:sectPr>
      </w:pPr>
    </w:p>
    <w:bookmarkStart w:id="4" w:name="page5"/>
    <w:bookmarkEnd w:id="4"/>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Ifetroban Clinical Studies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In June 2025, breakthrough findings from Cumberland’s Phase II FIGHT DMD trial, evaluating its ifetroban product candidate in patients with Duchenne muscular dystrophy ("DMD"), were presented at the </w:t>
      </w:r>
      <w:r>
        <w:rPr>
          <w:rFonts w:ascii="Times New Roman" w:cs="Times New Roman" w:eastAsia="Times New Roman" w:hAnsi="Times New Roman"/>
          <w:sz w:val="22"/>
          <w:szCs w:val="22"/>
          <w:i w:val="1"/>
          <w:iCs w:val="1"/>
          <w:color w:val="auto"/>
        </w:rPr>
        <w:t>Parent Project Muscular Dystrophy 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Conference</w:t>
      </w:r>
      <w:r>
        <w:rPr>
          <w:rFonts w:ascii="Times New Roman" w:cs="Times New Roman" w:eastAsia="Times New Roman" w:hAnsi="Times New Roman"/>
          <w:sz w:val="22"/>
          <w:szCs w:val="22"/>
          <w:color w:val="auto"/>
        </w:rPr>
        <w:t>. The findings demonstrated that high-dose ifetroban delivered a 5.4% improvement in cardiac function in patients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DMD. The presentation also included additional biomarker data indicating reduced cardiac damage, which correlated with the clinical findings. These results position ifetroban as a potential treatment for DMD cardiomyopathy – the leading cause of death in these patients and a critical unmet medical need affecting 90% of DMD patients.</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top-line FIGHT DMD study findings were also selected for a late-breaking presentation at the </w:t>
      </w:r>
      <w:r>
        <w:rPr>
          <w:rFonts w:ascii="Times New Roman" w:cs="Times New Roman" w:eastAsia="Times New Roman" w:hAnsi="Times New Roman"/>
          <w:sz w:val="22"/>
          <w:szCs w:val="22"/>
          <w:i w:val="1"/>
          <w:iCs w:val="1"/>
          <w:color w:val="auto"/>
        </w:rPr>
        <w:t>Muscular Dystrophy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Association’s Clinical &amp; Scientific Conference </w:t>
      </w:r>
      <w:r>
        <w:rPr>
          <w:rFonts w:ascii="Times New Roman" w:cs="Times New Roman" w:eastAsia="Times New Roman" w:hAnsi="Times New Roman"/>
          <w:sz w:val="22"/>
          <w:szCs w:val="22"/>
          <w:color w:val="auto"/>
        </w:rPr>
        <w:t>in March 2025. In June 2025, Cumberland completed the comprehensive analysis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study results, completed its clinical study report and submitted it to the FDA along with a request for an end-of-Phase II meeting.</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Meanwhile, Cumberland has been evaluating its ifetroban product candidate in a Phase II clinical program in patients with Systemic Sclerosis. Enrollment in the study was completed this year, and Cumberland is monitoring the clinical sites in preparation to lock the database and begin evaluating the results.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 addition, Cumberland has a Phase II clinical study, the FIGHTING FIBROSIS™ trial, underway in patients with Idiopathic Pulmonary Fibrosis, the most common form of progressive fibrosing interstitial lung disease. Patient enrollment is now well underway in medical centers across the U.S. The study design includes both an interim safety analysis, as well as an interim efficacy analysis.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Study Features 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(ibuprofen injection) for Older Patients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In May 2025, Cumberland announced the publication of its study investigating Caldolor (intravenous ibuprofen) in </w:t>
      </w:r>
      <w:r>
        <w:rPr>
          <w:rFonts w:ascii="Times New Roman" w:cs="Times New Roman" w:eastAsia="Times New Roman" w:hAnsi="Times New Roman"/>
          <w:sz w:val="22"/>
          <w:szCs w:val="22"/>
          <w:i w:val="1"/>
          <w:iCs w:val="1"/>
          <w:color w:val="auto"/>
        </w:rPr>
        <w:t>Clinical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Therapeutics</w:t>
      </w:r>
      <w:r>
        <w:rPr>
          <w:rFonts w:ascii="Times New Roman" w:cs="Times New Roman" w:eastAsia="Times New Roman" w:hAnsi="Times New Roman"/>
          <w:sz w:val="22"/>
          <w:szCs w:val="22"/>
          <w:color w:val="auto"/>
        </w:rPr>
        <w:t>, demonstrating the product’s safety and efficacy for managing post-operative pain in patients 60 years of age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older. The analysis, encompassing over 1,000 older patients from comprehensive post-surgical studies, represents the first such evaluation in this vulnerable population, where traditional pain management options such as opioids carry increased risk.</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RESULTS:</w:t>
      </w:r>
    </w:p>
    <w:p>
      <w:pPr>
        <w:spacing w:after="0" w:line="150" w:lineRule="exact"/>
        <w:rPr>
          <w:sz w:val="20"/>
          <w:szCs w:val="20"/>
          <w:color w:val="auto"/>
        </w:rPr>
      </w:pPr>
    </w:p>
    <w:p>
      <w:pPr>
        <w:jc w:val="both"/>
        <w:ind w:right="80"/>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Net Revenue: </w:t>
      </w:r>
      <w:r>
        <w:rPr>
          <w:rFonts w:ascii="Times New Roman" w:cs="Times New Roman" w:eastAsia="Times New Roman" w:hAnsi="Times New Roman"/>
          <w:sz w:val="22"/>
          <w:szCs w:val="22"/>
          <w:color w:val="auto"/>
        </w:rPr>
        <w:t>For the second quarter of 2025, net revenues were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242424"/>
        </w:rPr>
        <w:t>$10.8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included $2.8 million for Kristalose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for Sancuso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$2.7 million for Vibativ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and $1.6 million for Caldolor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w:t>
      </w:r>
    </w:p>
    <w:p>
      <w:pPr>
        <w:spacing w:after="0" w:line="4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Year-to-date 2025 net revenues were $22.6 million. Year-to-date net revenues by product were $6.2 million for Kristalose, $5.4 million for Sancuso, $4.1 million for Vibativ and $2.9 million for Caldolor.</w:t>
      </w:r>
    </w:p>
    <w:p>
      <w:pPr>
        <w:spacing w:after="0" w:line="86"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Operating Expenses: </w:t>
      </w:r>
      <w:r>
        <w:rPr>
          <w:rFonts w:ascii="Times New Roman" w:cs="Times New Roman" w:eastAsia="Times New Roman" w:hAnsi="Times New Roman"/>
          <w:sz w:val="22"/>
          <w:szCs w:val="22"/>
          <w:color w:val="auto"/>
        </w:rPr>
        <w:t>Total operating expenses were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242424"/>
        </w:rPr>
        <w:t>$11.6 million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second quarter of 2025 and $22 million for the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half of the year.</w:t>
      </w:r>
    </w:p>
    <w:p>
      <w:pPr>
        <w:spacing w:after="0" w:line="8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Net Income (loss): </w:t>
      </w:r>
      <w:r>
        <w:rPr>
          <w:rFonts w:ascii="Times New Roman" w:cs="Times New Roman" w:eastAsia="Times New Roman" w:hAnsi="Times New Roman"/>
          <w:sz w:val="22"/>
          <w:szCs w:val="22"/>
          <w:color w:val="auto"/>
        </w:rPr>
        <w:t>Year-to-date net income was approximately $516,000 and the second quarter net loss was approximately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$741,000.</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Adjusted Earnings: </w:t>
      </w:r>
      <w:r>
        <w:rPr>
          <w:rFonts w:ascii="Times New Roman" w:cs="Times New Roman" w:eastAsia="Times New Roman" w:hAnsi="Times New Roman"/>
          <w:sz w:val="22"/>
          <w:szCs w:val="22"/>
          <w:color w:val="auto"/>
        </w:rPr>
        <w:t>Adjusted earnings for the six months ended 2025 were $2.8 million, or $0.18 per diluted share.</w:t>
      </w:r>
    </w:p>
    <w:p>
      <w:pPr>
        <w:spacing w:after="0" w:line="152"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Balance Sheet: </w:t>
      </w:r>
      <w:r>
        <w:rPr>
          <w:rFonts w:ascii="Times New Roman" w:cs="Times New Roman" w:eastAsia="Times New Roman" w:hAnsi="Times New Roman"/>
          <w:sz w:val="22"/>
          <w:szCs w:val="22"/>
          <w:color w:val="auto"/>
        </w:rPr>
        <w:t>At June 30, 2025, Cumberland had approximately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242424"/>
        </w:rPr>
        <w:t>$68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total assets,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242424"/>
        </w:rPr>
        <w:t>$16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cash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cash equivalents. Liabilities totaled </w:t>
      </w:r>
      <w:r>
        <w:rPr>
          <w:rFonts w:ascii="Times New Roman" w:cs="Times New Roman" w:eastAsia="Times New Roman" w:hAnsi="Times New Roman"/>
          <w:sz w:val="22"/>
          <w:szCs w:val="22"/>
          <w:color w:val="242424"/>
        </w:rPr>
        <w:t>$40 million</w:t>
      </w:r>
      <w:r>
        <w:rPr>
          <w:rFonts w:ascii="Times New Roman" w:cs="Times New Roman" w:eastAsia="Times New Roman" w:hAnsi="Times New Roman"/>
          <w:sz w:val="22"/>
          <w:szCs w:val="22"/>
          <w:color w:val="auto"/>
        </w:rPr>
        <w:t xml:space="preserve">, including $5 million on the company’s credit facility. Total shareholders’ equity was </w:t>
      </w:r>
      <w:r>
        <w:rPr>
          <w:rFonts w:ascii="Times New Roman" w:cs="Times New Roman" w:eastAsia="Times New Roman" w:hAnsi="Times New Roman"/>
          <w:sz w:val="22"/>
          <w:szCs w:val="22"/>
          <w:color w:val="242424"/>
        </w:rPr>
        <w:t>$28 million</w:t>
      </w:r>
      <w:r>
        <w:rPr>
          <w:rFonts w:ascii="Times New Roman" w:cs="Times New Roman" w:eastAsia="Times New Roman" w:hAnsi="Times New Roman"/>
          <w:sz w:val="22"/>
          <w:szCs w:val="22"/>
          <w:color w:val="auto"/>
        </w:rPr>
        <w:t xml:space="preserve"> on June 30, 2025.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EARNINGS REPORT CALL:</w:t>
      </w:r>
    </w:p>
    <w:p>
      <w:pPr>
        <w:spacing w:after="0" w:line="156"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22"/>
          <w:szCs w:val="22"/>
          <w:color w:val="auto"/>
        </w:rPr>
        <w:t>A conference call will be held today, August 5, 2025, at 4:30 p.m. Eastern Time to provide a company update and discuss the financial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link to register is https://register-conf.media-server.com/register/BI0e0cfee6a381408fa7d3d939d82dfa04.</w:t>
      </w:r>
    </w:p>
    <w:p>
      <w:pPr>
        <w:spacing w:after="0" w:line="152"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22"/>
          <w:szCs w:val="22"/>
          <w:color w:val="auto"/>
        </w:rPr>
        <w:t>Registered participants can dial in from their phone using a dial-in and PIN number that will be provided to them. Alternatively, they can choose a “Call Me” option to have the system automatically call them at the start of the conference.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replay of the call will be available for one year and can be accessed via Cumberland’s website or by visiting: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https://edge.media-server.com/mmc/p/zpxz72fn.</w:t>
      </w:r>
    </w:p>
    <w:p>
      <w:pPr>
        <w:sectPr>
          <w:pgSz w:w="11900" w:h="16838" w:orient="portrait"/>
          <w:cols w:equalWidth="0" w:num="1">
            <w:col w:w="11240"/>
          </w:cols>
          <w:pgMar w:left="320" w:top="11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ABOUT CUMBERLAND PHARMACEUTICALS: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w:t>
      </w:r>
      <w:r>
        <w:rPr>
          <w:rFonts w:ascii="Times New Roman" w:cs="Times New Roman" w:eastAsia="Times New Roman" w:hAnsi="Times New Roman"/>
          <w:sz w:val="22"/>
          <w:szCs w:val="22"/>
          <w:color w:val="auto"/>
        </w:rPr>
        <w:t>is the largest biopharmaceutical company founded and headquartered in Tennessee and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focused on providing unique products that improve the quality of patient care. The company develops, acquires, and commercializes products for the hospital acute care, gastroenterology and oncology market segments. The company’s portfolio of FDA-approved brands includes:</w:t>
      </w:r>
    </w:p>
    <w:p>
      <w:pPr>
        <w:spacing w:after="0" w:line="5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acetylcysteine</w:t>
      </w:r>
      <w:r>
        <w:rPr>
          <w:rFonts w:ascii="Times New Roman" w:cs="Times New Roman" w:eastAsia="Times New Roman" w:hAnsi="Times New Roman"/>
          <w:sz w:val="22"/>
          <w:szCs w:val="22"/>
          <w:color w:val="auto"/>
        </w:rPr>
        <w:t>) injection, for the treatment of acetaminophen poisoning;</w:t>
      </w:r>
    </w:p>
    <w:p>
      <w:pPr>
        <w:spacing w:after="0" w:line="5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ibuprofen</w:t>
      </w:r>
      <w:r>
        <w:rPr>
          <w:rFonts w:ascii="Times New Roman" w:cs="Times New Roman" w:eastAsia="Times New Roman" w:hAnsi="Times New Roman"/>
          <w:sz w:val="22"/>
          <w:szCs w:val="22"/>
          <w:color w:val="auto"/>
        </w:rPr>
        <w:t>) injection, for the treatment of pain and fever;</w:t>
      </w:r>
    </w:p>
    <w:p>
      <w:pPr>
        <w:spacing w:after="0" w:line="4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lactulose</w:t>
      </w:r>
      <w:r>
        <w:rPr>
          <w:rFonts w:ascii="Times New Roman" w:cs="Times New Roman" w:eastAsia="Times New Roman" w:hAnsi="Times New Roman"/>
          <w:sz w:val="22"/>
          <w:szCs w:val="22"/>
          <w:color w:val="auto"/>
        </w:rPr>
        <w:t>) oral, a prescription laxative, for the treatment of constipation;</w:t>
      </w:r>
    </w:p>
    <w:p>
      <w:pPr>
        <w:spacing w:after="0" w:line="56" w:lineRule="exact"/>
        <w:rPr>
          <w:rFonts w:ascii="Times New Roman" w:cs="Times New Roman" w:eastAsia="Times New Roman" w:hAnsi="Times New Roman"/>
          <w:sz w:val="22"/>
          <w:szCs w:val="22"/>
          <w:color w:val="auto"/>
        </w:rPr>
      </w:pPr>
    </w:p>
    <w:p>
      <w:pPr>
        <w:ind w:left="660" w:hanging="328"/>
        <w:spacing w:after="0" w:line="224"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Sancuso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granisetron)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transdermal, for the prevention of nausea and vomiting in patients receiving certain types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chemotherapy treatment;</w:t>
      </w:r>
    </w:p>
    <w:p>
      <w:pPr>
        <w:spacing w:after="0" w:line="76" w:lineRule="exact"/>
        <w:rPr>
          <w:rFonts w:ascii="Times New Roman" w:cs="Times New Roman" w:eastAsia="Times New Roman" w:hAnsi="Times New Roman"/>
          <w:sz w:val="22"/>
          <w:szCs w:val="22"/>
          <w:color w:val="auto"/>
        </w:rPr>
      </w:pPr>
    </w:p>
    <w:p>
      <w:pPr>
        <w:ind w:left="660" w:right="20" w:hanging="328"/>
        <w:spacing w:after="0" w:line="228"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conivaptan</w:t>
      </w:r>
      <w:r>
        <w:rPr>
          <w:rFonts w:ascii="Times New Roman" w:cs="Times New Roman" w:eastAsia="Times New Roman" w:hAnsi="Times New Roman"/>
          <w:sz w:val="22"/>
          <w:szCs w:val="22"/>
          <w:color w:val="auto"/>
        </w:rPr>
        <w:t>) injection, to raise serum sodium levels in hospitalized patients with euvolemic and hypervolemic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hyponatremia; and</w:t>
      </w:r>
    </w:p>
    <w:p>
      <w:pPr>
        <w:spacing w:after="0" w:line="74" w:lineRule="exact"/>
        <w:rPr>
          <w:rFonts w:ascii="Times New Roman" w:cs="Times New Roman" w:eastAsia="Times New Roman" w:hAnsi="Times New Roman"/>
          <w:sz w:val="22"/>
          <w:szCs w:val="22"/>
          <w:color w:val="auto"/>
        </w:rPr>
      </w:pPr>
    </w:p>
    <w:p>
      <w:pPr>
        <w:ind w:left="660" w:hanging="328"/>
        <w:spacing w:after="0" w:line="228"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telavancin</w:t>
      </w:r>
      <w:r>
        <w:rPr>
          <w:rFonts w:ascii="Times New Roman" w:cs="Times New Roman" w:eastAsia="Times New Roman" w:hAnsi="Times New Roman"/>
          <w:sz w:val="22"/>
          <w:szCs w:val="22"/>
          <w:color w:val="auto"/>
        </w:rPr>
        <w:t>) injection, for the treatment of certain serious bacterial infections including hospital-acquired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ventilator-associated bacterial pneumonia, as well as complicated skin and skin structure infections.</w:t>
      </w:r>
    </w:p>
    <w:p>
      <w:pPr>
        <w:spacing w:after="0" w:line="1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company also has a series of Phase II clinical programs underway evaluating its ifetroban product candidate in patients with Duchenne Muscular Dystrophy, Systemic Sclerosis and Pulmonary Fibrosis.</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For more information on Cumberland’s approved products, including full prescribing information, please visit the links to the individual product websites, which can be found on the company’s website at </w:t>
      </w:r>
      <w:r>
        <w:rPr>
          <w:rFonts w:ascii="Times New Roman" w:cs="Times New Roman" w:eastAsia="Times New Roman" w:hAnsi="Times New Roman"/>
          <w:sz w:val="22"/>
          <w:szCs w:val="22"/>
          <w:u w:val="single" w:color="auto"/>
          <w:color w:val="auto"/>
        </w:rPr>
        <w:t>www.cumberlandpharma.com</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(acetylcysteine) Injection</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t>
      </w:r>
      <w:r>
        <w:rPr>
          <w:rFonts w:ascii="Times New Roman" w:cs="Times New Roman" w:eastAsia="Times New Roman" w:hAnsi="Times New Roman"/>
          <w:sz w:val="22"/>
          <w:szCs w:val="22"/>
          <w:u w:val="single" w:color="auto"/>
          <w:color w:val="auto"/>
        </w:rPr>
        <w:t>www.acetadote.com</w:t>
      </w:r>
      <w:r>
        <w:rPr>
          <w:rFonts w:ascii="Times New Roman" w:cs="Times New Roman" w:eastAsia="Times New Roman" w:hAnsi="Times New Roman"/>
          <w:sz w:val="22"/>
          <w:szCs w:val="22"/>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(ibuprofen) Injection</w:t>
      </w:r>
    </w:p>
    <w:p>
      <w:pPr>
        <w:spacing w:after="0" w:line="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Caldolor is indicated in adults and pediatric patients for the management of mild to moderate pain and the management of moderate to severe pain as an adjunct to opioid analgesics, as well as the reduction of fever. It was the first FDA-approved intravenous therapy for fever.</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Caldolor is contraindicated in patients with known hypersensitivity to ibuprofen or other non-steroidal anti-inflammatory drugs (NSAIDs) as well as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t>
      </w:r>
      <w:r>
        <w:rPr>
          <w:rFonts w:ascii="Times New Roman" w:cs="Times New Roman" w:eastAsia="Times New Roman" w:hAnsi="Times New Roman"/>
          <w:sz w:val="22"/>
          <w:szCs w:val="22"/>
          <w:u w:val="single" w:color="auto"/>
          <w:color w:val="auto"/>
        </w:rPr>
        <w:t>www.caldolor.com</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0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About 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(lactulose) Oral Solution</w:t>
      </w:r>
    </w:p>
    <w:p>
      <w:pPr>
        <w:spacing w:after="0" w:line="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Times New Roman" w:cs="Times New Roman" w:eastAsia="Times New Roman" w:hAnsi="Times New Roman"/>
          <w:sz w:val="21"/>
          <w:szCs w:val="21"/>
          <w:u w:val="single" w:color="auto"/>
          <w:color w:val="auto"/>
        </w:rPr>
        <w:t>www.kristalose.com</w:t>
      </w:r>
      <w:r>
        <w:rPr>
          <w:rFonts w:ascii="Times New Roman" w:cs="Times New Roman" w:eastAsia="Times New Roman" w:hAnsi="Times New Roman"/>
          <w:sz w:val="21"/>
          <w:szCs w:val="21"/>
          <w:color w:val="auto"/>
        </w:rPr>
        <w: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Sancuso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granisetron) Transdermal System</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Sancuso is the only skin patch approved by the FDA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prevent CINV for chemotherapy regimens of up to five consecutive days. For full prescribing and safety information, visit </w:t>
      </w:r>
      <w:r>
        <w:rPr>
          <w:rFonts w:ascii="Times New Roman" w:cs="Times New Roman" w:eastAsia="Times New Roman" w:hAnsi="Times New Roman"/>
          <w:sz w:val="22"/>
          <w:szCs w:val="22"/>
          <w:u w:val="single" w:color="auto"/>
          <w:color w:val="auto"/>
        </w:rPr>
        <w:t>www.sancuso.com</w:t>
      </w:r>
      <w:r>
        <w:rPr>
          <w:rFonts w:ascii="Times New Roman" w:cs="Times New Roman" w:eastAsia="Times New Roman" w:hAnsi="Times New Roman"/>
          <w:sz w:val="22"/>
          <w:szCs w:val="22"/>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(conivaptan hydrochloride) Injection</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t>
      </w:r>
      <w:r>
        <w:rPr>
          <w:rFonts w:ascii="Times New Roman" w:cs="Times New Roman" w:eastAsia="Times New Roman" w:hAnsi="Times New Roman"/>
          <w:sz w:val="22"/>
          <w:szCs w:val="22"/>
          <w:u w:val="single" w:color="auto"/>
          <w:color w:val="auto"/>
        </w:rPr>
        <w:t>www.vaprisol.com</w:t>
      </w:r>
      <w:r>
        <w:rPr>
          <w:rFonts w:ascii="Times New Roman" w:cs="Times New Roman" w:eastAsia="Times New Roman" w:hAnsi="Times New Roman"/>
          <w:sz w:val="22"/>
          <w:szCs w:val="22"/>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(telavancin) for Injection</w:t>
      </w:r>
    </w:p>
    <w:p>
      <w:pPr>
        <w:spacing w:after="0" w:line="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Times New Roman" w:cs="Times New Roman" w:eastAsia="Times New Roman" w:hAnsi="Times New Roman"/>
          <w:sz w:val="22"/>
          <w:szCs w:val="22"/>
          <w:u w:val="single" w:color="auto"/>
          <w:color w:val="auto"/>
        </w:rPr>
        <w:t>www.vibativ.com</w:t>
      </w:r>
      <w:r>
        <w:rPr>
          <w:rFonts w:ascii="Times New Roman" w:cs="Times New Roman" w:eastAsia="Times New Roman" w:hAnsi="Times New Roman"/>
          <w:sz w:val="22"/>
          <w:szCs w:val="22"/>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CUMBERLAND EMERGING TECHNOLOGIES:</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Cumberland Emerging Technologies, Inc. (</w:t>
      </w:r>
      <w:r>
        <w:rPr>
          <w:rFonts w:ascii="Times New Roman" w:cs="Times New Roman" w:eastAsia="Times New Roman" w:hAnsi="Times New Roman"/>
          <w:sz w:val="22"/>
          <w:szCs w:val="22"/>
          <w:u w:val="single" w:color="auto"/>
          <w:color w:val="auto"/>
        </w:rPr>
        <w:t>www.cet-fund.com</w:t>
      </w:r>
      <w:r>
        <w:rPr>
          <w:rFonts w:ascii="Times New Roman" w:cs="Times New Roman" w:eastAsia="Times New Roman" w:hAnsi="Times New Roman"/>
          <w:sz w:val="22"/>
          <w:szCs w:val="22"/>
          <w:color w:val="auto"/>
        </w:rPr>
        <w:t>) is a joint initiative between Cumberland Pharmaceuticals Inc., Vanderbilt University, LaunchTN and WinHealth. The mission of CET is to advance biomedical technologies and products conceived at Vanderbilt University and other regional research centers towards the marketplace.</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ectPr>
          <w:pgSz w:w="11900" w:h="16838" w:orient="portrait"/>
          <w:cols w:equalWidth="0" w:num="1">
            <w:col w:w="11240"/>
          </w:cols>
          <w:pgMar w:left="320" w:top="11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 LOOKING STATEMENTS: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macroeconomic conditions, including rising interest rates and inflation, tariffs,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annual report on Form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Cumberland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55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3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223"/>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Shayla Simpson</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Emily Kent</w:t>
            </w:r>
          </w:p>
        </w:tc>
      </w:tr>
      <w:tr>
        <w:trPr>
          <w:trHeight w:val="223"/>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Cumberland Pharmaceuticals Inc.</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Dalton Agency</w:t>
            </w:r>
          </w:p>
        </w:tc>
      </w:tr>
      <w:tr>
        <w:trPr>
          <w:trHeight w:val="223"/>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(615) 255-0068</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(540) 621-5448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MORE -</w:t>
      </w:r>
    </w:p>
    <w:p>
      <w:pPr>
        <w:sectPr>
          <w:pgSz w:w="11900" w:h="16838" w:orient="portrait"/>
          <w:cols w:equalWidth="0" w:num="1">
            <w:col w:w="11240"/>
          </w:cols>
          <w:pgMar w:left="320" w:top="10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16,087,281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17,964,184</w:t>
            </w:r>
          </w:p>
        </w:tc>
      </w:tr>
      <w:tr>
        <w:trPr>
          <w:trHeight w:val="229"/>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10,316,911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11,701,466</w:t>
            </w:r>
          </w:p>
        </w:tc>
      </w:tr>
      <w:tr>
        <w:trPr>
          <w:trHeight w:val="22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3,222,872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3,999,995</w:t>
            </w:r>
          </w:p>
        </w:tc>
      </w:tr>
      <w:tr>
        <w:trPr>
          <w:trHeight w:val="230"/>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1,578,265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2,786,513</w:t>
            </w:r>
          </w:p>
        </w:tc>
      </w:tr>
      <w:tr>
        <w:trPr>
          <w:trHeight w:val="223"/>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31,205,329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36,452,158</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11,005,499</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277,365</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15,988,232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17,973,449</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7,125,408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6,176,923</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2,850,265</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2,784,016</w:t>
            </w:r>
          </w:p>
        </w:tc>
      </w:tr>
      <w:tr>
        <w:trPr>
          <w:trHeight w:val="223"/>
        </w:trPr>
        <w:tc>
          <w:tcPr>
            <w:tcW w:w="7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67,907,149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75,583,410</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7"/>
        </w:trPr>
        <w:tc>
          <w:tcPr>
            <w:tcW w:w="7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13,446,531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13,914,266</w:t>
            </w:r>
          </w:p>
        </w:tc>
      </w:tr>
      <w:tr>
        <w:trPr>
          <w:trHeight w:val="229"/>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356,508</w:t>
            </w:r>
          </w:p>
        </w:tc>
      </w:tr>
      <w:tr>
        <w:trPr>
          <w:trHeight w:val="23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revolving line of credit</w:t>
            </w:r>
          </w:p>
        </w:tc>
        <w:tc>
          <w:tcPr>
            <w:tcW w:w="2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5,100,000</w:t>
            </w:r>
          </w:p>
        </w:tc>
      </w:tr>
      <w:tr>
        <w:trPr>
          <w:trHeight w:val="230"/>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10,139,532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12,250,955</w:t>
            </w:r>
          </w:p>
        </w:tc>
      </w:tr>
      <w:tr>
        <w:trPr>
          <w:trHeight w:val="223"/>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23,972,140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31,621,729</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 long term</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5,240,733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10,176,170</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4,939,739</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6,301,166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6,299,795</w:t>
            </w:r>
          </w:p>
        </w:tc>
      </w:tr>
      <w:tr>
        <w:trPr>
          <w:trHeight w:val="223"/>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40,228,222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53,037,433</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75"/>
        </w:trPr>
        <w:tc>
          <w:tcPr>
            <w:tcW w:w="72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no par value; 100,000,000 shares authorized; 14,959,937 and 13,952,624</w:t>
            </w: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as of June 30, 2025 and December 31, 2024, respectively</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51,441,398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46,821,425</w:t>
            </w:r>
          </w:p>
        </w:tc>
      </w:tr>
      <w:tr>
        <w:trPr>
          <w:trHeight w:val="230"/>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(23,451,603)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(23,967,931)</w:t>
            </w:r>
          </w:p>
        </w:tc>
      </w:tr>
      <w:tr>
        <w:trPr>
          <w:trHeight w:val="223"/>
        </w:trPr>
        <w:tc>
          <w:tcPr>
            <w:tcW w:w="7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27,989,795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22,853,494</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(307,517)</w:t>
            </w:r>
          </w:p>
        </w:tc>
      </w:tr>
      <w:tr>
        <w:trPr>
          <w:trHeight w:val="223"/>
        </w:trPr>
        <w:tc>
          <w:tcPr>
            <w:tcW w:w="72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27,678,927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22,545,977</w:t>
            </w:r>
          </w:p>
        </w:tc>
      </w:tr>
      <w:tr>
        <w:trPr>
          <w:trHeight w:val="248"/>
        </w:trPr>
        <w:tc>
          <w:tcPr>
            <w:tcW w:w="72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67,907,149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75,583,410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1" w:right="33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7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0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10,837,363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9,848,849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18,346,550</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products sold</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3,286,486</w:t>
            </w: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4,223,647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4,248,401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8,402,989</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1,468,399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2,763,475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2,217,440</w:t>
            </w: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2,874,922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2,757,148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5,337,930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5,125,055</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1,099,857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2,210,518</w:t>
            </w: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11,584,841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10,875,537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22,005,949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21,242,488</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(2,895,938)</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158,587</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(244,873)</w:t>
            </w:r>
          </w:p>
        </w:tc>
      </w:tr>
      <w:tr>
        <w:trPr>
          <w:trHeight w:val="22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(1,091,194)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(2,982,224)</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r>
      <w:tr>
        <w:trPr>
          <w:trHeight w:val="22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(3,005,109)</w:t>
            </w:r>
          </w:p>
        </w:tc>
      </w:tr>
      <w:tr>
        <w:trPr>
          <w:trHeight w:val="176"/>
        </w:trPr>
        <w:tc>
          <w:tcPr>
            <w:tcW w:w="5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(income) at subsidiary attributable to noncontrolling</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(26,766)</w:t>
            </w:r>
          </w:p>
        </w:tc>
      </w:tr>
      <w:tr>
        <w:trPr>
          <w:trHeight w:val="22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(740,740)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(1,085,612)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516,328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(3,031,875)</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share attributable to common shareholders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14,960,596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14,118,091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14,951,609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14,107,852</w:t>
            </w:r>
          </w:p>
        </w:tc>
      </w:tr>
      <w:tr>
        <w:trPr>
          <w:trHeight w:val="234"/>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14,960,596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14,118,091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15,274,134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14,107,852</w:t>
            </w:r>
          </w:p>
        </w:tc>
      </w:tr>
    </w:tbl>
    <w:p>
      <w:pPr>
        <w:sectPr>
          <w:pgSz w:w="11900" w:h="16838" w:orient="portrait"/>
          <w:cols w:equalWidth="0" w:num="1">
            <w:col w:w="11180"/>
          </w:cols>
          <w:pgMar w:left="320" w:top="887" w:right="3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6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512,977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(3,005,109)</w:t>
            </w:r>
          </w:p>
        </w:tc>
      </w:tr>
      <w:tr>
        <w:trPr>
          <w:trHeight w:val="230"/>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2,065,502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2,290,130</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570,369</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150,712</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(decrease) in non-cash contingent consideration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(442,321)</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cash surrender value of life insurance policies over premiums paid</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(101,538)</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changes in assets and liabilities affecting operating activities: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(1,861,587)</w:t>
            </w:r>
          </w:p>
        </w:tc>
      </w:tr>
      <w:tr>
        <w:trPr>
          <w:trHeight w:val="229"/>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Inventories,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1,818,196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1,243,245</w:t>
            </w:r>
          </w:p>
        </w:tc>
      </w:tr>
      <w:tr>
        <w:trPr>
          <w:trHeight w:val="230"/>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424,684</w:t>
            </w:r>
          </w:p>
        </w:tc>
      </w:tr>
      <w:tr>
        <w:trPr>
          <w:trHeight w:val="229"/>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(429,064)</w:t>
            </w:r>
          </w:p>
        </w:tc>
      </w:tr>
      <w:tr>
        <w:trPr>
          <w:trHeight w:val="229"/>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(1,925,886)</w:t>
            </w:r>
          </w:p>
        </w:tc>
      </w:tr>
      <w:tr>
        <w:trPr>
          <w:trHeight w:val="230"/>
        </w:trPr>
        <w:tc>
          <w:tcPr>
            <w:tcW w:w="76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85,404</w:t>
            </w:r>
          </w:p>
        </w:tc>
      </w:tr>
      <w:tr>
        <w:trPr>
          <w:trHeight w:val="22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4,742,318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(2,992,307)</w:t>
            </w: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(48,799)</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investment in manufacturing</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(836,095)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(56,191)</w:t>
            </w:r>
          </w:p>
        </w:tc>
      </w:tr>
      <w:tr>
        <w:trPr>
          <w:trHeight w:val="223"/>
        </w:trPr>
        <w:tc>
          <w:tcPr>
            <w:tcW w:w="7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(942,322)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(104,990)</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ATM offering,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5,266,334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22,000,000</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(10,035,437)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(18,692,552)</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settlement of contingent consideration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(813,478)</w:t>
            </w:r>
          </w:p>
        </w:tc>
      </w:tr>
      <w:tr>
        <w:trPr>
          <w:trHeight w:val="230"/>
        </w:trPr>
        <w:tc>
          <w:tcPr>
            <w:tcW w:w="7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Payments made in connection with repurchase of common shares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(381,851)</w:t>
            </w:r>
          </w:p>
        </w:tc>
      </w:tr>
      <w:tr>
        <w:trPr>
          <w:trHeight w:val="22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(5,676,899)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2,112,119</w:t>
            </w:r>
          </w:p>
        </w:tc>
      </w:tr>
      <w:tr>
        <w:trPr>
          <w:trHeight w:val="223"/>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(1,876,903)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(985,178)</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18,321,624</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16,087,281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17,336,446</w:t>
            </w:r>
          </w:p>
        </w:tc>
      </w:tr>
      <w:tr>
        <w:trPr>
          <w:trHeight w:val="21"/>
        </w:trPr>
        <w:tc>
          <w:tcPr>
            <w:tcW w:w="7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12" w:name="page13"/>
    <w:bookmarkEnd w:id="12"/>
    <w:p>
      <w:pPr>
        <w:ind w:left="2380"/>
        <w:spacing w:after="0"/>
        <w:rPr>
          <w:sz w:val="20"/>
          <w:szCs w:val="20"/>
          <w:color w:val="auto"/>
        </w:rPr>
      </w:pPr>
      <w:r>
        <w:rPr>
          <w:rFonts w:ascii="Times New Roman" w:cs="Times New Roman" w:eastAsia="Times New Roman" w:hAnsi="Times New Roman"/>
          <w:sz w:val="22"/>
          <w:szCs w:val="22"/>
          <w:b w:val="1"/>
          <w:bCs w:val="1"/>
          <w:color w:val="auto"/>
        </w:rPr>
        <w:t>CUMBERLAND PHARMACEUTICALS INC. AND SUBSIDIARIES</w:t>
      </w:r>
    </w:p>
    <w:p>
      <w:pPr>
        <w:spacing w:after="0" w:line="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Reconciliation of Net Income (loss) Attributable to Common Shareholders to Adjusted Earnings (loss) and Adjusted Diluted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Earnings (loss) Per Share</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78"/>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impact</w:t>
            </w:r>
          </w:p>
        </w:tc>
        <w:tc>
          <w:tcPr>
            <w:tcW w:w="140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w w:val="99"/>
              </w:rPr>
              <w:t>Earnings per share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impact</w:t>
            </w:r>
          </w:p>
        </w:tc>
        <w:tc>
          <w:tcPr>
            <w:tcW w:w="140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w w:val="99"/>
              </w:rPr>
              <w:t>Earnings per share</w:t>
            </w:r>
          </w:p>
        </w:tc>
        <w:tc>
          <w:tcPr>
            <w:tcW w:w="0" w:type="dxa"/>
            <w:vAlign w:val="bottom"/>
          </w:tcPr>
          <w:p>
            <w:pPr>
              <w:spacing w:after="0"/>
              <w:rPr>
                <w:sz w:val="1"/>
                <w:szCs w:val="1"/>
                <w:color w:val="auto"/>
              </w:rPr>
            </w:pPr>
          </w:p>
        </w:tc>
      </w:tr>
      <w:tr>
        <w:trPr>
          <w:trHeight w:val="140"/>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impact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impact</w:t>
            </w:r>
          </w:p>
        </w:tc>
        <w:tc>
          <w:tcPr>
            <w:tcW w:w="0" w:type="dxa"/>
            <w:vAlign w:val="bottom"/>
          </w:tcPr>
          <w:p>
            <w:pPr>
              <w:spacing w:after="0"/>
              <w:rPr>
                <w:sz w:val="1"/>
                <w:szCs w:val="1"/>
                <w:color w:val="auto"/>
              </w:rPr>
            </w:pPr>
          </w:p>
        </w:tc>
      </w:tr>
      <w:tr>
        <w:trPr>
          <w:trHeight w:val="94"/>
        </w:trPr>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(740,740)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(1,085,612)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84"/>
        </w:trPr>
        <w:tc>
          <w:tcPr>
            <w:tcW w:w="51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Less: Net (income) loss at subsidiary attributable to noncontrolling</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(735,207)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(1,102,637)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net loss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1,033,918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1,139,445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(127,489)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60"/>
        </w:trPr>
        <w:tc>
          <w:tcPr>
            <w:tcW w:w="5100" w:type="dxa"/>
            <w:vAlign w:val="bottom"/>
          </w:tcPr>
          <w:p>
            <w:pPr>
              <w:spacing w:after="0" w:line="160" w:lineRule="exact"/>
              <w:rPr>
                <w:sz w:val="20"/>
                <w:szCs w:val="20"/>
                <w:color w:val="auto"/>
              </w:rPr>
            </w:pPr>
            <w:r>
              <w:rPr>
                <w:rFonts w:ascii="Times New Roman" w:cs="Times New Roman" w:eastAsia="Times New Roman" w:hAnsi="Times New Roman"/>
                <w:sz w:val="18"/>
                <w:szCs w:val="18"/>
                <w:b w:val="1"/>
                <w:bCs w:val="1"/>
                <w:color w:val="auto"/>
              </w:rPr>
              <w:t>Adjusted earnings (loss) and adjusted diluted earnings (loss) per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367,126</w:t>
            </w:r>
          </w:p>
        </w:tc>
        <w:tc>
          <w:tcPr>
            <w:tcW w:w="14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184,715</w:t>
            </w:r>
          </w:p>
        </w:tc>
        <w:tc>
          <w:tcPr>
            <w:tcW w:w="14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1"/>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15,288,344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14,227,139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impact</w:t>
            </w:r>
          </w:p>
        </w:tc>
        <w:tc>
          <w:tcPr>
            <w:tcW w:w="140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w w:val="99"/>
              </w:rPr>
              <w:t>Earnings per share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impact</w:t>
            </w:r>
          </w:p>
        </w:tc>
        <w:tc>
          <w:tcPr>
            <w:tcW w:w="14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Earnings per share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impact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impact</w:t>
            </w:r>
          </w:p>
        </w:tc>
        <w:tc>
          <w:tcPr>
            <w:tcW w:w="0" w:type="dxa"/>
            <w:vAlign w:val="bottom"/>
          </w:tcPr>
          <w:p>
            <w:pPr>
              <w:spacing w:after="0"/>
              <w:rPr>
                <w:sz w:val="1"/>
                <w:szCs w:val="1"/>
                <w:color w:val="auto"/>
              </w:rPr>
            </w:pPr>
          </w:p>
        </w:tc>
      </w:tr>
      <w:tr>
        <w:trPr>
          <w:trHeight w:val="90"/>
        </w:trPr>
        <w:tc>
          <w:tcPr>
            <w:tcW w:w="5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516,328</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(3,031,875)</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loss at subsidiary attributable to noncontrolling</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(26,766)</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512,977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(3,005,109)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net income (loss)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2,065,502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2,290,130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(253,198)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(158,587)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273,349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244,873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56"/>
        </w:trPr>
        <w:tc>
          <w:tcPr>
            <w:tcW w:w="5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Adjusted earnings (loss) and adjusted diluted earnings (loss) per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2,764,869</w:t>
            </w:r>
          </w:p>
        </w:tc>
        <w:tc>
          <w:tcPr>
            <w:tcW w:w="14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(455,096)</w:t>
            </w:r>
          </w:p>
        </w:tc>
        <w:tc>
          <w:tcPr>
            <w:tcW w:w="14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15,274,134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14,107,852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959" w:right="35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1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defines these supplemental financial measures as follows:</w:t>
      </w:r>
    </w:p>
    <w:p>
      <w:pPr>
        <w:spacing w:after="0" w:line="148" w:lineRule="exact"/>
        <w:rPr>
          <w:sz w:val="20"/>
          <w:szCs w:val="20"/>
          <w:color w:val="auto"/>
        </w:rPr>
      </w:pPr>
    </w:p>
    <w:p>
      <w:pPr>
        <w:ind w:left="660" w:hanging="328"/>
        <w:spacing w:after="0" w:line="287" w:lineRule="auto"/>
        <w:tabs>
          <w:tab w:leader="none" w:pos="621" w:val="left"/>
        </w:tabs>
        <w:numPr>
          <w:ilvl w:val="0"/>
          <w:numId w:val="3"/>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 xml:space="preserve">Adjusted Earnings (loss): </w:t>
      </w:r>
      <w:r>
        <w:rPr>
          <w:rFonts w:ascii="Times New Roman" w:cs="Times New Roman" w:eastAsia="Times New Roman" w:hAnsi="Times New Roman"/>
          <w:sz w:val="22"/>
          <w:szCs w:val="22"/>
          <w:color w:val="auto"/>
        </w:rPr>
        <w:t>Net income (loss) adjusted for the impact of income taxes, depreciation and amortization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 share-based compensation, interest income and interest expense.</w:t>
      </w:r>
    </w:p>
    <w:p>
      <w:pPr>
        <w:spacing w:after="0" w:line="73" w:lineRule="exact"/>
        <w:rPr>
          <w:rFonts w:ascii="Arial" w:cs="Arial" w:eastAsia="Arial" w:hAnsi="Arial"/>
          <w:sz w:val="20"/>
          <w:szCs w:val="20"/>
          <w:color w:val="auto"/>
        </w:rPr>
      </w:pPr>
    </w:p>
    <w:p>
      <w:pPr>
        <w:ind w:left="1380" w:hanging="508"/>
        <w:spacing w:after="0"/>
        <w:tabs>
          <w:tab w:leader="none" w:pos="138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share-based compensation of Cumberland.</w:t>
      </w:r>
    </w:p>
    <w:p>
      <w:pPr>
        <w:spacing w:after="0" w:line="134" w:lineRule="exact"/>
        <w:rPr>
          <w:rFonts w:ascii="Times New Roman" w:cs="Times New Roman" w:eastAsia="Times New Roman" w:hAnsi="Times New Roman"/>
          <w:sz w:val="22"/>
          <w:szCs w:val="22"/>
          <w:color w:val="auto"/>
        </w:rPr>
      </w:pPr>
    </w:p>
    <w:p>
      <w:pPr>
        <w:ind w:left="660" w:hanging="328"/>
        <w:spacing w:after="0" w:line="287" w:lineRule="auto"/>
        <w:tabs>
          <w:tab w:leader="none" w:pos="655"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Adjusted Diluted Earnings (loss) Per Share: </w:t>
      </w:r>
      <w:r>
        <w:rPr>
          <w:rFonts w:ascii="Times New Roman" w:cs="Times New Roman" w:eastAsia="Times New Roman" w:hAnsi="Times New Roman"/>
          <w:sz w:val="22"/>
          <w:szCs w:val="22"/>
          <w:color w:val="auto"/>
        </w:rPr>
        <w:t>Adjusted Earnings (loss) divided by diluted weighted-average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outstanding.</w:t>
      </w:r>
    </w:p>
    <w:sectPr>
      <w:pgSz w:w="11900" w:h="16838" w:orient="portrait"/>
      <w:cols w:equalWidth="0" w:num="1">
        <w:col w:w="11240"/>
      </w:cols>
      <w:pgMar w:left="320" w:top="1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2025-08-05T16:11:12Z</dcterms:created>
  <dcterms:modified xsi:type="dcterms:W3CDTF">2025-08-05T16:11:12Z</dcterms:modified>
</cp:coreProperties>
</file>