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May 6, 2025 (May 6,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May 6, 2025, Cumberland Pharmaceuticals Inc. (the "Company") issued a press release which provided a company update and the financial results for the three months ended March 31, 2025. A copy of the press release is attached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 xml:space="preserve"> to this Current Report on Form 8-K and is incorporated by reference into this Item 2.02.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dated May 6, 2025</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00" w:type="dxa"/>
            <w:vAlign w:val="bottom"/>
            <w:tcBorders>
              <w:top w:val="single" w:sz="8" w:color="0000FF"/>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696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Dated: May 6, 2025</w:t>
            </w:r>
          </w:p>
        </w:tc>
        <w:tc>
          <w:tcPr>
            <w:tcW w:w="4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2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89"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2033905</wp:posOffset>
            </wp:positionH>
            <wp:positionV relativeFrom="page">
              <wp:posOffset>826135</wp:posOffset>
            </wp:positionV>
            <wp:extent cx="348869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8869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Cumberland Pharmaceuticals Reports 38% Revenue Growth in Q1 2025</w:t>
      </w:r>
    </w:p>
    <w:p>
      <w:pPr>
        <w:spacing w:after="0" w:line="3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NASHVILLE, Tenn. (Tuesday, May 06, 2025) – Cumberland Pharmaceuticals Inc. (Nasdaq: CPIX)</w:t>
      </w:r>
      <w:r>
        <w:rPr>
          <w:rFonts w:ascii="Times New Roman" w:cs="Times New Roman" w:eastAsia="Times New Roman" w:hAnsi="Times New Roman"/>
          <w:sz w:val="22"/>
          <w:szCs w:val="22"/>
          <w:color w:val="auto"/>
        </w:rPr>
        <w:t>, a specialty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pharmaceutical company, announced today that its product portfolio of FDA-approved brands delivered combined net revenues of </w:t>
      </w:r>
      <w:r>
        <w:rPr>
          <w:rFonts w:ascii="Times New Roman" w:cs="Times New Roman" w:eastAsia="Times New Roman" w:hAnsi="Times New Roman"/>
          <w:sz w:val="22"/>
          <w:szCs w:val="22"/>
          <w:color w:val="242424"/>
        </w:rPr>
        <w:t>$11.7 million</w:t>
      </w:r>
      <w:r>
        <w:rPr>
          <w:rFonts w:ascii="Times New Roman" w:cs="Times New Roman" w:eastAsia="Times New Roman" w:hAnsi="Times New Roman"/>
          <w:sz w:val="22"/>
          <w:szCs w:val="22"/>
          <w:color w:val="auto"/>
        </w:rPr>
        <w:t xml:space="preserve"> during the first quarter of 2025, a 38% increase over the prior year period. As a result the Company generated a net profit of $1.3 million for the quarter, adjusted earnings of </w:t>
      </w:r>
      <w:r>
        <w:rPr>
          <w:rFonts w:ascii="Times New Roman" w:cs="Times New Roman" w:eastAsia="Times New Roman" w:hAnsi="Times New Roman"/>
          <w:sz w:val="22"/>
          <w:szCs w:val="22"/>
          <w:color w:val="242424"/>
        </w:rPr>
        <w:t>$2.4 million</w:t>
      </w:r>
      <w:r>
        <w:rPr>
          <w:rFonts w:ascii="Times New Roman" w:cs="Times New Roman" w:eastAsia="Times New Roman" w:hAnsi="Times New Roman"/>
          <w:sz w:val="22"/>
          <w:szCs w:val="22"/>
          <w:color w:val="auto"/>
        </w:rPr>
        <w:t>, and cash flow from operations of $3.9 million.</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Cumberland ended the quarter with approximately </w:t>
      </w:r>
      <w:r>
        <w:rPr>
          <w:rFonts w:ascii="Times New Roman" w:cs="Times New Roman" w:eastAsia="Times New Roman" w:hAnsi="Times New Roman"/>
          <w:sz w:val="22"/>
          <w:szCs w:val="22"/>
          <w:color w:val="242424"/>
        </w:rPr>
        <w:t>$70 million</w:t>
      </w:r>
      <w:r>
        <w:rPr>
          <w:rFonts w:ascii="Times New Roman" w:cs="Times New Roman" w:eastAsia="Times New Roman" w:hAnsi="Times New Roman"/>
          <w:sz w:val="22"/>
          <w:szCs w:val="22"/>
          <w:color w:val="auto"/>
        </w:rPr>
        <w:t xml:space="preserve"> in total assets, </w:t>
      </w:r>
      <w:r>
        <w:rPr>
          <w:rFonts w:ascii="Times New Roman" w:cs="Times New Roman" w:eastAsia="Times New Roman" w:hAnsi="Times New Roman"/>
          <w:sz w:val="22"/>
          <w:szCs w:val="22"/>
          <w:color w:val="242424"/>
        </w:rPr>
        <w:t>$41.6 million</w:t>
      </w:r>
      <w:r>
        <w:rPr>
          <w:rFonts w:ascii="Times New Roman" w:cs="Times New Roman" w:eastAsia="Times New Roman" w:hAnsi="Times New Roman"/>
          <w:sz w:val="22"/>
          <w:szCs w:val="22"/>
          <w:color w:val="auto"/>
        </w:rPr>
        <w:t xml:space="preserve"> in liabilities and </w:t>
      </w:r>
      <w:r>
        <w:rPr>
          <w:rFonts w:ascii="Times New Roman" w:cs="Times New Roman" w:eastAsia="Times New Roman" w:hAnsi="Times New Roman"/>
          <w:sz w:val="22"/>
          <w:szCs w:val="22"/>
          <w:color w:val="242424"/>
        </w:rPr>
        <w:t>$28.7 million</w:t>
      </w:r>
      <w:r>
        <w:rPr>
          <w:rFonts w:ascii="Times New Roman" w:cs="Times New Roman" w:eastAsia="Times New Roman" w:hAnsi="Times New Roman"/>
          <w:sz w:val="22"/>
          <w:szCs w:val="22"/>
          <w:color w:val="auto"/>
        </w:rPr>
        <w:t xml:space="preserve"> of shareholders’ equity.</w:t>
      </w:r>
    </w:p>
    <w:p>
      <w:pPr>
        <w:spacing w:after="0" w:line="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 are entering an exciting time for our company, as we continue to build momentum and capitalize on a range of promising opportunities,” said Cumberland Pharmaceuticals CEO A.J. Kazimi. “Our optimism is driven by strong performance from our approved brands, the expansion of international partnerships, meaningful progress across our clinical development programs and the potential for strategic acquisitions."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RECENT COMPANY DEVELOPMENTS INCLUDE: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Top-Line DMD Study Results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February 2025, Cumberland announced positive top-line results from the Phase II study evaluating its ifetroban product candidate in patients with Duchenne muscular dystrophy (DMD). This marks a breakthrough for these patients, as it’s the first successful Phase II study specifically targeting the cardiac complications of their condition.</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These study results were selected for a late-breaking presentation in March at the </w:t>
      </w:r>
      <w:r>
        <w:rPr>
          <w:rFonts w:ascii="Times New Roman" w:cs="Times New Roman" w:eastAsia="Times New Roman" w:hAnsi="Times New Roman"/>
          <w:sz w:val="22"/>
          <w:szCs w:val="22"/>
          <w:i w:val="1"/>
          <w:iCs w:val="1"/>
          <w:color w:val="auto"/>
        </w:rPr>
        <w:t>Muscular Dystrophy Association</w:t>
      </w: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i w:val="1"/>
          <w:iCs w:val="1"/>
          <w:color w:val="auto"/>
        </w:rPr>
        <w:t>Clinical &amp;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Scientific Conference</w:t>
      </w:r>
      <w:r>
        <w:rPr>
          <w:rFonts w:ascii="Times New Roman" w:cs="Times New Roman" w:eastAsia="Times New Roman" w:hAnsi="Times New Roman"/>
          <w:sz w:val="22"/>
          <w:szCs w:val="22"/>
          <w:color w:val="auto"/>
        </w:rPr>
        <w:t>. That platform allowed Cumberland to share the promising results with the global DMD community,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leading researchers, clinicians and patient advocates who are working tirelessly to improve outcomes for those affected by this devastating disease.</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Next steps for Cumberland’s DMD program include further data analysis and completion of a full study report in preparation for an end-of-Phase-II meeting with the FDA to determine the requirements for the product’s approval.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Approval in China</w:t>
      </w:r>
    </w:p>
    <w:p>
      <w:pPr>
        <w:spacing w:after="0" w:line="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Cumberland's potent antibiotic, Vibativ</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21"/>
          <w:szCs w:val="21"/>
          <w:color w:val="auto"/>
        </w:rPr>
        <w:t>, received approval from the regulatory authorities in China. This provides Cumberland access to the world’s second-largest pharmaceutical market. The company expects the product to launch by the end of the year.</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p>
    <w:p>
      <w:pPr>
        <w:spacing w:after="0" w:line="150" w:lineRule="exact"/>
        <w:rPr>
          <w:sz w:val="20"/>
          <w:szCs w:val="20"/>
          <w:color w:val="auto"/>
        </w:rPr>
      </w:pPr>
    </w:p>
    <w:p>
      <w:pPr>
        <w:jc w:val="both"/>
        <w:ind w:right="80"/>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Net Revenue: </w:t>
      </w:r>
      <w:r>
        <w:rPr>
          <w:rFonts w:ascii="Times New Roman" w:cs="Times New Roman" w:eastAsia="Times New Roman" w:hAnsi="Times New Roman"/>
          <w:sz w:val="22"/>
          <w:szCs w:val="22"/>
          <w:color w:val="auto"/>
        </w:rPr>
        <w:t>For first quarter of 2025, net revenues were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242424"/>
        </w:rPr>
        <w:t>$11.7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included $3.5 million for Kristalose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$2.3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Sancuso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$1.4 million for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$1.3 million for Caldolor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Operating Expenses: </w:t>
      </w:r>
      <w:r>
        <w:rPr>
          <w:rFonts w:ascii="Times New Roman" w:cs="Times New Roman" w:eastAsia="Times New Roman" w:hAnsi="Times New Roman"/>
          <w:sz w:val="22"/>
          <w:szCs w:val="22"/>
          <w:color w:val="auto"/>
        </w:rPr>
        <w:t>Total operating expenses for the quarter were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242424"/>
        </w:rPr>
        <w:t>$10.4 million</w:t>
      </w:r>
      <w:r>
        <w:rPr>
          <w:rFonts w:ascii="Times New Roman" w:cs="Times New Roman" w:eastAsia="Times New Roman" w:hAnsi="Times New Roman"/>
          <w:sz w:val="22"/>
          <w:szCs w:val="2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Net Income: </w:t>
      </w:r>
      <w:r>
        <w:rPr>
          <w:rFonts w:ascii="Times New Roman" w:cs="Times New Roman" w:eastAsia="Times New Roman" w:hAnsi="Times New Roman"/>
          <w:sz w:val="22"/>
          <w:szCs w:val="22"/>
          <w:color w:val="auto"/>
        </w:rPr>
        <w:t>The net income for the first quarter of 2025 was approximately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242424"/>
        </w:rPr>
        <w:t>$1.3 million</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Adjusted Earnings: </w:t>
      </w:r>
      <w:r>
        <w:rPr>
          <w:rFonts w:ascii="Times New Roman" w:cs="Times New Roman" w:eastAsia="Times New Roman" w:hAnsi="Times New Roman"/>
          <w:sz w:val="22"/>
          <w:szCs w:val="22"/>
          <w:color w:val="auto"/>
        </w:rPr>
        <w:t>Adjusted earnings for the quarter were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242424"/>
        </w:rPr>
        <w:t>$2.4 million</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242424"/>
        </w:rPr>
        <w:t>$0.16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share.</w:t>
      </w:r>
    </w:p>
    <w:p>
      <w:pPr>
        <w:spacing w:after="0" w:line="12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Balance Sheet: </w:t>
      </w:r>
      <w:r>
        <w:rPr>
          <w:rFonts w:ascii="Times New Roman" w:cs="Times New Roman" w:eastAsia="Times New Roman" w:hAnsi="Times New Roman"/>
          <w:sz w:val="22"/>
          <w:szCs w:val="22"/>
          <w:color w:val="auto"/>
        </w:rPr>
        <w:t>At March 31, 2025, Cumberland had approximately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242424"/>
        </w:rPr>
        <w:t>$70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total assets,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242424"/>
        </w:rPr>
        <w:t>$15.1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cash equivalents. Liabilities totaled </w:t>
      </w:r>
      <w:r>
        <w:rPr>
          <w:rFonts w:ascii="Times New Roman" w:cs="Times New Roman" w:eastAsia="Times New Roman" w:hAnsi="Times New Roman"/>
          <w:sz w:val="22"/>
          <w:szCs w:val="22"/>
          <w:color w:val="242424"/>
        </w:rPr>
        <w:t>$41.6 million</w:t>
      </w:r>
      <w:r>
        <w:rPr>
          <w:rFonts w:ascii="Times New Roman" w:cs="Times New Roman" w:eastAsia="Times New Roman" w:hAnsi="Times New Roman"/>
          <w:sz w:val="22"/>
          <w:szCs w:val="22"/>
          <w:color w:val="auto"/>
        </w:rPr>
        <w:t xml:space="preserve">, including $5.2 million on the company’s credit facility. Total shareholders’ equity was </w:t>
      </w:r>
      <w:r>
        <w:rPr>
          <w:rFonts w:ascii="Times New Roman" w:cs="Times New Roman" w:eastAsia="Times New Roman" w:hAnsi="Times New Roman"/>
          <w:sz w:val="22"/>
          <w:szCs w:val="22"/>
          <w:color w:val="242424"/>
        </w:rPr>
        <w:t>$28.7 million</w:t>
      </w:r>
      <w:r>
        <w:rPr>
          <w:rFonts w:ascii="Times New Roman" w:cs="Times New Roman" w:eastAsia="Times New Roman" w:hAnsi="Times New Roman"/>
          <w:sz w:val="22"/>
          <w:szCs w:val="22"/>
          <w:color w:val="auto"/>
        </w:rPr>
        <w:t xml:space="preserve"> on March 31, 2025.</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REPORT CALL: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conference call will be held today, May 06, 2025, at 4:30 p.m. Eastern Time to provide a company update and discuss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results. The link to register 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https://register-conf.media-server.com/register/BIea2bc7f82dd24caea135dbe5460d9b6f</w:t>
      </w:r>
      <w:r>
        <w:rPr>
          <w:rFonts w:ascii="Times New Roman" w:cs="Times New Roman" w:eastAsia="Times New Roman" w:hAnsi="Times New Roman"/>
          <w:sz w:val="22"/>
          <w:szCs w:val="22"/>
          <w:color w:val="000000"/>
        </w:rPr>
        <w:t>.</w:t>
      </w:r>
    </w:p>
    <w:p>
      <w:pPr>
        <w:spacing w:after="0" w:line="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2"/>
          <w:szCs w:val="22"/>
          <w:color w:val="auto"/>
        </w:rPr>
        <w:t>Registered participants can dial in from their phone using a dial-in and PIN number that will be provided to them. Alternatively, they can choose a “Call Me” option to have the system automatically call them at the start of the conference.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replay of the call will be available for one year and can be accessed via Cumberland’s website or by visiting: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https://edge.media-server.com/mmc/p/wost2na9/.</w:t>
      </w:r>
    </w:p>
    <w:p>
      <w:pPr>
        <w:sectPr>
          <w:pgSz w:w="11900" w:h="16838" w:orient="portrait"/>
          <w:cols w:equalWidth="0" w:num="1">
            <w:col w:w="11240"/>
          </w:cols>
          <w:pgMar w:left="320" w:top="11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ABOUT CUMBERLAND PHARMACEUTICALS: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w:t>
      </w:r>
      <w:r>
        <w:rPr>
          <w:rFonts w:ascii="Times New Roman" w:cs="Times New Roman" w:eastAsia="Times New Roman" w:hAnsi="Times New Roman"/>
          <w:sz w:val="22"/>
          <w:szCs w:val="22"/>
          <w:color w:val="auto"/>
        </w:rPr>
        <w:t>is the largest biopharmaceutical company founded and headquartered in Tennessee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focused on providing unique products that improve the quality of patient care. The company develops, acquires, and commercializes products for the hospital acute care, gastroenterology and oncology market segments. The company’s portfolio of FDA-approved brands includes:</w:t>
      </w:r>
    </w:p>
    <w:p>
      <w:pPr>
        <w:spacing w:after="0" w:line="5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acetylcysteine</w:t>
      </w:r>
      <w:r>
        <w:rPr>
          <w:rFonts w:ascii="Times New Roman" w:cs="Times New Roman" w:eastAsia="Times New Roman" w:hAnsi="Times New Roman"/>
          <w:sz w:val="22"/>
          <w:szCs w:val="22"/>
          <w:color w:val="auto"/>
        </w:rPr>
        <w:t>) injection, for the treatment of acetaminophen poisoning;</w:t>
      </w:r>
    </w:p>
    <w:p>
      <w:pPr>
        <w:spacing w:after="0" w:line="5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ibuprofen</w:t>
      </w:r>
      <w:r>
        <w:rPr>
          <w:rFonts w:ascii="Times New Roman" w:cs="Times New Roman" w:eastAsia="Times New Roman" w:hAnsi="Times New Roman"/>
          <w:sz w:val="22"/>
          <w:szCs w:val="22"/>
          <w:color w:val="auto"/>
        </w:rPr>
        <w:t>) injection, for the treatment of pain and fever;</w:t>
      </w:r>
    </w:p>
    <w:p>
      <w:pPr>
        <w:spacing w:after="0" w:line="4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lactulose</w:t>
      </w:r>
      <w:r>
        <w:rPr>
          <w:rFonts w:ascii="Times New Roman" w:cs="Times New Roman" w:eastAsia="Times New Roman" w:hAnsi="Times New Roman"/>
          <w:sz w:val="22"/>
          <w:szCs w:val="22"/>
          <w:color w:val="auto"/>
        </w:rPr>
        <w:t>) oral, a prescription laxative, for the treatment of constipation;</w:t>
      </w:r>
    </w:p>
    <w:p>
      <w:pPr>
        <w:spacing w:after="0" w:line="56" w:lineRule="exact"/>
        <w:rPr>
          <w:rFonts w:ascii="Times New Roman" w:cs="Times New Roman" w:eastAsia="Times New Roman" w:hAnsi="Times New Roman"/>
          <w:sz w:val="22"/>
          <w:szCs w:val="22"/>
          <w:color w:val="auto"/>
        </w:rPr>
      </w:pPr>
    </w:p>
    <w:p>
      <w:pPr>
        <w:ind w:left="660" w:hanging="328"/>
        <w:spacing w:after="0" w:line="224"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granisetron)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transdermal, for the prevention of nausea and vomiting in patients receiving certain types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chemotherapy treatment;</w:t>
      </w:r>
    </w:p>
    <w:p>
      <w:pPr>
        <w:spacing w:after="0" w:line="76" w:lineRule="exact"/>
        <w:rPr>
          <w:rFonts w:ascii="Times New Roman" w:cs="Times New Roman" w:eastAsia="Times New Roman" w:hAnsi="Times New Roman"/>
          <w:sz w:val="22"/>
          <w:szCs w:val="22"/>
          <w:color w:val="auto"/>
        </w:rPr>
      </w:pPr>
    </w:p>
    <w:p>
      <w:pPr>
        <w:ind w:left="660" w:right="20" w:hanging="328"/>
        <w:spacing w:after="0" w:line="22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conivaptan</w:t>
      </w:r>
      <w:r>
        <w:rPr>
          <w:rFonts w:ascii="Times New Roman" w:cs="Times New Roman" w:eastAsia="Times New Roman" w:hAnsi="Times New Roman"/>
          <w:sz w:val="22"/>
          <w:szCs w:val="22"/>
          <w:color w:val="auto"/>
        </w:rPr>
        <w:t>) injection, to raise serum sodium levels in hospitalized patients with euvolemic and hypervolemic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hyponatremia; and</w:t>
      </w:r>
    </w:p>
    <w:p>
      <w:pPr>
        <w:spacing w:after="0" w:line="74" w:lineRule="exact"/>
        <w:rPr>
          <w:rFonts w:ascii="Times New Roman" w:cs="Times New Roman" w:eastAsia="Times New Roman" w:hAnsi="Times New Roman"/>
          <w:sz w:val="22"/>
          <w:szCs w:val="22"/>
          <w:color w:val="auto"/>
        </w:rPr>
      </w:pPr>
    </w:p>
    <w:p>
      <w:pPr>
        <w:ind w:left="660" w:hanging="328"/>
        <w:spacing w:after="0" w:line="22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telavancin</w:t>
      </w:r>
      <w:r>
        <w:rPr>
          <w:rFonts w:ascii="Times New Roman" w:cs="Times New Roman" w:eastAsia="Times New Roman" w:hAnsi="Times New Roman"/>
          <w:sz w:val="22"/>
          <w:szCs w:val="22"/>
          <w:color w:val="auto"/>
        </w:rPr>
        <w:t>) injection, for the treatment of certain serious bacterial infections including hospital-acquired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ventilator-associated bacterial pneumonia, as well as complicated skin and skin structure infections.</w:t>
      </w:r>
    </w:p>
    <w:p>
      <w:pPr>
        <w:spacing w:after="0" w:line="1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also has a series of Phase II clinical programs underway evaluating its ifetroban product candidate in patients with Duchenne Muscular Dystrophy, Systemic Sclerosis and Pulmonary Fibrosis.</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For more information on Cumberland’s approved products, including full prescribing information, please visit the links to the individual product websites, which can be found on the company’s website at </w:t>
      </w:r>
      <w:r>
        <w:rPr>
          <w:rFonts w:ascii="Times New Roman" w:cs="Times New Roman" w:eastAsia="Times New Roman" w:hAnsi="Times New Roman"/>
          <w:sz w:val="22"/>
          <w:szCs w:val="22"/>
          <w:u w:val="single" w:color="auto"/>
          <w:color w:val="auto"/>
        </w:rPr>
        <w:t>www.cumberlandpharma.com</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(acetylcysteine) Injection</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Times New Roman" w:cs="Times New Roman" w:eastAsia="Times New Roman" w:hAnsi="Times New Roman"/>
          <w:sz w:val="22"/>
          <w:szCs w:val="22"/>
          <w:u w:val="single" w:color="auto"/>
          <w:color w:val="auto"/>
        </w:rPr>
        <w:t>www.acetadote.com</w:t>
      </w:r>
      <w:r>
        <w:rPr>
          <w:rFonts w:ascii="Times New Roman" w:cs="Times New Roman" w:eastAsia="Times New Roman" w:hAnsi="Times New Roman"/>
          <w:sz w:val="22"/>
          <w:szCs w:val="2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(ibuprofen) Injection</w:t>
      </w:r>
    </w:p>
    <w:p>
      <w:pPr>
        <w:spacing w:after="0" w:line="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Caldolor is indicated in adults and pediatric patients for the management of mild to moderate pain and the management of moderate to severe pain as an adjunct to opioid analgesics, as well as the reduction of fever. It was the first FDA-approved intravenous therapy for fever.</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Caldolor is contraindicated in patients with known hypersensitivity to ibuprofen or other non-steroidal anti-inflammatory drugs (NSAIDs) as well as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Times New Roman" w:cs="Times New Roman" w:eastAsia="Times New Roman" w:hAnsi="Times New Roman"/>
          <w:sz w:val="22"/>
          <w:szCs w:val="22"/>
          <w:u w:val="single" w:color="auto"/>
          <w:color w:val="auto"/>
        </w:rPr>
        <w:t>www.caldolor.com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0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About 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(lactulose) Oral Solution</w:t>
      </w:r>
    </w:p>
    <w:p>
      <w:pPr>
        <w:spacing w:after="0" w:line="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Times New Roman" w:cs="Times New Roman" w:eastAsia="Times New Roman" w:hAnsi="Times New Roman"/>
          <w:sz w:val="21"/>
          <w:szCs w:val="21"/>
          <w:u w:val="single" w:color="auto"/>
          <w:color w:val="auto"/>
        </w:rPr>
        <w:t>www.kristalose.com</w:t>
      </w:r>
      <w:r>
        <w:rPr>
          <w:rFonts w:ascii="Times New Roman" w:cs="Times New Roman" w:eastAsia="Times New Roman" w:hAnsi="Times New Roman"/>
          <w:sz w:val="21"/>
          <w:szCs w:val="21"/>
          <w:color w:val="auto"/>
        </w:rPr>
        <w: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granisetron) Transdermal System</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Sancuso is the only skin patch approved by the FDA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prevent CINV for chemotherapy regimens of up to five consecutive days. For full prescribing and safety information, visit </w:t>
      </w:r>
      <w:r>
        <w:rPr>
          <w:rFonts w:ascii="Times New Roman" w:cs="Times New Roman" w:eastAsia="Times New Roman" w:hAnsi="Times New Roman"/>
          <w:sz w:val="22"/>
          <w:szCs w:val="22"/>
          <w:u w:val="single" w:color="auto"/>
          <w:color w:val="auto"/>
        </w:rPr>
        <w:t>www.sancuso.com</w:t>
      </w:r>
      <w:r>
        <w:rPr>
          <w:rFonts w:ascii="Times New Roman" w:cs="Times New Roman" w:eastAsia="Times New Roman" w:hAnsi="Times New Roman"/>
          <w:sz w:val="22"/>
          <w:szCs w:val="2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(conivaptan hydrochloride) Injection</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Times New Roman" w:cs="Times New Roman" w:eastAsia="Times New Roman" w:hAnsi="Times New Roman"/>
          <w:sz w:val="22"/>
          <w:szCs w:val="22"/>
          <w:u w:val="single" w:color="auto"/>
          <w:color w:val="auto"/>
        </w:rPr>
        <w:t>www.vaprisol.com</w:t>
      </w:r>
      <w:r>
        <w:rPr>
          <w:rFonts w:ascii="Times New Roman" w:cs="Times New Roman" w:eastAsia="Times New Roman" w:hAnsi="Times New Roman"/>
          <w:sz w:val="22"/>
          <w:szCs w:val="22"/>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(telavancin) for Injection</w:t>
      </w:r>
    </w:p>
    <w:p>
      <w:pPr>
        <w:spacing w:after="0" w:line="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Times New Roman" w:cs="Times New Roman" w:eastAsia="Times New Roman" w:hAnsi="Times New Roman"/>
          <w:sz w:val="22"/>
          <w:szCs w:val="22"/>
          <w:u w:val="single" w:color="auto"/>
          <w:color w:val="auto"/>
        </w:rPr>
        <w:t>www.vibativ.com</w:t>
      </w:r>
      <w:r>
        <w:rPr>
          <w:rFonts w:ascii="Times New Roman" w:cs="Times New Roman" w:eastAsia="Times New Roman" w:hAnsi="Times New Roman"/>
          <w:sz w:val="22"/>
          <w:szCs w:val="2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CUMBERLAND EMERGING TECHNOLOGIES:</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Cumberland Emerging Technologies, Inc. (</w:t>
      </w:r>
      <w:r>
        <w:rPr>
          <w:rFonts w:ascii="Times New Roman" w:cs="Times New Roman" w:eastAsia="Times New Roman" w:hAnsi="Times New Roman"/>
          <w:sz w:val="22"/>
          <w:szCs w:val="22"/>
          <w:u w:val="single" w:color="auto"/>
          <w:color w:val="auto"/>
        </w:rPr>
        <w:t>www.cet-fund.com</w:t>
      </w:r>
      <w:r>
        <w:rPr>
          <w:rFonts w:ascii="Times New Roman" w:cs="Times New Roman" w:eastAsia="Times New Roman" w:hAnsi="Times New Roman"/>
          <w:sz w:val="22"/>
          <w:szCs w:val="22"/>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11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rising interest rates and inflation,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Cumberland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55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3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223"/>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Shayla Simpson</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Molly Aggas</w:t>
            </w:r>
          </w:p>
        </w:tc>
      </w:tr>
      <w:tr>
        <w:trPr>
          <w:trHeight w:val="223"/>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Cumberland Pharmaceuticals Inc.</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Dalton Agency</w:t>
            </w:r>
          </w:p>
        </w:tc>
      </w:tr>
      <w:tr>
        <w:trPr>
          <w:trHeight w:val="223"/>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(615) 255-0068</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(704) 641-6641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MORE -</w:t>
      </w:r>
    </w:p>
    <w:p>
      <w:pPr>
        <w:sectPr>
          <w:pgSz w:w="11900" w:h="16838" w:orient="portrait"/>
          <w:cols w:equalWidth="0" w:num="1">
            <w:col w:w="11240"/>
          </w:cols>
          <w:pgMar w:left="320" w:top="104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r>
      <w:tr>
        <w:trPr>
          <w:trHeight w:val="229"/>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10,487,925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11,701,466</w:t>
            </w: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4,098,859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3,999,995</w:t>
            </w:r>
          </w:p>
        </w:tc>
      </w:tr>
      <w:tr>
        <w:trPr>
          <w:trHeight w:val="230"/>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2,181,954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2,786,513</w:t>
            </w:r>
          </w:p>
        </w:tc>
      </w:tr>
      <w:tr>
        <w:trPr>
          <w:trHeight w:val="223"/>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31,877,151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36,452,158</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11,005,499</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277,365</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16,986,962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17,973,449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6,176,923</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2,742,299</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2,784,016</w:t>
            </w:r>
          </w:p>
        </w:tc>
      </w:tr>
      <w:tr>
        <w:trPr>
          <w:trHeight w:val="223"/>
        </w:trPr>
        <w:tc>
          <w:tcPr>
            <w:tcW w:w="7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69,935,878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75,583,410</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13,927,623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13,914,266</w:t>
            </w:r>
          </w:p>
        </w:tc>
      </w:tr>
      <w:tr>
        <w:trPr>
          <w:trHeight w:val="229"/>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356,508</w:t>
            </w:r>
          </w:p>
        </w:tc>
      </w:tr>
      <w:tr>
        <w:trPr>
          <w:trHeight w:val="23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revolving line of credit</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5,100,000</w:t>
            </w:r>
          </w:p>
        </w:tc>
      </w:tr>
      <w:tr>
        <w:trPr>
          <w:trHeight w:val="229"/>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11,220,902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12,250,955</w:t>
            </w:r>
          </w:p>
        </w:tc>
      </w:tr>
      <w:tr>
        <w:trPr>
          <w:trHeight w:val="223"/>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25,519,619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31,621,729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 long term</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5,240,733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10,176,170</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4,829,054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4,939,739</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6,005,853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6,299,795</w:t>
            </w:r>
          </w:p>
        </w:tc>
      </w:tr>
      <w:tr>
        <w:trPr>
          <w:trHeight w:val="223"/>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41,595,259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53,037,433</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5"/>
        </w:trPr>
        <w:tc>
          <w:tcPr>
            <w:tcW w:w="7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stock—no par value; 100,000,000 shares authorized; 14,961,137 and 13,952,624</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March 31, 2025 and December 31, 2024, respectively</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51,367,883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46,821,425</w:t>
            </w:r>
          </w:p>
        </w:tc>
      </w:tr>
      <w:tr>
        <w:trPr>
          <w:trHeight w:val="23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(22,710,863)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(23,967,931)</w:t>
            </w:r>
          </w:p>
        </w:tc>
      </w:tr>
      <w:tr>
        <w:trPr>
          <w:trHeight w:val="223"/>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28,657,020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22,853,494</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(307,517)</w:t>
            </w:r>
          </w:p>
        </w:tc>
      </w:tr>
      <w:tr>
        <w:trPr>
          <w:trHeight w:val="223"/>
        </w:trPr>
        <w:tc>
          <w:tcPr>
            <w:tcW w:w="72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28,340,619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22,545,977</w:t>
            </w:r>
          </w:p>
        </w:tc>
      </w:tr>
      <w:tr>
        <w:trPr>
          <w:trHeight w:val="248"/>
        </w:trPr>
        <w:tc>
          <w:tcPr>
            <w:tcW w:w="7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69,935,878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75,583,410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43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0" w:type="dxa"/>
            <w:vAlign w:val="bottom"/>
            <w:tcBorders>
              <w:bottom w:val="single" w:sz="8" w:color="auto"/>
            </w:tcBorders>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19"/>
                <w:szCs w:val="19"/>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58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11,713,055</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8,497,701</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products sold</w:t>
            </w:r>
          </w:p>
        </w:tc>
        <w:tc>
          <w:tcPr>
            <w:tcW w:w="1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1,425,714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1,575,542</w:t>
            </w:r>
          </w:p>
        </w:tc>
      </w:tr>
      <w:tr>
        <w:trPr>
          <w:trHeight w:val="22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4,231,980</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4,154,588</w:t>
            </w: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1,295,076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1,158,253</w:t>
            </w: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2,463,008</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2,367,907</w:t>
            </w: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1,005,330</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1,110,661</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10,421,108</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10,366,951</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1,291,947</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(1,869,250)</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125,709</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96,746</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(163,802)</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(118,526)</w:t>
            </w: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1,253,854</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(1,891,030)</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1,248,184</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(1,902,472)</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 subsidiary attributable to noncontrolling interests</w:t>
            </w:r>
          </w:p>
        </w:tc>
        <w:tc>
          <w:tcPr>
            <w:tcW w:w="1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(43,791)</w:t>
            </w: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58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1,257,068</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(1,946,263)</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5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1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15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158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1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14,942,522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14,098,022</w:t>
            </w:r>
          </w:p>
        </w:tc>
      </w:tr>
      <w:tr>
        <w:trPr>
          <w:trHeight w:val="234"/>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1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15,259,824</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14,098,022</w:t>
            </w:r>
          </w:p>
        </w:tc>
      </w:tr>
    </w:tbl>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1,248,184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(1,902,472)</w:t>
            </w:r>
          </w:p>
        </w:tc>
      </w:tr>
      <w:tr>
        <w:trPr>
          <w:trHeight w:val="23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1,150,685</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285,184</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non-cash contingent consideration</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(230,430)</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(increase) in cash surrender value of life insurance policies over premiums paid</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(129,217)</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1,213,541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(1,066,410)</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170,469</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205,619</w:t>
            </w:r>
          </w:p>
        </w:tc>
      </w:tr>
      <w:tr>
        <w:trPr>
          <w:trHeight w:val="230"/>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(213,825)</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(645,542)</w:t>
            </w:r>
          </w:p>
        </w:tc>
      </w:tr>
      <w:tr>
        <w:trPr>
          <w:trHeight w:val="230"/>
        </w:trPr>
        <w:tc>
          <w:tcPr>
            <w:tcW w:w="7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156,728</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3,898,517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(2,136,647)</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(41,621)</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investment in manufacturing facility</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w:t>
            </w:r>
          </w:p>
        </w:tc>
      </w:tr>
      <w:tr>
        <w:trPr>
          <w:trHeight w:val="223"/>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(1,228,186)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(58,186)</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ATM offering, net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5,266,334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11,000,000</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(7,700,000)</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settlement of contingent consideration</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(630,701)</w:t>
            </w:r>
          </w:p>
        </w:tc>
      </w:tr>
      <w:tr>
        <w:trPr>
          <w:trHeight w:val="230"/>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Payments made in connection with repurchase of common shares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(247,605)</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(5,526,102)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2,421,694</w:t>
            </w:r>
          </w:p>
        </w:tc>
      </w:tr>
      <w:tr>
        <w:trPr>
          <w:trHeight w:val="22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(2,855,771)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226,861</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15,108,413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18,548,485</w:t>
            </w:r>
          </w:p>
        </w:tc>
      </w:tr>
      <w:tr>
        <w:trPr>
          <w:trHeight w:val="21"/>
        </w:trPr>
        <w:tc>
          <w:tcPr>
            <w:tcW w:w="7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1" w:name="page12"/>
    <w:bookmarkEnd w:id="11"/>
    <w:p>
      <w:pPr>
        <w:ind w:left="2400"/>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Reconciliation of Net Income (loss) Attributable to Common Shareholders to Adjusted Earnings (loss) and Adjusted Diluted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Earnings (loss) Per Share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impact</w:t>
            </w:r>
          </w:p>
        </w:tc>
        <w:tc>
          <w:tcPr>
            <w:tcW w:w="150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impact</w:t>
            </w:r>
          </w:p>
        </w:tc>
        <w:tc>
          <w:tcPr>
            <w:tcW w:w="150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0" w:type="dxa"/>
            <w:vAlign w:val="bottom"/>
          </w:tcPr>
          <w:p>
            <w:pPr>
              <w:spacing w:after="0"/>
              <w:rPr>
                <w:sz w:val="1"/>
                <w:szCs w:val="1"/>
                <w:color w:val="auto"/>
              </w:rPr>
            </w:pPr>
          </w:p>
        </w:tc>
      </w:tr>
      <w:tr>
        <w:trPr>
          <w:trHeight w:val="140"/>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impact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impact</w:t>
            </w:r>
          </w:p>
        </w:tc>
        <w:tc>
          <w:tcPr>
            <w:tcW w:w="0" w:type="dxa"/>
            <w:vAlign w:val="bottom"/>
          </w:tcPr>
          <w:p>
            <w:pPr>
              <w:spacing w:after="0"/>
              <w:rPr>
                <w:sz w:val="1"/>
                <w:szCs w:val="1"/>
                <w:color w:val="auto"/>
              </w:rPr>
            </w:pPr>
          </w:p>
        </w:tc>
      </w:tr>
      <w:tr>
        <w:trPr>
          <w:trHeight w:val="95"/>
        </w:trPr>
        <w:tc>
          <w:tcPr>
            <w:tcW w:w="4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84"/>
        </w:trPr>
        <w:tc>
          <w:tcPr>
            <w:tcW w:w="4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Net (income) loss at subsidiary attributable to</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1,248,184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income (loss)</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60"/>
        </w:trPr>
        <w:tc>
          <w:tcPr>
            <w:tcW w:w="4680" w:type="dxa"/>
            <w:vAlign w:val="bottom"/>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Adjusted earnings (loss) and adjusted diluted earnings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2,397,743</w:t>
            </w:r>
          </w:p>
        </w:tc>
        <w:tc>
          <w:tcPr>
            <w:tcW w:w="8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(639,811)</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15,259,824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14,098,022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ectPr>
          <w:pgSz w:w="11900" w:h="16838" w:orient="portrait"/>
          <w:cols w:equalWidth="0" w:num="1">
            <w:col w:w="11240"/>
          </w:cols>
          <w:pgMar w:left="320" w:top="95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The Company defines these supplemental financial measures as follows:</w:t>
      </w:r>
    </w:p>
    <w:p>
      <w:pPr>
        <w:spacing w:after="0" w:line="148" w:lineRule="exact"/>
        <w:rPr>
          <w:sz w:val="20"/>
          <w:szCs w:val="20"/>
          <w:color w:val="auto"/>
        </w:rPr>
      </w:pPr>
    </w:p>
    <w:p>
      <w:pPr>
        <w:ind w:left="660" w:right="20" w:hanging="328"/>
        <w:spacing w:after="0" w:line="275" w:lineRule="auto"/>
        <w:tabs>
          <w:tab w:leader="none" w:pos="621"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 xml:space="preserve">Adjusted Earnings (loss): </w:t>
      </w:r>
      <w:r>
        <w:rPr>
          <w:rFonts w:ascii="Times New Roman" w:cs="Times New Roman" w:eastAsia="Times New Roman" w:hAnsi="Times New Roman"/>
          <w:sz w:val="22"/>
          <w:szCs w:val="22"/>
          <w:color w:val="auto"/>
        </w:rPr>
        <w:t>net income (loss) adjusted for the impact of income taxes, depreciation and amortization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 share-based compensation, interest income and interest expense.</w:t>
      </w:r>
    </w:p>
    <w:p>
      <w:pPr>
        <w:spacing w:after="0" w:line="85" w:lineRule="exact"/>
        <w:rPr>
          <w:rFonts w:ascii="Arial" w:cs="Arial" w:eastAsia="Arial" w:hAnsi="Arial"/>
          <w:sz w:val="20"/>
          <w:szCs w:val="20"/>
          <w:color w:val="auto"/>
        </w:rPr>
      </w:pPr>
    </w:p>
    <w:p>
      <w:pPr>
        <w:ind w:left="1380" w:hanging="508"/>
        <w:spacing w:after="0"/>
        <w:tabs>
          <w:tab w:leader="none" w:pos="13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share-based compensation of Cumberland.</w:t>
      </w:r>
    </w:p>
    <w:p>
      <w:pPr>
        <w:spacing w:after="0" w:line="148" w:lineRule="exact"/>
        <w:rPr>
          <w:rFonts w:ascii="Times New Roman" w:cs="Times New Roman" w:eastAsia="Times New Roman" w:hAnsi="Times New Roman"/>
          <w:sz w:val="22"/>
          <w:szCs w:val="22"/>
          <w:color w:val="auto"/>
        </w:rPr>
      </w:pPr>
    </w:p>
    <w:p>
      <w:pPr>
        <w:ind w:left="660" w:hanging="328"/>
        <w:spacing w:after="0" w:line="275" w:lineRule="auto"/>
        <w:tabs>
          <w:tab w:leader="none" w:pos="655"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Adjusted Diluted Earnings (loss) Per Share: </w:t>
      </w:r>
      <w:r>
        <w:rPr>
          <w:rFonts w:ascii="Times New Roman" w:cs="Times New Roman" w:eastAsia="Times New Roman" w:hAnsi="Times New Roman"/>
          <w:sz w:val="22"/>
          <w:szCs w:val="22"/>
          <w:color w:val="auto"/>
        </w:rPr>
        <w:t>Adjusted Earnings (loss) divided by diluted weighted-average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outstanding.</w:t>
      </w:r>
    </w:p>
    <w:sectPr>
      <w:pgSz w:w="11900" w:h="16838" w:orient="portrait"/>
      <w:cols w:equalWidth="0" w:num="1">
        <w:col w:w="11240"/>
      </w:cols>
      <w:pgMar w:left="320" w:top="10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2025-05-06T16:15:30Z</dcterms:created>
  <dcterms:modified xsi:type="dcterms:W3CDTF">2025-05-06T16:15:30Z</dcterms:modified>
</cp:coreProperties>
</file>