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No.10)*</w:t>
      </w:r>
    </w:p>
    <w:p>
      <w:pPr>
        <w:spacing w:after="0" w:line="238" w:lineRule="auto"/>
        <w:rPr>
          <w:sz w:val="20"/>
          <w:szCs w:val="20"/>
          <w:color w:val="auto"/>
        </w:rPr>
      </w:pPr>
      <w:r>
        <w:rPr>
          <w:rFonts w:ascii="Courier New" w:cs="Courier New" w:eastAsia="Courier New" w:hAnsi="Courier New"/>
          <w:sz w:val="18"/>
          <w:szCs w:val="18"/>
          <w:color w:val="auto"/>
        </w:rPr>
        <w:t>Cumberland Pharmaceuticals, Inc.</w:t>
      </w: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230770109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12/31/2020</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169" w:lineRule="exact"/>
        <w:rPr>
          <w:sz w:val="24"/>
          <w:szCs w:val="24"/>
          <w:color w:val="auto"/>
        </w:rPr>
      </w:pPr>
    </w:p>
    <w:p>
      <w:pPr>
        <w:jc w:val="both"/>
        <w:ind w:right="2019"/>
        <w:spacing w:after="0" w:line="24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 w:lineRule="exact"/>
        <w:rPr>
          <w:sz w:val="24"/>
          <w:szCs w:val="24"/>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230770109</w:t>
      </w:r>
    </w:p>
    <w:p>
      <w:pPr>
        <w:spacing w:after="0" w:line="29"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right="29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ind w:left="860" w:right="3699"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right="5499" w:hanging="852"/>
        <w:spacing w:after="0" w:line="515"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 Limited Liability Company</w:t>
      </w:r>
    </w:p>
    <w:p>
      <w:pPr>
        <w:spacing w:after="0"/>
        <w:rPr>
          <w:sz w:val="20"/>
          <w:szCs w:val="20"/>
          <w:color w:val="auto"/>
        </w:rPr>
      </w:pPr>
      <w:r>
        <w:rPr>
          <w:rFonts w:ascii="Courier New" w:cs="Courier New" w:eastAsia="Courier New" w:hAnsi="Courier New"/>
          <w:sz w:val="18"/>
          <w:szCs w:val="18"/>
          <w:color w:val="auto"/>
        </w:rPr>
        <w:t>Number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Beneficially Owned By</w:t>
      </w:r>
    </w:p>
    <w:p>
      <w:pPr>
        <w:spacing w:after="0" w:line="238" w:lineRule="auto"/>
        <w:rPr>
          <w:sz w:val="20"/>
          <w:szCs w:val="20"/>
          <w:color w:val="auto"/>
        </w:rPr>
      </w:pPr>
      <w:r>
        <w:rPr>
          <w:rFonts w:ascii="Courier New" w:cs="Courier New" w:eastAsia="Courier New" w:hAnsi="Courier New"/>
          <w:sz w:val="18"/>
          <w:szCs w:val="18"/>
          <w:color w:val="auto"/>
        </w:rPr>
        <w:t>Each Reporting Person With</w:t>
      </w:r>
    </w:p>
    <w:p>
      <w:pPr>
        <w:ind w:left="860" w:right="749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821,096</w:t>
      </w:r>
    </w:p>
    <w:p>
      <w:pPr>
        <w:ind w:left="860" w:right="727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ind w:left="860" w:right="697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Ariel: 821,096</w:t>
      </w:r>
    </w:p>
    <w:p>
      <w:pPr>
        <w:ind w:left="860" w:right="67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ind w:left="860" w:right="297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821,096</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ind w:left="860" w:right="4119" w:hanging="852"/>
        <w:spacing w:after="0" w:line="376"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821,096/15,016,604=5.5%</w:t>
      </w:r>
    </w:p>
    <w:p>
      <w:pPr>
        <w:ind w:left="860" w:right="6239" w:hanging="852"/>
        <w:spacing w:after="0" w:line="309"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5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169"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38" w:orient="portrait"/>
          <w:cols w:equalWidth="0" w:num="1">
            <w:col w:w="10139"/>
          </w:cols>
          <w:pgMar w:left="320" w:top="218"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31" w:lineRule="exact"/>
        <w:rPr>
          <w:sz w:val="20"/>
          <w:szCs w:val="20"/>
          <w:color w:val="auto"/>
        </w:rPr>
      </w:pPr>
    </w:p>
    <w:p>
      <w:pPr>
        <w:ind w:left="860" w:right="307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Street, Suite 2900, Chicago, IL 60601</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69"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30" w:lineRule="exact"/>
        <w:rPr>
          <w:rFonts w:ascii="Courier New" w:cs="Courier New" w:eastAsia="Courier New" w:hAnsi="Courier New"/>
          <w:sz w:val="18"/>
          <w:szCs w:val="18"/>
          <w:color w:val="auto"/>
        </w:rPr>
      </w:pPr>
    </w:p>
    <w:p>
      <w:pPr>
        <w:ind w:left="860" w:right="633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230770109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1700" w:right="2239" w:hanging="1692"/>
        <w:spacing w:after="0" w:line="257" w:lineRule="auto"/>
        <w:tabs>
          <w:tab w:leader="none" w:pos="85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ind w:left="1700" w:right="2659" w:hanging="1692"/>
        <w:spacing w:after="0" w:line="238" w:lineRule="auto"/>
        <w:tabs>
          <w:tab w:leader="none" w:pos="85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ind w:left="1700"/>
        <w:spacing w:after="0" w:line="238" w:lineRule="auto"/>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1" w:lineRule="exact"/>
        <w:rPr>
          <w:sz w:val="20"/>
          <w:szCs w:val="20"/>
          <w:color w:val="auto"/>
        </w:rPr>
      </w:pPr>
    </w:p>
    <w:p>
      <w:pPr>
        <w:ind w:left="1700" w:right="3399" w:hanging="1692"/>
        <w:spacing w:after="0" w:line="238"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ind w:left="1700" w:right="2019" w:hanging="1692"/>
        <w:spacing w:after="0" w:line="238"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Section240.13d-1(b)(1)(ii)(F);</w:t>
      </w:r>
    </w:p>
    <w:p>
      <w:pPr>
        <w:ind w:left="1700" w:right="2019" w:hanging="1692"/>
        <w:spacing w:after="0" w:line="238"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Section240.13d-1(b)(1)(ii)(G);</w:t>
      </w:r>
    </w:p>
    <w:p>
      <w:pPr>
        <w:ind w:left="1700" w:right="1699" w:hanging="1692"/>
        <w:spacing w:after="0" w:line="238"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ind w:left="1700" w:right="1279" w:hanging="1692"/>
        <w:spacing w:after="0" w:line="238" w:lineRule="auto"/>
        <w:tabs>
          <w:tab w:leader="none" w:pos="85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line="238" w:lineRule="auto"/>
        <w:rPr>
          <w:sz w:val="20"/>
          <w:szCs w:val="20"/>
          <w:color w:val="auto"/>
        </w:rPr>
      </w:pPr>
      <w:r>
        <w:rPr>
          <w:rFonts w:ascii="Courier New" w:cs="Courier New" w:eastAsia="Courier New" w:hAnsi="Courier New"/>
          <w:sz w:val="18"/>
          <w:szCs w:val="18"/>
          <w:color w:val="auto"/>
        </w:rPr>
        <w:t>Item 4. Ownership.</w:t>
      </w:r>
    </w:p>
    <w:p>
      <w:pPr>
        <w:spacing w:after="0" w:line="1" w:lineRule="exact"/>
        <w:rPr>
          <w:sz w:val="20"/>
          <w:szCs w:val="20"/>
          <w:color w:val="auto"/>
        </w:rPr>
      </w:pPr>
    </w:p>
    <w:p>
      <w:pPr>
        <w:ind w:right="1279" w:firstLine="1685"/>
        <w:spacing w:after="0" w:line="238"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700" w:right="569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Page 1, No. 9)</w:t>
      </w:r>
    </w:p>
    <w:p>
      <w:pPr>
        <w:ind w:left="1700" w:right="6339" w:hanging="849"/>
        <w:spacing w:after="0" w:line="268" w:lineRule="auto"/>
        <w:tabs>
          <w:tab w:leader="none" w:pos="1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Page 2, No. 11)</w:t>
      </w:r>
    </w:p>
    <w:p>
      <w:pPr>
        <w:ind w:left="1700" w:hanging="849"/>
        <w:spacing w:after="0" w:line="238" w:lineRule="auto"/>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(See Page 1, No. 5)</w:t>
      </w:r>
    </w:p>
    <w:p>
      <w:pPr>
        <w:ind w:left="1700" w:right="4019" w:hanging="839"/>
        <w:spacing w:after="0" w:line="238" w:lineRule="auto"/>
        <w:tabs>
          <w:tab w:leader="none" w:pos="16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Shared power to vote or to direct the vote (See Page 1, No. 6)</w:t>
      </w:r>
    </w:p>
    <w:p>
      <w:pPr>
        <w:spacing w:after="0" w:line="1" w:lineRule="exact"/>
        <w:rPr>
          <w:sz w:val="20"/>
          <w:szCs w:val="20"/>
          <w:color w:val="auto"/>
        </w:rPr>
      </w:pPr>
    </w:p>
    <w:p>
      <w:pPr>
        <w:ind w:left="1700" w:right="2859" w:hanging="839"/>
        <w:spacing w:after="0" w:line="238" w:lineRule="auto"/>
        <w:tabs>
          <w:tab w:leader="none" w:pos="1680" w:val="left"/>
        </w:tabs>
        <w:rPr>
          <w:sz w:val="20"/>
          <w:szCs w:val="20"/>
          <w:color w:val="auto"/>
        </w:rPr>
      </w:pPr>
      <w:r>
        <w:rPr>
          <w:rFonts w:ascii="Courier New" w:cs="Courier New" w:eastAsia="Courier New" w:hAnsi="Courier New"/>
          <w:sz w:val="18"/>
          <w:szCs w:val="18"/>
          <w:color w:val="auto"/>
        </w:rPr>
        <w:t>(iii)</w:t>
      </w:r>
      <w:r>
        <w:rPr>
          <w:sz w:val="20"/>
          <w:szCs w:val="20"/>
          <w:color w:val="auto"/>
        </w:rPr>
        <w:tab/>
      </w:r>
      <w:r>
        <w:rPr>
          <w:rFonts w:ascii="Courier New" w:cs="Courier New" w:eastAsia="Courier New" w:hAnsi="Courier New"/>
          <w:sz w:val="18"/>
          <w:szCs w:val="18"/>
          <w:color w:val="auto"/>
        </w:rPr>
        <w:t>Sole power to dispose or to direct the disposition of (See Page 1, No. 7)</w:t>
      </w:r>
    </w:p>
    <w:p>
      <w:pPr>
        <w:spacing w:after="0" w:line="1" w:lineRule="exact"/>
        <w:rPr>
          <w:sz w:val="20"/>
          <w:szCs w:val="20"/>
          <w:color w:val="auto"/>
        </w:rPr>
      </w:pPr>
    </w:p>
    <w:p>
      <w:pPr>
        <w:ind w:left="1700" w:right="2659" w:hanging="839"/>
        <w:spacing w:after="0" w:line="238" w:lineRule="auto"/>
        <w:tabs>
          <w:tab w:leader="none" w:pos="168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Page 1, No. 8)</w:t>
      </w: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right="1919" w:firstLine="843"/>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 w:lineRule="exact"/>
        <w:rPr>
          <w:sz w:val="20"/>
          <w:szCs w:val="20"/>
          <w:color w:val="auto"/>
        </w:rPr>
      </w:pPr>
    </w:p>
    <w:p>
      <w:pPr>
        <w:ind w:left="860" w:right="233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19"/>
        <w:spacing w:after="0" w:line="238"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 subject securities reported upon this Schedule.</w:t>
      </w:r>
    </w:p>
    <w:p>
      <w:pPr>
        <w:spacing w:after="0" w:line="1" w:lineRule="exact"/>
        <w:rPr>
          <w:sz w:val="20"/>
          <w:szCs w:val="20"/>
          <w:color w:val="auto"/>
        </w:rPr>
      </w:pPr>
    </w:p>
    <w:p>
      <w:pPr>
        <w:ind w:right="2339"/>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tbl>
      <w:tblPr>
        <w:tblLayout w:type="fixed"/>
        <w:tblInd w:w="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Item 8.</w:t>
            </w:r>
          </w:p>
        </w:tc>
        <w:tc>
          <w:tcPr>
            <w:tcW w:w="6100" w:type="dxa"/>
            <w:vAlign w:val="bottom"/>
          </w:tcPr>
          <w:p>
            <w:pPr>
              <w:ind w:left="840"/>
              <w:spacing w:after="0" w:line="171"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Identification and Classification of Members of the Group.</w:t>
            </w: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Item 9.</w:t>
            </w:r>
          </w:p>
        </w:tc>
        <w:tc>
          <w:tcPr>
            <w:tcW w:w="6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Item 10.</w:t>
            </w:r>
          </w:p>
        </w:tc>
        <w:tc>
          <w:tcPr>
            <w:tcW w:w="6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35"/>
        </w:trPr>
        <w:tc>
          <w:tcPr>
            <w:tcW w:w="860" w:type="dxa"/>
            <w:vAlign w:val="bottom"/>
            <w:vMerge w:val="continue"/>
          </w:tcPr>
          <w:p>
            <w:pPr>
              <w:spacing w:after="0"/>
              <w:rPr>
                <w:sz w:val="20"/>
                <w:szCs w:val="20"/>
                <w:color w:val="auto"/>
              </w:rPr>
            </w:pPr>
          </w:p>
        </w:tc>
        <w:tc>
          <w:tcPr>
            <w:tcW w:w="6100" w:type="dxa"/>
            <w:vAlign w:val="bottom"/>
          </w:tcPr>
          <w:p>
            <w:pPr>
              <w:ind w:left="840"/>
              <w:spacing w:after="0"/>
              <w:rPr>
                <w:sz w:val="20"/>
                <w:szCs w:val="20"/>
                <w:color w:val="auto"/>
              </w:rPr>
            </w:pPr>
            <w:r>
              <w:rPr>
                <w:rFonts w:ascii="Courier New" w:cs="Courier New" w:eastAsia="Courier New" w:hAnsi="Courier New"/>
                <w:sz w:val="18"/>
                <w:szCs w:val="18"/>
                <w:color w:val="auto"/>
              </w:rPr>
              <w:t>Certifications.</w:t>
            </w:r>
          </w:p>
        </w:tc>
        <w:tc>
          <w:tcPr>
            <w:tcW w:w="0" w:type="dxa"/>
            <w:vAlign w:val="bottom"/>
          </w:tcPr>
          <w:p>
            <w:pPr>
              <w:spacing w:after="0"/>
              <w:rPr>
                <w:sz w:val="1"/>
                <w:szCs w:val="1"/>
                <w:color w:val="auto"/>
              </w:rPr>
            </w:pPr>
          </w:p>
        </w:tc>
      </w:tr>
    </w:tbl>
    <w:p>
      <w:pPr>
        <w:ind w:right="169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ind w:right="2019"/>
        <w:spacing w:after="0" w:line="273" w:lineRule="auto"/>
        <w:rPr>
          <w:sz w:val="20"/>
          <w:szCs w:val="20"/>
          <w:color w:val="auto"/>
        </w:rPr>
      </w:pPr>
      <w:r>
        <w:rPr>
          <w:rFonts w:ascii="Courier New" w:cs="Courier New" w:eastAsia="Courier New" w:hAnsi="Courier New"/>
          <w:sz w:val="18"/>
          <w:szCs w:val="18"/>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jc w:val="both"/>
        <w:ind w:right="1919" w:firstLine="843"/>
        <w:spacing w:after="0" w:line="273"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Ariel Investments, LLC</w:t>
      </w:r>
    </w:p>
    <w:p>
      <w:pPr>
        <w:spacing w:after="0" w:line="2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James R. Prescott</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James R. Prescott</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Vice President, Compliance</w:t>
      </w:r>
    </w:p>
    <w:p>
      <w:pPr>
        <w:spacing w:after="0" w:line="169" w:lineRule="exact"/>
        <w:rPr>
          <w:sz w:val="20"/>
          <w:szCs w:val="20"/>
          <w:color w:val="auto"/>
        </w:rPr>
      </w:pPr>
    </w:p>
    <w:p>
      <w:pPr>
        <w:ind w:right="2239"/>
        <w:spacing w:after="0" w:line="242"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4" w:lineRule="exact"/>
        <w:rPr>
          <w:sz w:val="20"/>
          <w:szCs w:val="20"/>
          <w:color w:val="auto"/>
        </w:rPr>
      </w:pPr>
    </w:p>
    <w:p>
      <w:pPr>
        <w:jc w:val="both"/>
        <w:ind w:right="2239"/>
        <w:spacing w:after="0" w:line="238"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1" w:lineRule="exact"/>
        <w:rPr>
          <w:sz w:val="20"/>
          <w:szCs w:val="20"/>
          <w:color w:val="auto"/>
        </w:rPr>
      </w:pPr>
    </w:p>
    <w:p>
      <w:pPr>
        <w:ind w:right="2119"/>
        <w:spacing w:after="0" w:line="30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2021-02-12T08:55:21Z</dcterms:created>
  <dcterms:modified xsi:type="dcterms:W3CDTF">2021-02-12T08:55:21Z</dcterms:modified>
</cp:coreProperties>
</file>