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3, 2026 (March 3,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On March 3, 2026, Cumberland Pharmaceuticals Inc. (the "Company") issued a press release which provided a company update and the financial results for the three months and year ended December 31, 2025. A copy of the press release is attached as </w:t>
      </w:r>
      <w:r>
        <w:rPr>
          <w:rFonts w:ascii="Times New Roman" w:cs="Times New Roman" w:eastAsia="Times New Roman" w:hAnsi="Times New Roman"/>
          <w:sz w:val="20"/>
          <w:szCs w:val="20"/>
          <w:u w:val="single" w:color="auto"/>
          <w:color w:val="0000FF"/>
        </w:rPr>
        <w:t>Exhibit 99.1</w:t>
      </w:r>
      <w:r>
        <w:rPr>
          <w:rFonts w:ascii="Times New Roman" w:cs="Times New Roman" w:eastAsia="Times New Roman" w:hAnsi="Times New Roman"/>
          <w:sz w:val="20"/>
          <w:szCs w:val="20"/>
          <w:color w:val="auto"/>
        </w:rPr>
        <w:t xml:space="preserve"> to this Current Report on Form 8-K and is incorporated by reference into this Item 2.02.</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dated March 3, 2026</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top w:val="single" w:sz="8" w:color="0000FF"/>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88" w:lineRule="exact"/>
        <w:rPr>
          <w:sz w:val="20"/>
          <w:szCs w:val="20"/>
          <w:color w:val="auto"/>
        </w:rPr>
      </w:pPr>
    </w:p>
    <w:p>
      <w:pPr>
        <w:ind w:left="60"/>
        <w:spacing w:after="0"/>
        <w:tabs>
          <w:tab w:leader="none" w:pos="7020" w:val="left"/>
          <w:tab w:leader="none" w:pos="8400" w:val="left"/>
        </w:tabs>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9"/>
          <w:szCs w:val="19"/>
          <w:color w:val="auto"/>
        </w:rPr>
        <w:t>March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29845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89"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2145665</wp:posOffset>
            </wp:positionH>
            <wp:positionV relativeFrom="page">
              <wp:posOffset>1023620</wp:posOffset>
            </wp:positionV>
            <wp:extent cx="3265805"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26580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00" w:right="2500" w:firstLine="255"/>
        <w:spacing w:after="0" w:line="402" w:lineRule="auto"/>
        <w:rPr>
          <w:sz w:val="20"/>
          <w:szCs w:val="20"/>
          <w:color w:val="auto"/>
        </w:rPr>
      </w:pPr>
      <w:r>
        <w:rPr>
          <w:rFonts w:ascii="Times New Roman" w:cs="Times New Roman" w:eastAsia="Times New Roman" w:hAnsi="Times New Roman"/>
          <w:sz w:val="25"/>
          <w:szCs w:val="25"/>
          <w:b w:val="1"/>
          <w:bCs w:val="1"/>
          <w:color w:val="auto"/>
        </w:rPr>
        <w:t>CUMBERLAND PHARMACEUTICALS REPORTS 31.1% FOURTH QUARTER 2025 REVENUE GROWTH</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i w:val="1"/>
          <w:iCs w:val="1"/>
          <w:color w:val="auto"/>
        </w:rPr>
        <w:t>Cumberland to highlight 2025 financial, international, portfolio and clinical progress</w:t>
      </w:r>
    </w:p>
    <w:p>
      <w:pPr>
        <w:spacing w:after="0" w:line="213" w:lineRule="exact"/>
        <w:rPr>
          <w:sz w:val="20"/>
          <w:szCs w:val="20"/>
          <w:color w:val="auto"/>
        </w:rPr>
      </w:pPr>
    </w:p>
    <w:p>
      <w:pPr>
        <w:jc w:val="both"/>
        <w:ind w:right="20" w:firstLine="120"/>
        <w:spacing w:after="0" w:line="259" w:lineRule="auto"/>
        <w:rPr>
          <w:sz w:val="20"/>
          <w:szCs w:val="20"/>
          <w:color w:val="auto"/>
        </w:rPr>
      </w:pPr>
      <w:r>
        <w:rPr>
          <w:rFonts w:ascii="Times New Roman" w:cs="Times New Roman" w:eastAsia="Times New Roman" w:hAnsi="Times New Roman"/>
          <w:sz w:val="22"/>
          <w:szCs w:val="22"/>
          <w:b w:val="1"/>
          <w:bCs w:val="1"/>
          <w:color w:val="auto"/>
        </w:rPr>
        <w:t>NASHVILLE, Tenn. (Tuesday, March 3, 2026) – Cumberland Pharmaceuticals Inc. (Nasdaq: CPIX)</w:t>
      </w:r>
      <w:r>
        <w:rPr>
          <w:rFonts w:ascii="Times New Roman" w:cs="Times New Roman" w:eastAsia="Times New Roman" w:hAnsi="Times New Roman"/>
          <w:sz w:val="22"/>
          <w:szCs w:val="22"/>
          <w:color w:val="auto"/>
        </w:rPr>
        <w:t>, a specialty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company, announced today that its product portfolio of FDA-approved brands delivered combined net revenues of $13.7 million during the fourth quarter of 2025, a 31% increase over the prior year period.</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Net revenues for the full year 2025 were $44.5 million an 18% increase over the prior year period, achieving the company’s target of double digit revenue growth. Cumberland ended the year with $76.8 million in total assets, $52.3 million in liabilities and $24.9 million of shareholders’ equity.</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net loss for 2025 was $2.9 million, which was an improvement of $3.6 million from the prior year. When noncash items are added back the Adjusted Earnings for the full year were $1.7 million, a $2.7 million improvement over the prior year. In addition, cashflow from operations was $4.9 million in 2025 representing a $5.5 million increase over 2024.</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are pleased with Cumberland’s strong financial performance in 2025, and the progress made across our commercial and development portfolio,” said A.J. Kazimi, CEO of Cumberland Pharmaceuticals. “We delivered solid revenue growth, expanded our international presence, strengthened our commercial platform with the addition of Talicia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achieved important reimbursement and clinical milestones. These accomplishments reflect the strength of our strategy and position Cumberland for continued growth as we work together to provide unique products that improve the quality of patient care.”</w:t>
      </w:r>
    </w:p>
    <w:p>
      <w:pPr>
        <w:sectPr>
          <w:pgSz w:w="11900" w:h="16838" w:orient="portrait"/>
          <w:cols w:equalWidth="0" w:num="1">
            <w:col w:w="11240"/>
          </w:cols>
          <w:pgMar w:left="320" w:top="1440" w:right="339" w:bottom="1440" w:gutter="0" w:footer="0" w:header="0"/>
        </w:sectPr>
      </w:pPr>
    </w:p>
    <w:bookmarkStart w:id="4" w:name="page5"/>
    <w:bookmarkEnd w:id="4"/>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2025 HIGHLIGHTS INCLUDE: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International Expansion</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February 2025, Cumberland announced that its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product received approval from the regulatory authorities in China, the world’s second-largest pharmaceutical market. The announcement follows an agreement that provides SciClone Pharmaceuticals with the exclusive rights to register, promote and distribute the product to patients in the Chinese market.</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September 2025, Cumberland announced the launch of Vibativ in Saudi Arabia. The product launch follows an agreement with Tabuk Pharmaceutical Manufacturing Company to introduce Vibativ into the Middle East. The arrangement provided Tabuk exclusive rights to distribute Vibativ in Saudi Arabia and Jordan, with the option to expand into other countries in the region. Tabuk has obtained the final approvals needed to commercialize Vibativ in Saudi Arabia.</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October 2025, Cumberland’s ibuprofen injection product received regulatory approval in Mexico. The company previously announced its partnership with PiSA Farmaceutica, a well-established Mexican pharmaceutical firm. Under the agreement, PiSA is provided with the exclusive supply and distribution rights for the ibuprofen product in the Mexican market while Cumberland provides regulatory and manufacturing support. PiSA plans to introduce the product, making it accessible for a variety of clinical uses in Mexican healthcare facilities.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Expanded Commercial Portfolio</w:t>
      </w:r>
    </w:p>
    <w:p>
      <w:pPr>
        <w:spacing w:after="0" w:line="18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In October 2025, Cumberland announced arrangements with RedHill Biopharma Ltd. to jointly commercialize Talicia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marking the latest addition to its commercial product portfolio. The FDA-approved oral capsule is indicated for the treatment of </w:t>
      </w:r>
      <w:r>
        <w:rPr>
          <w:rFonts w:ascii="Times New Roman" w:cs="Times New Roman" w:eastAsia="Times New Roman" w:hAnsi="Times New Roman"/>
          <w:sz w:val="22"/>
          <w:szCs w:val="22"/>
          <w:i w:val="1"/>
          <w:iCs w:val="1"/>
          <w:color w:val="auto"/>
        </w:rPr>
        <w:t xml:space="preserve">Helicobacter pylori (H. pylori) </w:t>
      </w:r>
      <w:r>
        <w:rPr>
          <w:rFonts w:ascii="Times New Roman" w:cs="Times New Roman" w:eastAsia="Times New Roman" w:hAnsi="Times New Roman"/>
          <w:sz w:val="22"/>
          <w:szCs w:val="22"/>
          <w:color w:val="auto"/>
        </w:rPr>
        <w:t>infection in adults, a bacterial infection and leading risk factor for gastric cancer.</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Through a co-commercialization agreement, Cumberland assumed responsibility for the distribution and sale of Talicia in the U.S. Cumberland records Talicia product sales and equally shares Talicia’s net revenues. Cumberland will provide an annual investment to cover certain distribution, marketing and sales costs. Leveraging its established field sales division, Cumberland leads the sales promotion for Talicia with the goal to increase the number of patients who benefit from the treatment.</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Talicia is the only all-in-one treatment containing omeprazole, amoxicillin and rifabutin, and is now recommended as a first-line therapy in the </w:t>
      </w:r>
      <w:r>
        <w:rPr>
          <w:rFonts w:ascii="Times New Roman" w:cs="Times New Roman" w:eastAsia="Times New Roman" w:hAnsi="Times New Roman"/>
          <w:sz w:val="22"/>
          <w:szCs w:val="22"/>
          <w:i w:val="1"/>
          <w:iCs w:val="1"/>
          <w:color w:val="auto"/>
        </w:rPr>
        <w:t>American College of Gastroenterology</w:t>
      </w:r>
      <w:r>
        <w:rPr>
          <w:rFonts w:ascii="Times New Roman" w:cs="Times New Roman" w:eastAsia="Times New Roman" w:hAnsi="Times New Roman"/>
          <w:sz w:val="22"/>
          <w:szCs w:val="22"/>
          <w:color w:val="auto"/>
        </w:rPr>
        <w:t xml:space="preserve"> (ACG) clinical guidelines. Talicia is patent protected through 2042 and received eight years of U.S. market exclusivity under its Qualified Infectious Disease Product (QIDP) designation.</w:t>
      </w:r>
    </w:p>
    <w:p>
      <w:pPr>
        <w:sectPr>
          <w:pgSz w:w="11900" w:h="16838" w:orient="portrait"/>
          <w:cols w:equalWidth="0" w:num="1">
            <w:col w:w="11240"/>
          </w:cols>
          <w:pgMar w:left="320" w:top="1440" w:right="339" w:bottom="1440" w:gutter="0" w:footer="0" w:header="0"/>
        </w:sectPr>
      </w:pPr>
    </w:p>
    <w:bookmarkStart w:id="5" w:name="page6"/>
    <w:bookmarkEnd w:id="5"/>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CMS Establishes Reimbursement for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Through Permanent J-Code</w:t>
      </w:r>
    </w:p>
    <w:p>
      <w:pPr>
        <w:spacing w:after="0" w:line="12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received a key reimbursement milestone with the establishment of its permanent J-code, J1741, in December 2025. The J-Code is now officially linked to a CMS reimbursement price. This designation enables healthcare providers to access a clearly defined and reimbursable pathway for Caldolor, supporting its continued adoption across hospital and clinical settings.</w:t>
      </w:r>
    </w:p>
    <w:p>
      <w:pPr>
        <w:spacing w:after="0" w:line="16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As the nation continues to address the opioid crisis, Caldolor offers an important non-opioid option for managing pain and fever. The availability of CMS reimbursement through J1741 enhances provider access to this therapy, supporting safer pain management strategies and helping reduce reliance on opioid medications.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reimbursement milestone reinforces Caldolor’s role as a clinically proven, non-opioid alternative and strengthens its position within hospital protocols and opioid-sparing treatment initiatives. It also supports broader access for patients while advancing efforts to improve outcomes and promote responsible pain management.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Clinical Top-Line Study Results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early 2025, Cumberland announced positive top-line results from its FIGHT DMD clinical trial. The study evaluated ifetroban, a novel oral therapy for Duchenne muscular dystrophy (DMD) heart disease – the leading cause of death in DMD patients. It marks a breakthrough for these patients, as it is the first successful Phase II study specifically targeting the cardiac complications of their condition. Ifetroban has been studied in over 1,400 subjects across multiple clinical trials, demonstrating a well-established safety profile.</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trial enrolled 41 DMD patients who received either low dose ifetroban (150 mg per day), high dose ifetroban (300 mg per day) or placebo. The study's primary endpoint was an improvement in the heart's left ventricular ejection fractions (LVEF). Key findings included:</w:t>
      </w:r>
    </w:p>
    <w:p>
      <w:pPr>
        <w:spacing w:after="0" w:line="100" w:lineRule="exact"/>
        <w:rPr>
          <w:sz w:val="20"/>
          <w:szCs w:val="20"/>
          <w:color w:val="auto"/>
        </w:rPr>
      </w:pPr>
    </w:p>
    <w:p>
      <w:pPr>
        <w:ind w:left="640" w:hanging="36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High dose ifetroban treatment resulted in an overall 3.3% improvement in LVEF.</w:t>
      </w:r>
    </w:p>
    <w:p>
      <w:pPr>
        <w:spacing w:after="0" w:line="138" w:lineRule="exact"/>
        <w:rPr>
          <w:rFonts w:ascii="Times New Roman" w:cs="Times New Roman" w:eastAsia="Times New Roman" w:hAnsi="Times New Roman"/>
          <w:sz w:val="18"/>
          <w:szCs w:val="18"/>
          <w:color w:val="auto"/>
        </w:rPr>
      </w:pPr>
    </w:p>
    <w:p>
      <w:pPr>
        <w:ind w:left="660" w:hanging="386"/>
        <w:spacing w:after="0" w:line="284" w:lineRule="auto"/>
        <w:tabs>
          <w:tab w:leader="none" w:pos="6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high dose ifetroban group showed an increase in 1.8% in LVEF, while the study placebo group showed an expected decline in LVEF of 1.5%.</w:t>
      </w:r>
    </w:p>
    <w:p>
      <w:pPr>
        <w:spacing w:after="0" w:line="62" w:lineRule="exact"/>
        <w:rPr>
          <w:rFonts w:ascii="Times New Roman" w:cs="Times New Roman" w:eastAsia="Times New Roman" w:hAnsi="Times New Roman"/>
          <w:sz w:val="18"/>
          <w:szCs w:val="18"/>
          <w:color w:val="auto"/>
        </w:rPr>
      </w:pPr>
    </w:p>
    <w:p>
      <w:pPr>
        <w:jc w:val="both"/>
        <w:ind w:left="660" w:hanging="386"/>
        <w:spacing w:after="0" w:line="263" w:lineRule="auto"/>
        <w:tabs>
          <w:tab w:leader="none" w:pos="6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When compared with propensity matched natural history controls, the difference was even more pronounced, with the high dose treatment providing a significant 5.4% overall improvement in LVEF, as the control patients experienced a 3.6% decline in LVEF.</w:t>
      </w:r>
    </w:p>
    <w:p>
      <w:pPr>
        <w:spacing w:after="0" w:line="99" w:lineRule="exact"/>
        <w:rPr>
          <w:rFonts w:ascii="Times New Roman" w:cs="Times New Roman" w:eastAsia="Times New Roman" w:hAnsi="Times New Roman"/>
          <w:sz w:val="18"/>
          <w:szCs w:val="18"/>
          <w:color w:val="auto"/>
        </w:rPr>
      </w:pPr>
    </w:p>
    <w:p>
      <w:pPr>
        <w:ind w:left="640" w:hanging="36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Both doses of ifetroban were well-tolerated, with no serious drug-related events.</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The top-line FIGHT DMD study findings were selected for a late-breaking presentation at the </w:t>
      </w:r>
      <w:r>
        <w:rPr>
          <w:rFonts w:ascii="Times New Roman" w:cs="Times New Roman" w:eastAsia="Times New Roman" w:hAnsi="Times New Roman"/>
          <w:sz w:val="22"/>
          <w:szCs w:val="22"/>
          <w:i w:val="1"/>
          <w:iCs w:val="1"/>
          <w:color w:val="auto"/>
        </w:rPr>
        <w:t>Muscular Dystrophy Association’s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Clinical &amp; Scientific Conference </w:t>
      </w:r>
      <w:r>
        <w:rPr>
          <w:rFonts w:ascii="Times New Roman" w:cs="Times New Roman" w:eastAsia="Times New Roman" w:hAnsi="Times New Roman"/>
          <w:sz w:val="22"/>
          <w:szCs w:val="22"/>
          <w:color w:val="auto"/>
        </w:rPr>
        <w:t>in March 2025 and they were presented at the</w:t>
      </w:r>
      <w:r>
        <w:rPr>
          <w:rFonts w:ascii="Times New Roman" w:cs="Times New Roman" w:eastAsia="Times New Roman" w:hAnsi="Times New Roman"/>
          <w:sz w:val="22"/>
          <w:szCs w:val="22"/>
          <w:i w:val="1"/>
          <w:iCs w:val="1"/>
          <w:color w:val="auto"/>
        </w:rPr>
        <w:t xml:space="preserve"> Parent Project Muscular Dystrophy Annual Conference </w:t>
      </w:r>
      <w:r>
        <w:rPr>
          <w:rFonts w:ascii="Times New Roman" w:cs="Times New Roman" w:eastAsia="Times New Roman" w:hAnsi="Times New Roman"/>
          <w:sz w:val="22"/>
          <w:szCs w:val="22"/>
          <w:color w:val="auto"/>
        </w:rPr>
        <w:t>in June 2025.</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Cumberland held two meetings with the FDA to discuss the study results and remaining development path forward. This DMD program received Orphan Drug and Rare Pediatric Disease designation from the FDA in late 2024. In addition, the FDA also provided Fast Track Designation for the Program in early 2026.</w:t>
      </w:r>
    </w:p>
    <w:p>
      <w:pPr>
        <w:sectPr>
          <w:pgSz w:w="11900" w:h="16838" w:orient="portrait"/>
          <w:cols w:equalWidth="0" w:num="1">
            <w:col w:w="11240"/>
          </w:cols>
          <w:pgMar w:left="320" w:top="1440" w:right="339" w:bottom="1440" w:gutter="0" w:footer="0" w:header="0"/>
        </w:sectPr>
      </w:pPr>
    </w:p>
    <w:bookmarkStart w:id="6" w:name="page7"/>
    <w:bookmarkEnd w:id="6"/>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19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Net Revenue: </w:t>
      </w:r>
      <w:r>
        <w:rPr>
          <w:rFonts w:ascii="Times New Roman" w:cs="Times New Roman" w:eastAsia="Times New Roman" w:hAnsi="Times New Roman"/>
          <w:sz w:val="22"/>
          <w:szCs w:val="22"/>
          <w:color w:val="auto"/>
        </w:rPr>
        <w:t>For 2025, net revenues were $44.5 million and included $10.5 million for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$11.9 million for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$9.5 million for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$4.7 million for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$3.3 million for Talicia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Operating Expenses: </w:t>
      </w:r>
      <w:r>
        <w:rPr>
          <w:rFonts w:ascii="Times New Roman" w:cs="Times New Roman" w:eastAsia="Times New Roman" w:hAnsi="Times New Roman"/>
          <w:sz w:val="22"/>
          <w:szCs w:val="22"/>
          <w:color w:val="auto"/>
        </w:rPr>
        <w:t>Total operating expenses for 2025 were $47.3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Net Income (Loss): </w:t>
      </w:r>
      <w:r>
        <w:rPr>
          <w:rFonts w:ascii="Times New Roman" w:cs="Times New Roman" w:eastAsia="Times New Roman" w:hAnsi="Times New Roman"/>
          <w:sz w:val="22"/>
          <w:szCs w:val="22"/>
          <w:color w:val="auto"/>
        </w:rPr>
        <w:t>The net loss for 2025 was $2.9 million, an improvement of $3.6 million over the prior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Adjusted Earnings: </w:t>
      </w:r>
      <w:r>
        <w:rPr>
          <w:rFonts w:ascii="Times New Roman" w:cs="Times New Roman" w:eastAsia="Times New Roman" w:hAnsi="Times New Roman"/>
          <w:sz w:val="22"/>
          <w:szCs w:val="22"/>
          <w:color w:val="auto"/>
        </w:rPr>
        <w:t>Adjusted earnings for 2025 were $1.7 million, a $2.7 million improvement over 2024.</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Balance Sheet: </w:t>
      </w:r>
      <w:r>
        <w:rPr>
          <w:rFonts w:ascii="Times New Roman" w:cs="Times New Roman" w:eastAsia="Times New Roman" w:hAnsi="Times New Roman"/>
          <w:sz w:val="22"/>
          <w:szCs w:val="22"/>
          <w:color w:val="auto"/>
        </w:rPr>
        <w:t>On December 31, 2025, Cumberland had $76.8 million in total assets, including $11.4 million in cash and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Liabilities totaled $52.3 million, including $5.2 million on the company’s credit facility, which represented a reduction of $10 million in debt, compared to the end of 2024. Total shareholders’ equity was $24.9 million on December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REPORT CALL:</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 conference call will be held today, March 3, 2026, at 4:30 p.m. Eastern Time to provide a company update and discuss the financial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link to register is </w:t>
      </w:r>
      <w:r>
        <w:rPr>
          <w:rFonts w:ascii="Times New Roman" w:cs="Times New Roman" w:eastAsia="Times New Roman" w:hAnsi="Times New Roman"/>
          <w:sz w:val="22"/>
          <w:szCs w:val="22"/>
          <w:b w:val="1"/>
          <w:bCs w:val="1"/>
          <w:u w:val="single" w:color="auto"/>
          <w:color w:val="auto"/>
        </w:rPr>
        <w:t>https://register-conf.media-server.com/register/BI6effc1a9cae9445f9bb0d60817870ffa</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replay of the call will be available for one year and can be accessed via Cumberland’s website or by visiting: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https://edge.media-server.com/mmc/p/w5m9usns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7" w:name="page8"/>
    <w:bookmarkEnd w:id="7"/>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CUMBERLAND PHARMACEUTICALS: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w:t>
      </w:r>
      <w:r>
        <w:rPr>
          <w:rFonts w:ascii="Times New Roman" w:cs="Times New Roman" w:eastAsia="Times New Roman" w:hAnsi="Times New Roman"/>
          <w:sz w:val="22"/>
          <w:szCs w:val="22"/>
          <w:color w:val="auto"/>
        </w:rPr>
        <w:t>is the largest biopharmaceutical company founded and headquartered in Tennessee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focused on providing unique products that improve the quality of patient care. The company develops, acquires, and commercializes products for the hospital acute care, gastroenterology and oncology market segments. The company’s portfolio of FDA-approved brands includes:</w:t>
      </w:r>
    </w:p>
    <w:p>
      <w:pPr>
        <w:spacing w:after="0" w:line="145" w:lineRule="exact"/>
        <w:rPr>
          <w:sz w:val="20"/>
          <w:szCs w:val="20"/>
          <w:color w:val="auto"/>
        </w:rPr>
      </w:pPr>
    </w:p>
    <w:p>
      <w:pPr>
        <w:ind w:left="1240" w:hanging="584"/>
        <w:spacing w:after="0"/>
        <w:tabs>
          <w:tab w:leader="none" w:pos="1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113"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119"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113" w:lineRule="exact"/>
        <w:rPr>
          <w:rFonts w:ascii="Times New Roman" w:cs="Times New Roman" w:eastAsia="Times New Roman" w:hAnsi="Times New Roman"/>
          <w:sz w:val="22"/>
          <w:szCs w:val="22"/>
          <w:color w:val="auto"/>
        </w:rPr>
      </w:pPr>
    </w:p>
    <w:p>
      <w:pPr>
        <w:ind w:left="1240" w:right="20" w:hanging="584"/>
        <w:spacing w:after="0" w:line="232" w:lineRule="auto"/>
        <w:tabs>
          <w:tab w:leader="none" w:pos="123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transdermal, for the prevention of nausea and vomiting in patients receiving certain types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chemotherapy treatment;</w:t>
      </w:r>
    </w:p>
    <w:p>
      <w:pPr>
        <w:spacing w:after="0" w:line="146" w:lineRule="exact"/>
        <w:rPr>
          <w:rFonts w:ascii="Times New Roman" w:cs="Times New Roman" w:eastAsia="Times New Roman" w:hAnsi="Times New Roman"/>
          <w:sz w:val="22"/>
          <w:szCs w:val="22"/>
          <w:color w:val="auto"/>
        </w:rPr>
      </w:pPr>
    </w:p>
    <w:p>
      <w:pPr>
        <w:ind w:left="1240" w:right="20" w:hanging="584"/>
        <w:spacing w:after="0" w:line="226" w:lineRule="auto"/>
        <w:tabs>
          <w:tab w:leader="none" w:pos="123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hypervolemic hyponatremia;</w:t>
      </w:r>
    </w:p>
    <w:p>
      <w:pPr>
        <w:spacing w:after="0" w:line="156" w:lineRule="exact"/>
        <w:rPr>
          <w:rFonts w:ascii="Times New Roman" w:cs="Times New Roman" w:eastAsia="Times New Roman" w:hAnsi="Times New Roman"/>
          <w:sz w:val="22"/>
          <w:szCs w:val="22"/>
          <w:color w:val="auto"/>
        </w:rPr>
      </w:pPr>
    </w:p>
    <w:p>
      <w:pPr>
        <w:ind w:left="1240" w:right="20" w:hanging="584"/>
        <w:spacing w:after="0" w:line="237" w:lineRule="auto"/>
        <w:tabs>
          <w:tab w:leader="none" w:pos="123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Vibativ</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telavancin</w:t>
      </w:r>
      <w:r>
        <w:rPr>
          <w:rFonts w:ascii="Times New Roman" w:cs="Times New Roman" w:eastAsia="Times New Roman" w:hAnsi="Times New Roman"/>
          <w:sz w:val="21"/>
          <w:szCs w:val="21"/>
          <w:color w:val="auto"/>
        </w:rPr>
        <w:t>) injection, for the treatment of certain serious bacterial infections including hospital-acquired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ventilator-associated bacterial pneumonia, as well as complicated skin and skin structure infections; and</w:t>
      </w:r>
    </w:p>
    <w:p>
      <w:pPr>
        <w:spacing w:after="0" w:line="156"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Talicia</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omeprazole, amoxicillin and rifabutin</w:t>
      </w:r>
      <w:r>
        <w:rPr>
          <w:rFonts w:ascii="Times New Roman" w:cs="Times New Roman" w:eastAsia="Times New Roman" w:hAnsi="Times New Roman"/>
          <w:sz w:val="22"/>
          <w:szCs w:val="22"/>
          <w:color w:val="auto"/>
        </w:rPr>
        <w:t>) oral capsule, for the treatment of H. pylori infection.</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Duchenne Muscular Dystrophy, Systemic Sclerosis and Pulmonary Fibrosis.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more information on Cumberland’s approved products, including full prescribing information, please visit the links to the individual product websites, which can be found on the company’s website at www.cumberlandpharma.com.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(acetylcysteine) Injection</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Times New Roman" w:cs="Times New Roman" w:eastAsia="Times New Roman" w:hAnsi="Times New Roman"/>
          <w:sz w:val="22"/>
          <w:szCs w:val="22"/>
          <w:u w:val="single" w:color="auto"/>
          <w:color w:val="auto"/>
        </w:rPr>
        <w:t>www.acetadote.com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8" w:name="page9"/>
    <w:bookmarkEnd w:id="8"/>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Caldolor is indicated in adults and pediatric patients for the management of mild to moderate pain and the management of moderate to severe pain as an adjunct to opioid analgesics, as well as the reduction of fever. It was the first FDA-approved intravenous therapy for fever.</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Caldolor is contraindicated in patients with known hypersensitivity to ibuprofen or other non-steroidal anti-inflammatory drugs (NSAIDs) as well as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www.caldolor.com.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(lactulose) Oral Solution</w:t>
      </w:r>
    </w:p>
    <w:p>
      <w:pPr>
        <w:spacing w:after="0" w:line="1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www.kristalose.com.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granisetron) Transdermal System</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prevent CINV for chemotherapy regimens of up to five consecutive days. For full prescribing and safety information, visit www.sancuso.com.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(conivaptan hydrochloride) Injection</w:t>
      </w:r>
    </w:p>
    <w:p>
      <w:pPr>
        <w:spacing w:after="0" w:line="1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www.vaprisol.com.</w:t>
      </w:r>
    </w:p>
    <w:p>
      <w:pPr>
        <w:sectPr>
          <w:pgSz w:w="11900" w:h="16838" w:orient="portrait"/>
          <w:cols w:equalWidth="0" w:num="1">
            <w:col w:w="11240"/>
          </w:cols>
          <w:pgMar w:left="320" w:top="1440" w:right="339" w:bottom="1440" w:gutter="0" w:footer="0" w:header="0"/>
        </w:sectPr>
      </w:pPr>
    </w:p>
    <w:bookmarkStart w:id="9" w:name="page10"/>
    <w:bookmarkEnd w:id="9"/>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(telavancin) for Injection</w:t>
      </w:r>
    </w:p>
    <w:p>
      <w:pPr>
        <w:spacing w:after="0" w:line="1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www.vibativ.com.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Talicia</w:t>
      </w:r>
      <w:r>
        <w:rPr>
          <w:rFonts w:ascii="Times New Roman" w:cs="Times New Roman" w:eastAsia="Times New Roman" w:hAnsi="Times New Roman"/>
          <w:sz w:val="28"/>
          <w:szCs w:val="28"/>
          <w:b w:val="1"/>
          <w:bCs w:val="1"/>
          <w:color w:val="auto"/>
          <w:vertAlign w:val="superscript"/>
        </w:rPr>
        <w:t>®</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Talicia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is an FDA approved oral capsule for the treatment of </w:t>
      </w:r>
      <w:r>
        <w:rPr>
          <w:rFonts w:ascii="Times New Roman" w:cs="Times New Roman" w:eastAsia="Times New Roman" w:hAnsi="Times New Roman"/>
          <w:sz w:val="22"/>
          <w:szCs w:val="22"/>
          <w:i w:val="1"/>
          <w:iCs w:val="1"/>
          <w:color w:val="auto"/>
        </w:rPr>
        <w:t>Helicobacter pylori (H. pylori</w:t>
      </w:r>
      <w:r>
        <w:rPr>
          <w:rFonts w:ascii="Times New Roman" w:cs="Times New Roman" w:eastAsia="Times New Roman" w:hAnsi="Times New Roman"/>
          <w:sz w:val="22"/>
          <w:szCs w:val="22"/>
          <w:color w:val="auto"/>
        </w:rPr>
        <w:t>) infection in adults, a bacterial infection of the stomach and leading risk factor for gastric cancer. Talicia is listed as a first line option in the 2024 ACG Guideline for the treatment of H. pylori and features three key advantages: 1) high eradication rates - &gt;90% in confirmed adherent patients, 2) the simplicity of an all-in-one capsule, and 3) low resistance to the two antibiotics - amoxicillin and rifabutin. For more information, please visit www.talicia.com.</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"goal",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changes in interest rates, inflation, tariffs,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4740" w:type="dxa"/>
            <w:vAlign w:val="bottom"/>
            <w:tcBorders>
              <w:top w:val="single" w:sz="8" w:color="9A9A9A"/>
              <w:left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Investor Contact:</w:t>
            </w:r>
          </w:p>
        </w:tc>
        <w:tc>
          <w:tcPr>
            <w:tcW w:w="4600" w:type="dxa"/>
            <w:vAlign w:val="bottom"/>
            <w:tcBorders>
              <w:top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Media Contact:</w:t>
            </w:r>
          </w:p>
        </w:tc>
      </w:tr>
      <w:tr>
        <w:trPr>
          <w:trHeight w:val="29"/>
        </w:trPr>
        <w:tc>
          <w:tcPr>
            <w:tcW w:w="4740" w:type="dxa"/>
            <w:vAlign w:val="bottom"/>
            <w:tcBorders>
              <w:left w:val="single" w:sz="8" w:color="9A9A9A"/>
              <w:bottom w:val="single" w:sz="8" w:color="9A9A9A"/>
              <w:right w:val="single" w:sz="8" w:color="9A9A9A"/>
            </w:tcBorders>
          </w:tcPr>
          <w:p>
            <w:pPr>
              <w:spacing w:after="0"/>
              <w:rPr>
                <w:sz w:val="2"/>
                <w:szCs w:val="2"/>
                <w:color w:val="auto"/>
              </w:rPr>
            </w:pPr>
          </w:p>
        </w:tc>
        <w:tc>
          <w:tcPr>
            <w:tcW w:w="4600" w:type="dxa"/>
            <w:vAlign w:val="bottom"/>
            <w:tcBorders>
              <w:bottom w:val="single" w:sz="8" w:color="9A9A9A"/>
              <w:right w:val="single" w:sz="8" w:color="9A9A9A"/>
            </w:tcBorders>
          </w:tcPr>
          <w:p>
            <w:pPr>
              <w:spacing w:after="0"/>
              <w:rPr>
                <w:sz w:val="2"/>
                <w:szCs w:val="2"/>
                <w:color w:val="auto"/>
              </w:rPr>
            </w:pPr>
          </w:p>
        </w:tc>
      </w:tr>
      <w:tr>
        <w:trPr>
          <w:trHeight w:val="302"/>
        </w:trPr>
        <w:tc>
          <w:tcPr>
            <w:tcW w:w="4740" w:type="dxa"/>
            <w:vAlign w:val="bottom"/>
            <w:tcBorders>
              <w:left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6"/>
              </w:rPr>
              <w:t>Shayla Simpson</w:t>
            </w:r>
          </w:p>
        </w:tc>
        <w:tc>
          <w:tcPr>
            <w:tcW w:w="4600" w:type="dxa"/>
            <w:vAlign w:val="bottom"/>
            <w:tcBorders>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7"/>
              </w:rPr>
              <w:t>Emily Kent</w:t>
            </w:r>
          </w:p>
        </w:tc>
      </w:tr>
      <w:tr>
        <w:trPr>
          <w:trHeight w:val="29"/>
        </w:trPr>
        <w:tc>
          <w:tcPr>
            <w:tcW w:w="4740" w:type="dxa"/>
            <w:vAlign w:val="bottom"/>
            <w:tcBorders>
              <w:left w:val="single" w:sz="8" w:color="9A9A9A"/>
              <w:bottom w:val="single" w:sz="8" w:color="9A9A9A"/>
              <w:right w:val="single" w:sz="8" w:color="9A9A9A"/>
            </w:tcBorders>
          </w:tcPr>
          <w:p>
            <w:pPr>
              <w:spacing w:after="0"/>
              <w:rPr>
                <w:sz w:val="2"/>
                <w:szCs w:val="2"/>
                <w:color w:val="auto"/>
              </w:rPr>
            </w:pPr>
          </w:p>
        </w:tc>
        <w:tc>
          <w:tcPr>
            <w:tcW w:w="4600" w:type="dxa"/>
            <w:vAlign w:val="bottom"/>
            <w:tcBorders>
              <w:bottom w:val="single" w:sz="8" w:color="9A9A9A"/>
              <w:right w:val="single" w:sz="8" w:color="9A9A9A"/>
            </w:tcBorders>
          </w:tcPr>
          <w:p>
            <w:pPr>
              <w:spacing w:after="0"/>
              <w:rPr>
                <w:sz w:val="2"/>
                <w:szCs w:val="2"/>
                <w:color w:val="auto"/>
              </w:rPr>
            </w:pPr>
          </w:p>
        </w:tc>
      </w:tr>
      <w:tr>
        <w:trPr>
          <w:trHeight w:val="302"/>
        </w:trPr>
        <w:tc>
          <w:tcPr>
            <w:tcW w:w="4740" w:type="dxa"/>
            <w:vAlign w:val="bottom"/>
            <w:tcBorders>
              <w:left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8"/>
              </w:rPr>
              <w:t>Cumberland Pharmaceuticals Inc.</w:t>
            </w:r>
          </w:p>
        </w:tc>
        <w:tc>
          <w:tcPr>
            <w:tcW w:w="4600" w:type="dxa"/>
            <w:vAlign w:val="bottom"/>
            <w:tcBorders>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7"/>
              </w:rPr>
              <w:t>Dalton Agency</w:t>
            </w:r>
          </w:p>
        </w:tc>
      </w:tr>
      <w:tr>
        <w:trPr>
          <w:trHeight w:val="29"/>
        </w:trPr>
        <w:tc>
          <w:tcPr>
            <w:tcW w:w="4740" w:type="dxa"/>
            <w:vAlign w:val="bottom"/>
            <w:tcBorders>
              <w:left w:val="single" w:sz="8" w:color="9A9A9A"/>
              <w:bottom w:val="single" w:sz="8" w:color="9A9A9A"/>
              <w:right w:val="single" w:sz="8" w:color="9A9A9A"/>
            </w:tcBorders>
          </w:tcPr>
          <w:p>
            <w:pPr>
              <w:spacing w:after="0"/>
              <w:rPr>
                <w:sz w:val="2"/>
                <w:szCs w:val="2"/>
                <w:color w:val="auto"/>
              </w:rPr>
            </w:pPr>
          </w:p>
        </w:tc>
        <w:tc>
          <w:tcPr>
            <w:tcW w:w="4600" w:type="dxa"/>
            <w:vAlign w:val="bottom"/>
            <w:tcBorders>
              <w:bottom w:val="single" w:sz="8" w:color="9A9A9A"/>
              <w:right w:val="single" w:sz="8" w:color="9A9A9A"/>
            </w:tcBorders>
          </w:tcPr>
          <w:p>
            <w:pPr>
              <w:spacing w:after="0"/>
              <w:rPr>
                <w:sz w:val="2"/>
                <w:szCs w:val="2"/>
                <w:color w:val="auto"/>
              </w:rPr>
            </w:pPr>
          </w:p>
        </w:tc>
      </w:tr>
      <w:tr>
        <w:trPr>
          <w:trHeight w:val="303"/>
        </w:trPr>
        <w:tc>
          <w:tcPr>
            <w:tcW w:w="4740" w:type="dxa"/>
            <w:vAlign w:val="bottom"/>
            <w:tcBorders>
              <w:left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7"/>
              </w:rPr>
              <w:t>(615) 255-0068</w:t>
            </w:r>
          </w:p>
        </w:tc>
        <w:tc>
          <w:tcPr>
            <w:tcW w:w="4600" w:type="dxa"/>
            <w:vAlign w:val="bottom"/>
            <w:tcBorders>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7"/>
              </w:rPr>
              <w:t>(540) 621-5448</w:t>
            </w:r>
          </w:p>
        </w:tc>
      </w:tr>
      <w:tr>
        <w:trPr>
          <w:trHeight w:val="29"/>
        </w:trPr>
        <w:tc>
          <w:tcPr>
            <w:tcW w:w="4740" w:type="dxa"/>
            <w:vAlign w:val="bottom"/>
            <w:tcBorders>
              <w:left w:val="single" w:sz="8" w:color="9A9A9A"/>
              <w:bottom w:val="single" w:sz="8" w:color="9A9A9A"/>
              <w:right w:val="single" w:sz="8" w:color="9A9A9A"/>
            </w:tcBorders>
          </w:tcPr>
          <w:p>
            <w:pPr>
              <w:spacing w:after="0"/>
              <w:rPr>
                <w:sz w:val="2"/>
                <w:szCs w:val="2"/>
                <w:color w:val="auto"/>
              </w:rPr>
            </w:pPr>
          </w:p>
        </w:tc>
        <w:tc>
          <w:tcPr>
            <w:tcW w:w="4600" w:type="dxa"/>
            <w:vAlign w:val="bottom"/>
            <w:tcBorders>
              <w:bottom w:val="single" w:sz="8" w:color="9A9A9A"/>
              <w:right w:val="single" w:sz="8" w:color="9A9A9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MORE -</w:t>
      </w:r>
    </w:p>
    <w:p>
      <w:pPr>
        <w:sectPr>
          <w:pgSz w:w="11900" w:h="16838" w:orient="portrait"/>
          <w:cols w:equalWidth="0" w:num="1">
            <w:col w:w="11240"/>
          </w:cols>
          <w:pgMar w:left="320" w:top="1440"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Consolidated Balance Sheets</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11,444,693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16,944,780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11,701,466</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6,225,518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3,999,995</w:t>
            </w:r>
          </w:p>
        </w:tc>
      </w:tr>
      <w:tr>
        <w:trPr>
          <w:trHeight w:val="229"/>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2,445,276</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2,786,513</w:t>
            </w:r>
          </w:p>
        </w:tc>
      </w:tr>
      <w:tr>
        <w:trPr>
          <w:trHeight w:val="223"/>
        </w:trPr>
        <w:tc>
          <w:tcPr>
            <w:tcW w:w="6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37,060,267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36,452,158</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9,253,090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11,005,499</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277,365</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14,027,921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17,973,449</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8,343,832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6,176,923</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co-commercialization</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3,986,780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2,973,378</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2,784,016</w:t>
            </w:r>
          </w:p>
        </w:tc>
      </w:tr>
      <w:tr>
        <w:trPr>
          <w:trHeight w:val="248"/>
        </w:trPr>
        <w:tc>
          <w:tcPr>
            <w:tcW w:w="6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76,823,992</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18,567,546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13,914,266</w:t>
            </w: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467,774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356,508</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Revolving line of credit - current</w:t>
            </w:r>
          </w:p>
        </w:tc>
        <w:tc>
          <w:tcPr>
            <w:tcW w:w="5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5,100,000</w:t>
            </w: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investment liabilities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5,074,504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12,635,095</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12,250,955</w:t>
            </w:r>
          </w:p>
        </w:tc>
      </w:tr>
      <w:tr>
        <w:trPr>
          <w:trHeight w:val="223"/>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36,744,919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31,621,729</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 long term</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5,240,733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10,176,170</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4,471,965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4,939,739</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5,822,153</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6,299,795</w:t>
            </w:r>
          </w:p>
        </w:tc>
      </w:tr>
      <w:tr>
        <w:trPr>
          <w:trHeight w:val="223"/>
        </w:trPr>
        <w:tc>
          <w:tcPr>
            <w:tcW w:w="6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52,279,770</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53,037,433</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Shareholders’ equity:</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184"/>
        </w:trPr>
        <w:tc>
          <w:tcPr>
            <w:tcW w:w="6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 no par value; 100,000,000 shares authorized; 14,956,627 and 13,952,624</w:t>
            </w: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 2024, respectively</w:t>
            </w:r>
          </w:p>
        </w:tc>
        <w:tc>
          <w:tcPr>
            <w:tcW w:w="5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51,684,381</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46,821,425</w:t>
            </w:r>
          </w:p>
        </w:tc>
      </w:tr>
      <w:tr>
        <w:trPr>
          <w:trHeight w:val="230"/>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(26,804,059)</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(23,967,931)</w:t>
            </w:r>
          </w:p>
        </w:tc>
      </w:tr>
      <w:tr>
        <w:trPr>
          <w:trHeight w:val="223"/>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24,880,322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22,853,494</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(336,100)</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(307,517)</w:t>
            </w:r>
          </w:p>
        </w:tc>
      </w:tr>
      <w:tr>
        <w:trPr>
          <w:trHeight w:val="223"/>
        </w:trPr>
        <w:tc>
          <w:tcPr>
            <w:tcW w:w="6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24,544,222</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22,545,977</w:t>
            </w:r>
          </w:p>
        </w:tc>
      </w:tr>
      <w:tr>
        <w:trPr>
          <w:trHeight w:val="248"/>
        </w:trPr>
        <w:tc>
          <w:tcPr>
            <w:tcW w:w="67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76,823,992</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40"/>
          </w:cols>
          <w:pgMar w:left="380" w:top="959" w:right="379" w:bottom="1440" w:gutter="0" w:footer="0" w:header="0"/>
        </w:sectPr>
      </w:pPr>
    </w:p>
    <w:bookmarkStart w:id="12" w:name="page13"/>
    <w:bookmarkEnd w:id="12"/>
    <w:p>
      <w:pPr>
        <w:jc w:val="center"/>
        <w:ind w:left="340" w:right="2380"/>
        <w:spacing w:after="0" w:line="359"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Consolidated Statements of Operations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0" w:type="dxa"/>
            <w:vAlign w:val="bottom"/>
          </w:tcPr>
          <w:p>
            <w:pPr>
              <w:spacing w:after="0"/>
              <w:rPr>
                <w:sz w:val="17"/>
                <w:szCs w:val="17"/>
                <w:color w:val="auto"/>
              </w:rPr>
            </w:pPr>
          </w:p>
        </w:tc>
      </w:tr>
      <w:tr>
        <w:trPr>
          <w:trHeight w:val="238"/>
        </w:trPr>
        <w:tc>
          <w:tcPr>
            <w:tcW w:w="4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 December 31,</w:t>
            </w: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20"/>
                <w:szCs w:val="20"/>
                <w:color w:val="auto"/>
              </w:rPr>
            </w:pPr>
          </w:p>
        </w:tc>
      </w:tr>
      <w:tr>
        <w:trPr>
          <w:trHeight w:val="218"/>
        </w:trPr>
        <w:tc>
          <w:tcPr>
            <w:tcW w:w="45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13,678,651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44,521,431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37,867,945</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products sold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2,241,344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6,667,207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6,585,972</w:t>
            </w: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6,208,695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19,098,153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17,023,023</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1,549,656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5,566,498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4,816,206</w:t>
            </w:r>
          </w:p>
        </w:tc>
      </w:tr>
      <w:tr>
        <w:trPr>
          <w:trHeight w:val="230"/>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4,036,913</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11,946,909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11,126,901</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and impairment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1,013,245</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4,034,657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4,748,252</w:t>
            </w:r>
          </w:p>
        </w:tc>
      </w:tr>
      <w:tr>
        <w:trPr>
          <w:trHeight w:val="223"/>
        </w:trPr>
        <w:tc>
          <w:tcPr>
            <w:tcW w:w="4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15,049,853</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12,277,608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47,313,424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44,300,354</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(1,371,202)</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(2,791,993)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(6,432,409)</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476,748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334,444</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gain on insurance proceeds</w:t>
            </w:r>
          </w:p>
        </w:tc>
        <w:tc>
          <w:tcPr>
            <w:tcW w:w="380" w:type="dxa"/>
            <w:vAlign w:val="bottom"/>
          </w:tcPr>
          <w:p>
            <w:pPr>
              <w:spacing w:after="0"/>
              <w:rPr>
                <w:sz w:val="19"/>
                <w:szCs w:val="19"/>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237,089</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(112,942)</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(605,508)</w:t>
            </w:r>
          </w:p>
        </w:tc>
      </w:tr>
      <w:tr>
        <w:trPr>
          <w:trHeight w:val="223"/>
        </w:trPr>
        <w:tc>
          <w:tcPr>
            <w:tcW w:w="4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(1,405,397)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(2,824,455)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(6,466,384)</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w:t>
            </w:r>
          </w:p>
        </w:tc>
      </w:tr>
      <w:tr>
        <w:trPr>
          <w:trHeight w:val="223"/>
        </w:trPr>
        <w:tc>
          <w:tcPr>
            <w:tcW w:w="4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(1,428,642)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(2,864,711)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(6,443,715)</w:t>
            </w:r>
          </w:p>
        </w:tc>
      </w:tr>
      <w:tr>
        <w:trPr>
          <w:trHeight w:val="176"/>
        </w:trPr>
        <w:tc>
          <w:tcPr>
            <w:tcW w:w="4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at subsidiary attributable to</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1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(36,055)</w:t>
            </w:r>
          </w:p>
        </w:tc>
      </w:tr>
      <w:tr>
        <w:trPr>
          <w:trHeight w:val="223"/>
        </w:trPr>
        <w:tc>
          <w:tcPr>
            <w:tcW w:w="4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(1,411,692)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(1,903,814)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(2,836,128)</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(6,479,770)</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9"/>
        </w:trPr>
        <w:tc>
          <w:tcPr>
            <w:tcW w:w="4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 attributable to common shareholders: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4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14,956,627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14,854,619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14,060,272</w:t>
            </w:r>
          </w:p>
        </w:tc>
      </w:tr>
      <w:tr>
        <w:trPr>
          <w:trHeight w:val="230"/>
        </w:trPr>
        <w:tc>
          <w:tcPr>
            <w:tcW w:w="4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14,956,627</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14,854,619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14,060,272</w:t>
            </w:r>
          </w:p>
        </w:tc>
      </w:tr>
    </w:tbl>
    <w:p>
      <w:pPr>
        <w:sectPr>
          <w:pgSz w:w="11900" w:h="16838" w:orient="portrait"/>
          <w:cols w:equalWidth="0" w:num="1">
            <w:col w:w="11240"/>
          </w:cols>
          <w:pgMar w:left="320" w:top="959" w:right="339" w:bottom="1440" w:gutter="0" w:footer="0" w:header="0"/>
        </w:sectPr>
      </w:pPr>
    </w:p>
    <w:bookmarkStart w:id="13" w:name="page14"/>
    <w:bookmarkEnd w:id="13"/>
    <w:p>
      <w:pPr>
        <w:jc w:val="center"/>
        <w:ind w:left="360" w:right="2360"/>
        <w:spacing w:after="0" w:line="337"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Condensed Consolidated Statements of Cash Flows Years ended December 31, 2025 and 2024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(2,864,711)</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(6,443,715)</w:t>
            </w:r>
          </w:p>
        </w:tc>
      </w:tr>
      <w:tr>
        <w:trPr>
          <w:trHeight w:val="184"/>
        </w:trPr>
        <w:tc>
          <w:tcPr>
            <w:tcW w:w="68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Adjustments to reconcile net loss to net cash flows provided by (used in) operating</w:t>
            </w:r>
          </w:p>
        </w:tc>
        <w:tc>
          <w:tcPr>
            <w:tcW w:w="5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4"/>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activities:</w:t>
            </w:r>
          </w:p>
        </w:tc>
        <w:tc>
          <w:tcPr>
            <w:tcW w:w="5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9"/>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4,145,201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4,902,560</w:t>
            </w:r>
          </w:p>
        </w:tc>
      </w:tr>
      <w:tr>
        <w:trPr>
          <w:trHeight w:val="230"/>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1,140,738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1,140,738</w:t>
            </w:r>
          </w:p>
        </w:tc>
      </w:tr>
      <w:tr>
        <w:trPr>
          <w:trHeight w:val="229"/>
        </w:trPr>
        <w:tc>
          <w:tcPr>
            <w:tcW w:w="6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co-commercialization investment</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Disposal of assets</w:t>
            </w:r>
          </w:p>
        </w:tc>
        <w:tc>
          <w:tcPr>
            <w:tcW w:w="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30"/>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408,320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301,895</w:t>
            </w:r>
          </w:p>
        </w:tc>
      </w:tr>
      <w:tr>
        <w:trPr>
          <w:trHeight w:val="229"/>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(decrease) in non-cash contingent consideration</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(1,460,804)</w:t>
            </w:r>
          </w:p>
        </w:tc>
      </w:tr>
      <w:tr>
        <w:trPr>
          <w:trHeight w:val="229"/>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 over premiums paid</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(139,953)</w:t>
            </w:r>
          </w:p>
        </w:tc>
      </w:tr>
      <w:tr>
        <w:trPr>
          <w:trHeight w:val="230"/>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28,313</w:t>
            </w:r>
          </w:p>
        </w:tc>
      </w:tr>
      <w:tr>
        <w:trPr>
          <w:trHeight w:val="229"/>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Life insurance proceeds</w:t>
            </w:r>
          </w:p>
        </w:tc>
        <w:tc>
          <w:tcPr>
            <w:tcW w:w="52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(237,089)</w:t>
            </w:r>
          </w:p>
        </w:tc>
      </w:tr>
      <w:tr>
        <w:trPr>
          <w:trHeight w:val="230"/>
        </w:trPr>
        <w:tc>
          <w:tcPr>
            <w:tcW w:w="6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6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(5,243,314)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(1,943,290)</w:t>
            </w:r>
          </w:p>
        </w:tc>
      </w:tr>
      <w:tr>
        <w:trPr>
          <w:trHeight w:val="229"/>
        </w:trPr>
        <w:tc>
          <w:tcPr>
            <w:tcW w:w="6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 net</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2,242,616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2,408,397</w:t>
            </w:r>
          </w:p>
        </w:tc>
      </w:tr>
      <w:tr>
        <w:trPr>
          <w:trHeight w:val="230"/>
        </w:trPr>
        <w:tc>
          <w:tcPr>
            <w:tcW w:w="6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189,112</w:t>
            </w:r>
          </w:p>
        </w:tc>
      </w:tr>
      <w:tr>
        <w:trPr>
          <w:trHeight w:val="229"/>
        </w:trPr>
        <w:tc>
          <w:tcPr>
            <w:tcW w:w="6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(836,100)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1,784,089</w:t>
            </w:r>
          </w:p>
        </w:tc>
      </w:tr>
      <w:tr>
        <w:trPr>
          <w:trHeight w:val="230"/>
        </w:trPr>
        <w:tc>
          <w:tcPr>
            <w:tcW w:w="6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6,709,196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(991,359)</w:t>
            </w:r>
          </w:p>
        </w:tc>
      </w:tr>
      <w:tr>
        <w:trPr>
          <w:trHeight w:val="230"/>
        </w:trPr>
        <w:tc>
          <w:tcPr>
            <w:tcW w:w="6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(477,642)</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(153,771)</w:t>
            </w:r>
          </w:p>
        </w:tc>
      </w:tr>
      <w:tr>
        <w:trPr>
          <w:trHeight w:val="223"/>
        </w:trPr>
        <w:tc>
          <w:tcPr>
            <w:tcW w:w="680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4,932,522</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(612,186)</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(66,461)</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(113,253)</w:t>
            </w: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in manufacturing</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(2,477,192)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investment</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Life insurance policy proceeds received</w:t>
            </w:r>
          </w:p>
        </w:tc>
        <w:tc>
          <w:tcPr>
            <w:tcW w:w="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237,556</w:t>
            </w: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(4,706,497)</w:t>
            </w:r>
          </w:p>
        </w:tc>
        <w:tc>
          <w:tcPr>
            <w:tcW w:w="14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57,842</w:t>
            </w:r>
          </w:p>
        </w:tc>
      </w:tr>
      <w:tr>
        <w:trPr>
          <w:trHeight w:val="21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52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38,488,920</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(10,035,437)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(35,996,894)</w:t>
            </w: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ATM offering, net</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5,266,334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(263,478)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(579,049)</w:t>
            </w:r>
          </w:p>
        </w:tc>
      </w:tr>
      <w:tr>
        <w:trPr>
          <w:trHeight w:val="230"/>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(1,712,935)</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(1,716,073)</w:t>
            </w:r>
          </w:p>
        </w:tc>
      </w:tr>
      <w:tr>
        <w:trPr>
          <w:trHeight w:val="223"/>
        </w:trPr>
        <w:tc>
          <w:tcPr>
            <w:tcW w:w="68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(6,745,516)</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196,904</w:t>
            </w:r>
          </w:p>
        </w:tc>
      </w:tr>
      <w:tr>
        <w:trPr>
          <w:trHeight w:val="223"/>
        </w:trPr>
        <w:tc>
          <w:tcPr>
            <w:tcW w:w="6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(6,519,491)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(357,440)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11,444,693</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17,964,184</w:t>
            </w:r>
          </w:p>
        </w:tc>
      </w:tr>
      <w:tr>
        <w:trPr>
          <w:trHeight w:val="20"/>
        </w:trPr>
        <w:tc>
          <w:tcPr>
            <w:tcW w:w="6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959"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0" w:lineRule="exact"/>
        <w:rPr>
          <w:sz w:val="20"/>
          <w:szCs w:val="20"/>
          <w:color w:val="auto"/>
        </w:rPr>
      </w:pPr>
    </w:p>
    <w:p>
      <w:pPr>
        <w:jc w:val="center"/>
        <w:ind w:left="340" w:right="240"/>
        <w:spacing w:after="0" w:line="258" w:lineRule="auto"/>
        <w:rPr>
          <w:sz w:val="20"/>
          <w:szCs w:val="20"/>
          <w:color w:val="auto"/>
        </w:rPr>
      </w:pPr>
      <w:r>
        <w:rPr>
          <w:rFonts w:ascii="Times New Roman" w:cs="Times New Roman" w:eastAsia="Times New Roman" w:hAnsi="Times New Roman"/>
          <w:sz w:val="20"/>
          <w:szCs w:val="20"/>
          <w:color w:val="auto"/>
        </w:rPr>
        <w:t>Reconciliation of Net Income (Loss) Attributable to Common Shareholders to Adjusted Earnings (Loss) and Adjusted Diluted Earnings (Loss) Per Share</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Earnings impact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rPr>
              <w:t>Earnings per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Earnings impact</w:t>
            </w:r>
          </w:p>
        </w:tc>
        <w:tc>
          <w:tcPr>
            <w:tcW w:w="180" w:type="dxa"/>
            <w:vAlign w:val="bottom"/>
          </w:tcPr>
          <w:p>
            <w:pPr>
              <w:spacing w:after="0"/>
              <w:rPr>
                <w:sz w:val="15"/>
                <w:szCs w:val="15"/>
                <w:color w:val="auto"/>
              </w:rPr>
            </w:pPr>
          </w:p>
        </w:tc>
        <w:tc>
          <w:tcPr>
            <w:tcW w:w="122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w w:val="98"/>
              </w:rPr>
              <w:t>Earnings per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rPr>
              <w:t>share impact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8"/>
              </w:rPr>
              <w:t>share impact</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5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(1,411,692)</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(1,903,814)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(income) at subsidiary attributable to noncontrolling</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(1,428,642)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(1,901,637)</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loss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(91,967)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112,942</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223,261</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Earnings (loss) and Adjusted Diluted Earnings (loss) Per</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(170,367)</w:t>
            </w: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(270,833)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3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8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gridSpan w:val="3"/>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14,956,627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13,971,228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Reduction in the carrying amount of right-of-use assets </w:t>
            </w:r>
            <w:r>
              <w:rPr>
                <w:rFonts w:ascii="Times New Roman" w:cs="Times New Roman" w:eastAsia="Times New Roman" w:hAnsi="Times New Roman"/>
                <w:sz w:val="23"/>
                <w:szCs w:val="23"/>
                <w:color w:val="auto"/>
                <w:vertAlign w:val="superscript"/>
              </w:rPr>
              <w:t>(b)</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impact</w:t>
            </w:r>
          </w:p>
        </w:tc>
        <w:tc>
          <w:tcPr>
            <w:tcW w:w="60" w:type="dxa"/>
            <w:vAlign w:val="bottom"/>
          </w:tcPr>
          <w:p>
            <w:pPr>
              <w:spacing w:after="0"/>
              <w:rPr>
                <w:sz w:val="14"/>
                <w:szCs w:val="14"/>
                <w:color w:val="auto"/>
              </w:rPr>
            </w:pPr>
          </w:p>
        </w:tc>
        <w:tc>
          <w:tcPr>
            <w:tcW w:w="138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impact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7"/>
              </w:rPr>
              <w:t>impact</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5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(2,836,128)</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(6,479,770)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176"/>
        </w:trPr>
        <w:tc>
          <w:tcPr>
            <w:tcW w:w="5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(income) at subsidiary attributable to noncontrolling</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(2,864,711)</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(6,443,715)</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net loss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4,145,201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4,902,560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2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408,320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301,895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(476,748)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(334,444)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Earnings (loss) and Adjusted Diluted Earnings (loss)</w:t>
            </w:r>
          </w:p>
        </w:tc>
        <w:tc>
          <w:tcPr>
            <w:tcW w:w="3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1,748,308</w:t>
            </w:r>
          </w:p>
        </w:tc>
        <w:tc>
          <w:tcPr>
            <w:tcW w:w="60" w:type="dxa"/>
            <w:vAlign w:val="bottom"/>
          </w:tcPr>
          <w:p>
            <w:pPr>
              <w:spacing w:after="0"/>
              <w:rPr>
                <w:sz w:val="13"/>
                <w:szCs w:val="13"/>
                <w:color w:val="auto"/>
              </w:rPr>
            </w:pPr>
          </w:p>
        </w:tc>
        <w:tc>
          <w:tcPr>
            <w:tcW w:w="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0" w:type="dxa"/>
            <w:vAlign w:val="bottom"/>
          </w:tcPr>
          <w:p>
            <w:pPr>
              <w:spacing w:after="0"/>
              <w:rPr>
                <w:sz w:val="13"/>
                <w:szCs w:val="13"/>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(990,865)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0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15,145,309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14,060,272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Reduction in the carrying amount of right-of-use assets </w:t>
            </w:r>
            <w:r>
              <w:rPr>
                <w:rFonts w:ascii="Times New Roman" w:cs="Times New Roman" w:eastAsia="Times New Roman" w:hAnsi="Times New Roman"/>
                <w:sz w:val="23"/>
                <w:szCs w:val="23"/>
                <w:color w:val="auto"/>
                <w:vertAlign w:val="superscript"/>
              </w:rPr>
              <w:t>(b)</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1,140,738</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1,140,738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59"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defines these supplemental financial measures as follows:</w:t>
      </w:r>
    </w:p>
    <w:p>
      <w:pPr>
        <w:spacing w:after="0" w:line="94" w:lineRule="exact"/>
        <w:rPr>
          <w:sz w:val="20"/>
          <w:szCs w:val="20"/>
          <w:color w:val="auto"/>
        </w:rPr>
      </w:pPr>
    </w:p>
    <w:p>
      <w:pPr>
        <w:ind w:left="660" w:hanging="328"/>
        <w:spacing w:after="0" w:line="275" w:lineRule="auto"/>
        <w:tabs>
          <w:tab w:leader="none" w:pos="621"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 xml:space="preserve">Adjusted Earnings: </w:t>
      </w:r>
      <w:r>
        <w:rPr>
          <w:rFonts w:ascii="Times New Roman" w:cs="Times New Roman" w:eastAsia="Times New Roman" w:hAnsi="Times New Roman"/>
          <w:sz w:val="22"/>
          <w:szCs w:val="22"/>
          <w:color w:val="auto"/>
        </w:rPr>
        <w:t>Net income (loss) adjusted for the impact of income taxes, depreciation and amortization expense,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share-based compensation, interest income and interest expense.</w:t>
      </w:r>
    </w:p>
    <w:p>
      <w:pPr>
        <w:spacing w:after="0" w:line="180" w:lineRule="exact"/>
        <w:rPr>
          <w:rFonts w:ascii="Arial" w:cs="Arial" w:eastAsia="Arial" w:hAnsi="Arial"/>
          <w:sz w:val="20"/>
          <w:szCs w:val="20"/>
          <w:color w:val="auto"/>
        </w:rPr>
      </w:pPr>
    </w:p>
    <w:p>
      <w:pPr>
        <w:ind w:left="1600" w:hanging="296"/>
        <w:spacing w:after="0"/>
        <w:tabs>
          <w:tab w:leader="none" w:pos="16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share-based compensation of Cumberland.</w:t>
      </w:r>
    </w:p>
    <w:p>
      <w:pPr>
        <w:spacing w:after="0" w:line="260"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straight line reduction in carrying value of right-of-use assets.</w:t>
      </w:r>
    </w:p>
    <w:p>
      <w:pPr>
        <w:spacing w:after="0" w:line="24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Adjusted Diluted Earnings Per Share: </w:t>
      </w:r>
      <w:r>
        <w:rPr>
          <w:rFonts w:ascii="Times New Roman" w:cs="Times New Roman" w:eastAsia="Times New Roman" w:hAnsi="Times New Roman"/>
          <w:sz w:val="21"/>
          <w:szCs w:val="21"/>
          <w:color w:val="auto"/>
        </w:rPr>
        <w:t>Adjusted loss divided by diluted weighted-average common shares outstanding.</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2026-03-03T16:24:17Z</dcterms:created>
  <dcterms:modified xsi:type="dcterms:W3CDTF">2026-03-03T16:24:17Z</dcterms:modified>
</cp:coreProperties>
</file>