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20,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 Program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2024, Cumberland Pharmaceuticals Inc. (the “Company”) filed a prospectus supplement with the Securities and Exchange Commission (the “SEC”) in connection with the Company’s “at-the-market” offering program (the “ATM Offering”) for the offer and sale from time to time through or to H.C. Wainwright &amp; Co., LLC (the “Sales Agent”), as sales agent or principal, of up to $5,800,000 of shares of the Company’s common stock, no par value per share (the “Shares”), pursuant to the Company’s Sales Agreement with the Sales Agent dated March 20, 2024 (the “Sales Agreement”).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are being offered and sold pursuant to the Company’s shelf registration statement on Form S-3 (the “Shelf Registration Statement”) filed with the SEC on December 14, 2023, which became effective upon the notice of effectiveness filed December 26, 2023 (File No. 333-276052).</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during the term of the Sales Agreement, the Company may deliver a placement notice to the Sales Agent specifying the length of the selling period, the amount of Shares to be sold, any limitation on the number of shares that may be sold in any one trading day and the minimum price below which sales may not be made. Pursuant to the Sales Agreement and upon its acceptance of a placement notice from the Company, the Sales Agent may sell the Shares, by any method permitted by law deemed to be an “at the market offering” as defined in Rule 415(a)(4) under the Securities Act of 1933, as amended (the "Securities Act"). The Company may instruct the Sales Agent not to sell Shares if the sales cannot be effected at or above the price designated by the Company in any placement notice. The Company or the Sales Agent may suspend the ATM Offering at any time upon proper notice and subject to other conditions.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pay the Sales Agent a commission for its services in acting as agent in the sale of Shares. The Sales Agent will be entitled to compensation in an amount equal to 3.0 percent (3.0%) of the gross sales price of all of the Shares sold through it under the Sales Agreement.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ATM Offering will terminate upon the earlier of (1) the sale of all Shares subject to the Sales Agreement or (2) termination of the Sales Agreement. The Sales Agreement may be terminated by the Sales Agent or the Company at any time upon five days’ notice, and by the Sales Agent at any time in certain circumstances, including suspension of trading of Shares on the Nasdaq Global Select Stock Market or the occurrence of a material adverse change in the Company’s business.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certain customary representations, warranties and covenants concerning the Company and the Shares in the Sales Agreement and also agreed to indemnify the Sales Agent against certain liabilities, including liabilities under the Securities Act.</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Baker, Donelson, Bearman, Caldwell &amp; Berkowitz, PC, counsel to the Company, has issued a legal opinion relating to the legality of the issuance and the sale of the Shares. A copy of such legal opinion, including the consent included therein, is attached as Exhibit 5.1 hereto.</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ATM Offering, if any, for working capital and general corporate purposes, including research and development expenses and capital expenditures.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Sales Agreement is filed herewith as Exhibit 1.1 to this Current Report on Form 8-K. The description of the material terms of the Sales Agreement is qualified in its entirely by reference to such Exhibit 1.1.</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1242060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 - Safe Harbor</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Such statements are based upon management’s current beliefs, views, estimates and expectations, including as to the Company’s industry, business strategy, goals and expectations concerning its market position, strategic and transformation initiatives, future operations, margins, profitability, comparable store growth, capital expenditures, liquidity, capital resources, expansion of technology expertise, and other financial and operating information, including expectations as to future operating profit improvement. Such statements include without limitation those about the Company’s expectations for future financial and operating results, projections, statements about the ATM Offering and the use of proceeds therefrom, and other statements that are not historical facts. Forward-looking statements are subject to significant risks and uncertainties and actual developments, business decisions, outcomes and results may differ materially from those reflected or described in the forward-looking statements. The following factors, among others, could cause actual developments, business decisions, outcomes and results to differ materially from those reflected or described in the forward-looking statements: market conditions, competition, an inability of manufacturers to supply the Company’s products, maintaining an effective sales and marketing infrastructure, availability of additional debt and equity capital required to finance the business, our ability to continue to acquire brands, management of our growth and integration of our acquisitions, impacts on our business, as well as national and international markets and economies resulting from the rising rate of inflation, volatility in financial markets, the ongoing conflicts in Eastern Europe and the Middle East, and the other factors described in the section entitled "Risk Factors" in the Company's Annual Report on Form 10-K for the year ended December 31, 2023 and the Company’s other filings with the SEC. Forward-looking statements contained in this Current Report on Form 8-K speak only as of the date of this Current Report on Form 8-K. The Company undertakes no obligation to publicly update any forward-looking statement, whether as a result of new information, future developments or otherwise, except as may be required by any applicable securities laws.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1049"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7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20955</wp:posOffset>
            </wp:positionV>
            <wp:extent cx="737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5.1</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23.1</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wp:posOffset>
            </wp:positionV>
            <wp:extent cx="5786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6120" cy="8255"/>
                    </a:xfrm>
                    <a:prstGeom prst="rect">
                      <a:avLst/>
                    </a:prstGeom>
                    <a:noFill/>
                  </pic:spPr>
                </pic:pic>
              </a:graphicData>
            </a:graphic>
          </wp:anchor>
        </w:drawing>
      </w:r>
    </w:p>
    <w:p>
      <w:pPr>
        <w:spacing w:after="0" w:line="183" w:lineRule="exact"/>
        <w:rPr>
          <w:sz w:val="20"/>
          <w:szCs w:val="20"/>
          <w:color w:val="auto"/>
        </w:rPr>
      </w:pPr>
    </w:p>
    <w:p>
      <w:pPr>
        <w:ind w:right="720"/>
        <w:spacing w:after="0" w:line="237" w:lineRule="auto"/>
        <w:rPr>
          <w:sz w:val="20"/>
          <w:szCs w:val="20"/>
          <w:color w:val="auto"/>
        </w:rPr>
      </w:pPr>
      <w:r>
        <w:rPr>
          <w:rFonts w:ascii="Times New Roman" w:cs="Times New Roman" w:eastAsia="Times New Roman" w:hAnsi="Times New Roman"/>
          <w:sz w:val="18"/>
          <w:szCs w:val="18"/>
          <w:u w:val="single" w:color="auto"/>
          <w:color w:val="0000FF"/>
        </w:rPr>
        <w:t>Sales Agreement, dated March 20, 2024, by and between Cumberland Pharmaceuticals Inc. and H.C. Wainwright &amp; Co.,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Baker, Donelson, Bearman, Caldwell &amp; Berkowitz,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Baker, Donelson, Bearman, Caldwell &amp; Berkowitz, PC (contained in Exhibit 5.1 above).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619125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00" w:space="720"/>
            <w:col w:w="9420"/>
          </w:cols>
          <w:pgMar w:left="320" w:top="1049"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8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20, 2024</w:t>
            </w:r>
          </w:p>
        </w:tc>
        <w:tc>
          <w:tcPr>
            <w:tcW w:w="40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A.J. Kazimi</w:t>
            </w:r>
          </w:p>
        </w:tc>
      </w:tr>
      <w:tr>
        <w:trPr>
          <w:trHeight w:val="218"/>
        </w:trPr>
        <w:tc>
          <w:tcPr>
            <w:tcW w:w="4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Kazimi</w:t>
            </w:r>
          </w:p>
        </w:tc>
      </w:tr>
      <w:tr>
        <w:trPr>
          <w:trHeight w:val="234"/>
        </w:trPr>
        <w:tc>
          <w:tcPr>
            <w:tcW w:w="4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20" w:top="1089" w:right="35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CUMBERLAND PHARMACEUTICALS INC.</w:t>
      </w:r>
    </w:p>
    <w:p>
      <w:pPr>
        <w:spacing w:after="0" w:line="18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 par value per share)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Sales Agreement</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March 20,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Wainwright &amp; Co., LLC</w:t>
      </w:r>
    </w:p>
    <w:p>
      <w:pPr>
        <w:spacing w:after="0" w:line="205" w:lineRule="auto"/>
        <w:rPr>
          <w:sz w:val="20"/>
          <w:szCs w:val="20"/>
          <w:color w:val="auto"/>
        </w:rPr>
      </w:pPr>
      <w:r>
        <w:rPr>
          <w:rFonts w:ascii="Times New Roman" w:cs="Times New Roman" w:eastAsia="Times New Roman" w:hAnsi="Times New Roman"/>
          <w:sz w:val="22"/>
          <w:szCs w:val="22"/>
          <w:color w:val="auto"/>
        </w:rPr>
        <w:t>430 Park Avenue</w:t>
      </w: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Cumberland Pharmaceuticals Inc., a Tennessee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confirms its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H.C. Wainwright &amp; Co., LLC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as follows:</w:t>
      </w:r>
    </w:p>
    <w:p>
      <w:pPr>
        <w:spacing w:after="0" w:line="129" w:lineRule="exact"/>
        <w:rPr>
          <w:sz w:val="20"/>
          <w:szCs w:val="20"/>
          <w:color w:val="auto"/>
        </w:rPr>
      </w:pPr>
    </w:p>
    <w:p>
      <w:pPr>
        <w:ind w:left="1300" w:hanging="563"/>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Sale of Shares</w:t>
      </w:r>
      <w:r>
        <w:rPr>
          <w:rFonts w:ascii="Times New Roman" w:cs="Times New Roman" w:eastAsia="Times New Roman" w:hAnsi="Times New Roman"/>
          <w:sz w:val="22"/>
          <w:szCs w:val="22"/>
          <w:color w:val="auto"/>
        </w:rPr>
        <w:t>. The Company agrees that, from time to time during</w:t>
      </w:r>
    </w:p>
    <w:p>
      <w:pPr>
        <w:jc w:val="both"/>
        <w:spacing w:after="0" w:line="207" w:lineRule="auto"/>
        <w:rPr>
          <w:sz w:val="20"/>
          <w:szCs w:val="20"/>
          <w:color w:val="auto"/>
        </w:rPr>
      </w:pPr>
      <w:r>
        <w:rPr>
          <w:rFonts w:ascii="Times New Roman" w:cs="Times New Roman" w:eastAsia="Times New Roman" w:hAnsi="Times New Roman"/>
          <w:sz w:val="22"/>
          <w:szCs w:val="22"/>
          <w:color w:val="auto"/>
        </w:rPr>
        <w:t>the term of this Agreement, on the terms and subject to the conditions set forth herein, it may issue and sell through or to the Agent, as sales agent or principal, shares (the “</w:t>
      </w:r>
      <w:r>
        <w:rPr>
          <w:rFonts w:ascii="Times New Roman" w:cs="Times New Roman" w:eastAsia="Times New Roman" w:hAnsi="Times New Roman"/>
          <w:sz w:val="22"/>
          <w:szCs w:val="22"/>
          <w:u w:val="single" w:color="auto"/>
          <w:color w:val="auto"/>
        </w:rPr>
        <w:t>Placement Shares</w:t>
      </w:r>
      <w:r>
        <w:rPr>
          <w:rFonts w:ascii="Times New Roman" w:cs="Times New Roman" w:eastAsia="Times New Roman" w:hAnsi="Times New Roman"/>
          <w:sz w:val="22"/>
          <w:szCs w:val="22"/>
          <w:color w:val="auto"/>
        </w:rPr>
        <w:t>”); of the Company’s common shares, no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no event shall the Company issue or sell through the Agent such number of Placement Shares that (a) exceeds the number of shares or dollar amount of Common Stock registered on the effective Registration Statement (as defined below) pursuant to which the offering is being made or (b) exceeds the number of shares or dollar amount registered on the Prospectus Supplement (as defined below) (the lesser of (a) or (b) the “</w:t>
      </w: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 xml:space="preserve">provided further, however, </w:t>
      </w:r>
      <w:r>
        <w:rPr>
          <w:rFonts w:ascii="Times New Roman" w:cs="Times New Roman" w:eastAsia="Times New Roman" w:hAnsi="Times New Roman"/>
          <w:sz w:val="22"/>
          <w:szCs w:val="22"/>
          <w:color w:val="auto"/>
        </w:rPr>
        <w:t>that in no event shall the aggregate number of Placement Shares sold pursuant to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exceed the number of authorized but unissued shares of Common Stock. Notwithstanding anything to the contrary contained herein, the parties hereto agree that compliance with the limitations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on the number of Placement Shares issued and sold under this Agreement shall be the sole responsibility of the Company and that the Agent shall have no obligation in connection with such compliance. The issuance and sale of Placement Shares through the Agent will be effected pursuant to the Registration Statement (as defined below) filed with and declared effective by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although nothing in this Agreement shall be construed as requiring the Company to use the Registration Statement to issue any Placement Shares.</w:t>
      </w:r>
    </w:p>
    <w:p>
      <w:pPr>
        <w:spacing w:after="0" w:line="26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The Company shall file, in accordance with the provisions of the Securities Act of 1933, as amended and the rules and regulations thereunder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with the Commission, a registration statement on Form S-3, including a prospectus relating to the offer and sale of the Placement Shares to be issued from time to time by the Company, if any, and which incorporates by reference documents that the Company has filed or will file in accordance with the provisions of the Securities Exchange Act of 1934, as amended and the rules and regulations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Company will, if necessary, prepare a prospectus supplement to the prospectus included as part of such registration statement specifically relating to the Placement Shares (the “</w:t>
      </w:r>
      <w:r>
        <w:rPr>
          <w:rFonts w:ascii="Times New Roman" w:cs="Times New Roman" w:eastAsia="Times New Roman" w:hAnsi="Times New Roman"/>
          <w:sz w:val="22"/>
          <w:szCs w:val="22"/>
          <w:u w:val="single" w:color="auto"/>
          <w:color w:val="auto"/>
        </w:rPr>
        <w:t>Prospectus Supplement</w:t>
      </w:r>
      <w:r>
        <w:rPr>
          <w:rFonts w:ascii="Times New Roman" w:cs="Times New Roman" w:eastAsia="Times New Roman" w:hAnsi="Times New Roman"/>
          <w:sz w:val="22"/>
          <w:szCs w:val="22"/>
          <w:color w:val="auto"/>
        </w:rPr>
        <w:t>”). The Company will furnish to the Agent, for use by the Agent, copies of the prospectus included as part of such registration statement, as supplemented by the Prospectus Supplement, relating to the offer and sale of the Placement Shares, if any. Except where the context otherwise requires, such</w:t>
      </w:r>
    </w:p>
    <w:p>
      <w:pPr>
        <w:sectPr>
          <w:pgSz w:w="11900" w:h="16838" w:orient="portrait"/>
          <w:cols w:equalWidth="0" w:num="1">
            <w:col w:w="11240"/>
          </w:cols>
          <w:pgMar w:left="320" w:top="338" w:right="339" w:bottom="1440" w:gutter="0" w:footer="0" w:header="0"/>
        </w:sectPr>
      </w:pPr>
    </w:p>
    <w:bookmarkStart w:id="5" w:name="page6"/>
    <w:bookmarkEnd w:id="5"/>
    <w:p>
      <w:pPr>
        <w:spacing w:after="0" w:line="27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S-3 filed pursuant to Rule 415 under the Securities Act by the Company to cover any Placement Shares, is herein called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prospectus, including all documents incorporated or deemed incorporated therein by reference to the extent such information has not been superseded or modified in accordance with Rule 412 under the Securities Act (as qualified by Rule 430B(g) of the Securities Act), included in the Registration Statement, as it may be supplemented by a Prospectus Supplement, in the form in which such prospectus and/or Prospectus Supplement have most recently been filed by the Company with the Commission pursuant to Rule 424(b) under the Securities Act is herein called the “</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incorporated by reference therein (the “</w:t>
      </w:r>
      <w:r>
        <w:rPr>
          <w:rFonts w:ascii="Times New Roman" w:cs="Times New Roman" w:eastAsia="Times New Roman" w:hAnsi="Times New Roman"/>
          <w:sz w:val="22"/>
          <w:szCs w:val="22"/>
          <w:u w:val="single" w:color="auto"/>
          <w:color w:val="auto"/>
        </w:rPr>
        <w:t>Incorporated Documents</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jc w:val="both"/>
        <w:ind w:left="20" w:firstLine="717"/>
        <w:spacing w:after="0" w:line="218" w:lineRule="auto"/>
        <w:tabs>
          <w:tab w:leader="none" w:pos="130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Placements</w:t>
      </w:r>
      <w:r>
        <w:rPr>
          <w:rFonts w:ascii="Times New Roman" w:cs="Times New Roman" w:eastAsia="Times New Roman" w:hAnsi="Times New Roman"/>
          <w:sz w:val="21"/>
          <w:szCs w:val="21"/>
          <w:color w:val="auto"/>
        </w:rPr>
        <w:t>. Each time that the Company wishes to issue and sell Placement Shares hereunder (each, a “</w:t>
      </w:r>
      <w:r>
        <w:rPr>
          <w:rFonts w:ascii="Times New Roman" w:cs="Times New Roman" w:eastAsia="Times New Roman" w:hAnsi="Times New Roman"/>
          <w:sz w:val="21"/>
          <w:szCs w:val="21"/>
          <w:u w:val="single" w:color="auto"/>
          <w:color w:val="auto"/>
        </w:rPr>
        <w:t>Placement</w:t>
      </w:r>
      <w:r>
        <w:rPr>
          <w:rFonts w:ascii="Times New Roman" w:cs="Times New Roman" w:eastAsia="Times New Roman" w:hAnsi="Times New Roman"/>
          <w:sz w:val="21"/>
          <w:szCs w:val="21"/>
          <w:color w:val="auto"/>
        </w:rPr>
        <w:t>”), it will notify the Agent by electronic mail (or other method mutually agreed to in writing by the parties either of which must be acknowledged by the Agent) of the number of Placement Shares,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21"/>
          <w:szCs w:val="21"/>
          <w:u w:val="single" w:color="auto"/>
          <w:color w:val="auto"/>
        </w:rPr>
        <w:t>Placement Notice</w:t>
      </w:r>
      <w:r>
        <w:rPr>
          <w:rFonts w:ascii="Times New Roman" w:cs="Times New Roman" w:eastAsia="Times New Roman" w:hAnsi="Times New Roman"/>
          <w:sz w:val="21"/>
          <w:szCs w:val="21"/>
          <w:color w:val="auto"/>
        </w:rPr>
        <w:t xml:space="preserve">”), the form of which is 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The Placement Notice shall originate from any of the individuals from the Company set forth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as such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may be amended from time to time. The Placement Notice shall be effective immediately upon receipt by the Agent unless and until (i) the Agent declines to accept the terms contained therein for any reason, in its sole discretion, (ii) the entire amount of the Placement Shares thereunder has been sold, (iii) the Company suspends or terminates the Placement Notice, which suspension and termination rights may be exercised by the Company in its sole discretion, or (iv) this Agreement has been terminated under the provisions of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w:t>
      </w:r>
      <w:r>
        <w:rPr>
          <w:rFonts w:ascii="Times New Roman" w:cs="Times New Roman" w:eastAsia="Times New Roman" w:hAnsi="Times New Roman"/>
          <w:sz w:val="21"/>
          <w:szCs w:val="21"/>
          <w:u w:val="single" w:color="auto"/>
          <w:color w:val="auto"/>
        </w:rPr>
        <w:t>Sections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of this Agreement and the terms of a Placement Notice, the terms of the Placement Notice will control.</w:t>
      </w:r>
    </w:p>
    <w:p>
      <w:pPr>
        <w:spacing w:after="0" w:line="142" w:lineRule="exact"/>
        <w:rPr>
          <w:rFonts w:ascii="Times New Roman" w:cs="Times New Roman" w:eastAsia="Times New Roman" w:hAnsi="Times New Roman"/>
          <w:sz w:val="21"/>
          <w:szCs w:val="21"/>
          <w:color w:val="auto"/>
        </w:rPr>
      </w:pPr>
    </w:p>
    <w:p>
      <w:pPr>
        <w:ind w:left="20" w:firstLine="636"/>
        <w:spacing w:after="0" w:line="236" w:lineRule="auto"/>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Placement Shares by the Agent</w:t>
      </w:r>
      <w:r>
        <w:rPr>
          <w:rFonts w:ascii="Times New Roman" w:cs="Times New Roman" w:eastAsia="Times New Roman" w:hAnsi="Times New Roman"/>
          <w:sz w:val="22"/>
          <w:szCs w:val="22"/>
          <w:color w:val="auto"/>
        </w:rPr>
        <w:t>. Subject to the terms and conditions of this Agreement, for the period specified in a Placement Notice, the Agent will use its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44" w:lineRule="exact"/>
        <w:rPr>
          <w:sz w:val="20"/>
          <w:szCs w:val="20"/>
          <w:color w:val="auto"/>
        </w:rPr>
      </w:pPr>
    </w:p>
    <w:p>
      <w:pPr>
        <w:jc w:val="both"/>
        <w:ind w:left="20"/>
        <w:spacing w:after="0" w:line="211" w:lineRule="auto"/>
        <w:rPr>
          <w:sz w:val="20"/>
          <w:szCs w:val="20"/>
          <w:color w:val="auto"/>
        </w:rPr>
      </w:pPr>
      <w:r>
        <w:rPr>
          <w:rFonts w:ascii="Times New Roman" w:cs="Times New Roman" w:eastAsia="Times New Roman" w:hAnsi="Times New Roman"/>
          <w:sz w:val="22"/>
          <w:szCs w:val="22"/>
          <w:color w:val="auto"/>
        </w:rPr>
        <w:t>commercially reasonable efforts consistent with its normal trading and sales practices and applicable state and federal laws, rules and regulations and the rules of the Nasdaq Global Select Market (the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5(b))</w:t>
      </w:r>
      <w:r>
        <w:rPr>
          <w:rFonts w:ascii="Times New Roman" w:cs="Times New Roman" w:eastAsia="Times New Roman" w:hAnsi="Times New Roman"/>
          <w:sz w:val="22"/>
          <w:szCs w:val="22"/>
          <w:color w:val="auto"/>
        </w:rPr>
        <w:t xml:space="preserve"> from the gross proceeds that it receives from such sales. Subject to the terms of a Placement Notice, the Agent may sell Placement Shares by any method permitted by law deemed to be an “at the market offering” as defined in Rule 415 of the Securities Act.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any day on which shares of Common Stock are purchased and sold on the Exchange.</w:t>
      </w:r>
    </w:p>
    <w:p>
      <w:pPr>
        <w:spacing w:after="0" w:line="138" w:lineRule="exact"/>
        <w:rPr>
          <w:sz w:val="20"/>
          <w:szCs w:val="20"/>
          <w:color w:val="auto"/>
        </w:rPr>
      </w:pPr>
    </w:p>
    <w:p>
      <w:pPr>
        <w:jc w:val="both"/>
        <w:ind w:left="20" w:firstLine="636"/>
        <w:spacing w:after="0" w:line="211" w:lineRule="auto"/>
        <w:tabs>
          <w:tab w:leader="none" w:pos="13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 xml:space="preserve">. 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3), suspend any sale of Placement Shares (a “</w:t>
      </w:r>
      <w:r>
        <w:rPr>
          <w:rFonts w:ascii="Times New Roman" w:cs="Times New Roman" w:eastAsia="Times New Roman" w:hAnsi="Times New Roman"/>
          <w:sz w:val="22"/>
          <w:szCs w:val="22"/>
          <w:u w:val="single" w:color="auto"/>
          <w:color w:val="auto"/>
        </w:rPr>
        <w:t>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22"/>
          <w:szCs w:val="22"/>
          <w:u w:val="single" w:color="auto"/>
          <w:color w:val="auto"/>
        </w:rPr>
        <w:t>Sections 7(l)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7(n)</w:t>
      </w:r>
      <w:r>
        <w:rPr>
          <w:rFonts w:ascii="Times New Roman" w:cs="Times New Roman" w:eastAsia="Times New Roman" w:hAnsi="Times New Roman"/>
          <w:sz w:val="22"/>
          <w:szCs w:val="22"/>
          <w:color w:val="auto"/>
        </w:rPr>
        <w:t xml:space="preserve"> with respect to the delivery of certificates, opinions, or comfort letters to the Agent, shall be waived. Each of the parties agrees that no such notice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effective against any other party unless it is made to one of the individuals named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hereto, as such Schedule may be amended from time to time.</w:t>
      </w:r>
    </w:p>
    <w:p>
      <w:pPr>
        <w:spacing w:after="0" w:line="12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and Delivery to the Agent; Settlement</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2"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Placement Shares</w:t>
      </w:r>
      <w:r>
        <w:rPr>
          <w:rFonts w:ascii="Times New Roman" w:cs="Times New Roman" w:eastAsia="Times New Roman" w:hAnsi="Times New Roman"/>
          <w:sz w:val="22"/>
          <w:szCs w:val="22"/>
          <w:color w:val="auto"/>
        </w:rPr>
        <w:t>.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in,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the Exchange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133" w:lineRule="exact"/>
        <w:rPr>
          <w:rFonts w:ascii="Times New Roman" w:cs="Times New Roman" w:eastAsia="Times New Roman" w:hAnsi="Times New Roman"/>
          <w:sz w:val="22"/>
          <w:szCs w:val="22"/>
          <w:color w:val="auto"/>
        </w:rPr>
      </w:pPr>
    </w:p>
    <w:p>
      <w:pPr>
        <w:jc w:val="both"/>
        <w:ind w:firstLine="1304"/>
        <w:spacing w:after="0" w:line="206" w:lineRule="auto"/>
        <w:tabs>
          <w:tab w:leader="none" w:pos="194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Placement Shares</w:t>
      </w:r>
      <w:r>
        <w:rPr>
          <w:rFonts w:ascii="Times New Roman" w:cs="Times New Roman" w:eastAsia="Times New Roman" w:hAnsi="Times New Roman"/>
          <w:sz w:val="22"/>
          <w:szCs w:val="22"/>
          <w:color w:val="auto"/>
        </w:rPr>
        <w:t>. Unless otherwise specified in the applicable Placement Notice, settlement for sales of Placement Shares will occur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Trading Day (or such earlier day as is industry practice for regular-way trading) following the date on which such sales are made (each, a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The Agent shall notify the Company in writing or by electronic mail of each sale of Placement Shares no later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than opening day following the Trading Day that the Agent sold Placement Shares. The amount of proceeds to be delivered to the Company on a Settlement Date against receipt of the Placement Shares sold (the “</w:t>
      </w:r>
      <w:r>
        <w:rPr>
          <w:rFonts w:ascii="Times New Roman" w:cs="Times New Roman" w:eastAsia="Times New Roman" w:hAnsi="Times New Roman"/>
          <w:sz w:val="22"/>
          <w:szCs w:val="22"/>
          <w:u w:val="single" w:color="auto"/>
          <w:color w:val="auto"/>
        </w:rPr>
        <w:t>Net Proceeds</w:t>
      </w:r>
      <w:r>
        <w:rPr>
          <w:rFonts w:ascii="Times New Roman" w:cs="Times New Roman" w:eastAsia="Times New Roman" w:hAnsi="Times New Roman"/>
          <w:sz w:val="22"/>
          <w:szCs w:val="22"/>
          <w:color w:val="auto"/>
        </w:rPr>
        <w:t>”) will be equal to the aggregate sales price received by the Agent, after deduction for (i) the Agent’s commission, discount or other compensation for such sales payable by the Company pursuant to Section 2 hereof, and (ii) any transaction fees imposed by any governmental or self-regulatory organization in respect of such sales.</w:t>
      </w:r>
    </w:p>
    <w:p>
      <w:pPr>
        <w:spacing w:after="0" w:line="139" w:lineRule="exact"/>
        <w:rPr>
          <w:sz w:val="20"/>
          <w:szCs w:val="20"/>
          <w:color w:val="auto"/>
        </w:rPr>
      </w:pPr>
    </w:p>
    <w:p>
      <w:pPr>
        <w:jc w:val="both"/>
        <w:ind w:firstLine="1304"/>
        <w:spacing w:after="0" w:line="209" w:lineRule="auto"/>
        <w:tabs>
          <w:tab w:leader="none" w:pos="1932"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Placement Shares</w:t>
      </w:r>
      <w:r>
        <w:rPr>
          <w:rFonts w:ascii="Times New Roman" w:cs="Times New Roman" w:eastAsia="Times New Roman" w:hAnsi="Times New Roman"/>
          <w:sz w:val="22"/>
          <w:szCs w:val="22"/>
          <w:color w:val="auto"/>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and such designee’s account information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Agent, then in addition to and in no way limiting the rights and obligations set forth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hereto, it will (i) hold the Agent harmless against any loss, claim, damage, or reasonable, documented expense (including reasonable and documented legal fees and expenses), as incurred, arising out of or in connection with such default by the Company or its transfer agent (if applicable) and (ii) pay to the Agent (without duplication) any commission, discount, or other compensation to which it would otherwise have been entitled absent such default.</w:t>
      </w:r>
    </w:p>
    <w:p>
      <w:pPr>
        <w:spacing w:after="0" w:line="133"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Offering Size</w:t>
      </w:r>
      <w:r>
        <w:rPr>
          <w:rFonts w:ascii="Times New Roman" w:cs="Times New Roman" w:eastAsia="Times New Roman" w:hAnsi="Times New Roman"/>
          <w:sz w:val="22"/>
          <w:szCs w:val="22"/>
          <w:color w:val="auto"/>
        </w:rPr>
        <w:t>. Under no circumstances shall the Company cause or request the offer or sale of any Placement Shares if, after giving effect to the sale of such Placement Shares, the aggregate number or dollar amount of Placement Shares sold pursuant to this Agreement would exceed the lesser of (A) together with all sales of Placement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Agent in writing.</w:t>
      </w:r>
    </w:p>
    <w:p>
      <w:pPr>
        <w:spacing w:after="0" w:line="144" w:lineRule="exact"/>
        <w:rPr>
          <w:rFonts w:ascii="Times New Roman" w:cs="Times New Roman" w:eastAsia="Times New Roman" w:hAnsi="Times New Roman"/>
          <w:sz w:val="22"/>
          <w:szCs w:val="22"/>
          <w:color w:val="auto"/>
        </w:rPr>
      </w:pPr>
    </w:p>
    <w:p>
      <w:pPr>
        <w:jc w:val="both"/>
        <w:ind w:left="20" w:firstLine="636"/>
        <w:spacing w:after="0" w:line="220" w:lineRule="auto"/>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Except as disclosed in the Registration Statement or Prospectus (including the Incorporated Documents), the Company represents and warrants to, and agrees with the Agent that as of the date of this Agreement and as of each Applicable Time (as defined below), unless such representation, warranty or agreement specifies a different date or time:</w:t>
      </w:r>
    </w:p>
    <w:p>
      <w:pPr>
        <w:spacing w:after="0" w:line="125"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2"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and Prospectus</w:t>
      </w:r>
      <w:r>
        <w:rPr>
          <w:rFonts w:ascii="Times New Roman" w:cs="Times New Roman" w:eastAsia="Times New Roman" w:hAnsi="Times New Roman"/>
          <w:sz w:val="22"/>
          <w:szCs w:val="22"/>
          <w:color w:val="auto"/>
        </w:rPr>
        <w:t>. The transactions contemplated by this Agreement meet the requirements for and comply with the conditions for the use of Form S-3 under the Securities Act so long as no act or omission by the Agent would make the statement by the Company untrue in any material respect. The Registration Statement has been filed with the Commission and has been declared effective under the Securities Act.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4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 has consented, which consent will not be unreasonably withheld or delayed, or that is required by applicable law or the listing maintenance requirements of the Exchange. The Common Stock is currently quoted on the Exchange under the trading symbol “CPIX.” The Company has not, in the 12 months preceding the date hereof, received notice from the Exchange to the effect that the Company is not in compliance with the listing or maintenance requirements of the Exchange. To the Company’s knowledge, it is in compliance with all such listing and maintenance requirements.</w:t>
      </w:r>
    </w:p>
    <w:p>
      <w:pPr>
        <w:spacing w:after="0" w:line="142" w:lineRule="exact"/>
        <w:rPr>
          <w:sz w:val="20"/>
          <w:szCs w:val="20"/>
          <w:color w:val="auto"/>
        </w:rPr>
      </w:pPr>
    </w:p>
    <w:p>
      <w:pPr>
        <w:jc w:val="both"/>
        <w:ind w:firstLine="1304"/>
        <w:spacing w:after="0" w:line="220" w:lineRule="auto"/>
        <w:tabs>
          <w:tab w:leader="none" w:pos="194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Misstatement or Omission</w:t>
      </w:r>
      <w:r>
        <w:rPr>
          <w:rFonts w:ascii="Times New Roman" w:cs="Times New Roman" w:eastAsia="Times New Roman" w:hAnsi="Times New Roman"/>
          <w:sz w:val="21"/>
          <w:szCs w:val="21"/>
          <w:color w:val="auto"/>
        </w:rPr>
        <w: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specifically for use in the preparation thereof.</w:t>
      </w:r>
    </w:p>
    <w:p>
      <w:pPr>
        <w:spacing w:after="0" w:line="124"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3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with Securities Act and Exchange Act</w:t>
      </w:r>
      <w:r>
        <w:rPr>
          <w:rFonts w:ascii="Times New Roman" w:cs="Times New Roman" w:eastAsia="Times New Roman" w:hAnsi="Times New Roman"/>
          <w:sz w:val="22"/>
          <w:szCs w:val="22"/>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38"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Information</w:t>
      </w:r>
      <w:r>
        <w:rPr>
          <w:rFonts w:ascii="Times New Roman" w:cs="Times New Roman" w:eastAsia="Times New Roman" w:hAnsi="Times New Roman"/>
          <w:sz w:val="22"/>
          <w:szCs w:val="22"/>
          <w:color w:val="auto"/>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and the Subsidiaries for the periods specified (subject, in the case of unaudited statements, to normal year-end audit adjustments which will not be material, either individually or in the aggregate) and have been prepared in compliance with the published requirements of the Securities Act and Exchange Act, as applicable, and in conformity with generally accepted accounting principles in the United States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applied on a consistent basis (except (i) for such adjustments to accounting standards and practices as are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noted therein and (ii) in the case of unaudited interim statements, to the extent they may exclude footnotes or may be condensed or summary statements) during the periods involved; the other financial data with respect to the Company and the Subsidiaries contained or incorporated by reference in the Registration Statement and the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 balance sheet obligations), not described in the Registration Statement, and the Prospectus which are required to be described in the Registration Statement or Prospectus; and all disclosures contained or incorporated by reference in the Registration Statement and the Prospectus,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44" w:lineRule="exact"/>
        <w:rPr>
          <w:sz w:val="20"/>
          <w:szCs w:val="20"/>
          <w:color w:val="auto"/>
        </w:rPr>
      </w:pPr>
    </w:p>
    <w:p>
      <w:pPr>
        <w:jc w:val="both"/>
        <w:ind w:firstLine="1304"/>
        <w:spacing w:after="0" w:line="225" w:lineRule="auto"/>
        <w:tabs>
          <w:tab w:leader="none" w:pos="193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with EDGAR Filing</w:t>
      </w:r>
      <w:r>
        <w:rPr>
          <w:rFonts w:ascii="Times New Roman" w:cs="Times New Roman" w:eastAsia="Times New Roman" w:hAnsi="Times New Roman"/>
          <w:sz w:val="22"/>
          <w:szCs w:val="22"/>
          <w:color w:val="auto"/>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2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 The Company and any subsidiary that is a significant subsidiary (as such term is defined in Rule 1-02 of Regulation S-X promulgated by the Commission) (each, a “</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are, and will be, duly organized, validly existing as a corporation and in good standing under the laws of their respective jurisdictions of organization. The Company and the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on the assets, business, operations, earnings, properties, condition (financial or otherwise), prospects, stockholders’ equity or results of operations of the Company and the Subsidiaries taken as a whole, or prevent the consummation of the transactions contemplated hereby (a “</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w:t>
      </w:r>
    </w:p>
    <w:p>
      <w:pPr>
        <w:spacing w:after="0" w:line="143"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As of the date hereof, the Company’s only Subsidiaries are set forth on Schedule 6(g).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25"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or Default</w:t>
      </w:r>
      <w:r>
        <w:rPr>
          <w:rFonts w:ascii="Times New Roman" w:cs="Times New Roman" w:eastAsia="Times New Roman" w:hAnsi="Times New Roman"/>
          <w:sz w:val="22"/>
          <w:szCs w:val="22"/>
          <w:color w:val="auto"/>
        </w:rPr>
        <w:t>. Neither the Company nor any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similar agreement or instrument to which the Company or any Subsidiary is a party or by which the Company or any Subsidiary is bound or to which any of the property or assets of the Company or any Subsidiary is subject; or (iii) in violation of any law or statute or any judgment, order, rule or regulation of any court or arbitrator or governmental or regulatory authority with jurisdiction or control over the Company, except, in the case of each of clauses (ii) and (iii) above, for any such violation or default that would not, individually or in the aggregate, have a Material Adverse Effect. To the Company’s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knowledge, no other party under any material contract or other agreement to which it or any Subsidiary is a party is in default in any respect thereunder where such default would have a Material Adverse Effect.</w:t>
      </w:r>
    </w:p>
    <w:p>
      <w:pPr>
        <w:spacing w:after="0" w:line="137" w:lineRule="exact"/>
        <w:rPr>
          <w:sz w:val="20"/>
          <w:szCs w:val="20"/>
          <w:color w:val="auto"/>
        </w:rPr>
      </w:pPr>
    </w:p>
    <w:p>
      <w:pPr>
        <w:jc w:val="both"/>
        <w:ind w:firstLine="1304"/>
        <w:spacing w:after="0" w:line="209" w:lineRule="auto"/>
        <w:tabs>
          <w:tab w:leader="none" w:pos="19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of the most recent financial statements of the Company included or incorporated by reference in the Registration Statement and Prospectus, there has not been (i) any Material Adverse Effect, or any development that would result in a Material Adverse Effect, (ii) any transaction which is material to the Company and the Subsidiaries taken as a whole, (iii) any obligation or liability, direct or contingent (including any off-balance sheet obligations), incurred by the Company or the Subsidiaries, which is material to the Company and the Subsidiaries taken as a whole, (iv) any material change in the capital stock (other than (A) the grant of additional options or other securities exercisable, or convertible into, Common Stock of the Company under the Company’s existing stock option plans, (B) changes in the number of outstanding shares of Common Stock of the Company due to the issuance of shares upon the exercise or conversion of securities exercisable for, or convertible into, Common Stock outstanding on the date hereof, (C) as a result of the issuance of Placement Shares, (D) any repurchases of capital stock of the Company, (E) as described in a proxy statement filed on Schedule 14A or a Registration Statement on Form S-4, or (F) otherwise publicly announced) or outstanding long-term indebtedness of the Company or the Subsidiaries, except for any advances under existing credit facilities of the Company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incorporated by reference therein).</w:t>
      </w:r>
    </w:p>
    <w:p>
      <w:pPr>
        <w:spacing w:after="0" w:line="124"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(i) the grant of additional options or other securities exercisable, or convertible into, Common Stock of the Company under the Company’s existing stock option plans, (ii) changes in the number of outstanding Common Stock of the Company due to the issuance of shares upon the exercise or conversion of securities exercisable for, or convertible into, Common Stock outstanding on the date hereof, (iii) as a result of the issuance of Placement Shares, or (iv) any repurchases of capital stock of the Company) and such authorized capital stock conforms to the description thereof set forth in the Registration Statement and the Prospectus. The description of the Common Stock in the Registration Statement and the Prospectus is complete and accurate in all material respects. Except as disclosed in or contemplated by the Registration Statement or the Prospectus, the Company did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45"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4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S-3 Eligibility</w:t>
      </w:r>
      <w:r>
        <w:rPr>
          <w:rFonts w:ascii="Times New Roman" w:cs="Times New Roman" w:eastAsia="Times New Roman" w:hAnsi="Times New Roman"/>
          <w:sz w:val="22"/>
          <w:szCs w:val="22"/>
          <w:color w:val="auto"/>
        </w:rPr>
        <w:t>. At the time the Registration Statement was or will be filed and declared effective, and at the time the Company’s most recent Annual Report on Form 10-K was filed with the Commission, the Company met or will meet the then applicable requirements for the use of Form S-3 under the Securities Act, including, but not limited to, General Instruction I.B.6 of Form S-3, if applicable. As of the close of trading on the Exchange on November 30, 2023,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22"/>
          <w:szCs w:val="22"/>
          <w:u w:val="single" w:color="auto"/>
          <w:color w:val="auto"/>
        </w:rPr>
        <w:t>Non-Affiliate Shares</w:t>
      </w:r>
      <w:r>
        <w:rPr>
          <w:rFonts w:ascii="Times New Roman" w:cs="Times New Roman" w:eastAsia="Times New Roman" w:hAnsi="Times New Roman"/>
          <w:sz w:val="22"/>
          <w:szCs w:val="22"/>
          <w:color w:val="auto"/>
        </w:rPr>
        <w:t>”), was approximately $17,487,995 (calculated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by multiplying (x) the price at which the common equity of the Company was last sold on the Exchange on February 22, 2024 times (y) the number of Non-Affiliate Shares as of the date hereof).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spacing w:after="0" w:line="139" w:lineRule="exact"/>
        <w:rPr>
          <w:sz w:val="20"/>
          <w:szCs w:val="20"/>
          <w:color w:val="auto"/>
        </w:rPr>
      </w:pPr>
    </w:p>
    <w:p>
      <w:pPr>
        <w:jc w:val="both"/>
        <w:ind w:firstLine="1304"/>
        <w:spacing w:after="0" w:line="213" w:lineRule="auto"/>
        <w:tabs>
          <w:tab w:leader="none" w:pos="19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xml:space="preserve">. The Company has the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may be limited by federal or state securities laws and public policy considerations in respect thereof.</w:t>
      </w:r>
    </w:p>
    <w:p>
      <w:pPr>
        <w:spacing w:after="0" w:line="12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Placement Shares</w:t>
      </w:r>
      <w:r>
        <w:rPr>
          <w:rFonts w:ascii="Times New Roman" w:cs="Times New Roman" w:eastAsia="Times New Roman" w:hAnsi="Times New Roman"/>
          <w:sz w:val="22"/>
          <w:szCs w:val="22"/>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the Agent or a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4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Consents Required</w:t>
      </w:r>
      <w:r>
        <w:rPr>
          <w:rFonts w:ascii="Times New Roman" w:cs="Times New Roman" w:eastAsia="Times New Roman" w:hAnsi="Times New Roman"/>
          <w:sz w:val="22"/>
          <w:szCs w:val="22"/>
          <w:color w:val="auto"/>
        </w:rPr>
        <w:t>. No consent, approval, authorization, order, registration or qualification of or with any court or arbitrator or any governmental or regulatory authority having jurisdiction or control over the Company is required for the execution, delivery and performance by the Company of this Agreement, and the issuance and sale by the Company of the Placement Shares as contemplated hereby, except for such consents, approvals, authorizations, orders and registrations or qualifications (i) as may be required under applicable state securities laws or by the by-laws and rules of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or the Exchange, including any notices that may be required by the Exchange, in connection with the sale of the Placement Shares by the Agent, (ii) as may be required under the Securities Act and (iii) as have been previously obtained by the Company.</w:t>
      </w:r>
    </w:p>
    <w:p>
      <w:pPr>
        <w:spacing w:after="0" w:line="129"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44"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Preferential Rights</w:t>
      </w:r>
      <w:r>
        <w:rPr>
          <w:rFonts w:ascii="Times New Roman" w:cs="Times New Roman" w:eastAsia="Times New Roman" w:hAnsi="Times New Roman"/>
          <w:sz w:val="21"/>
          <w:szCs w:val="21"/>
          <w:color w:val="auto"/>
        </w:rPr>
        <w:t>. (i) No person, as such term is defined in Rule 1-02 of Regulation S-X promulgated under the Securities Act (each,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has the right, contractual or otherwise, to cause the Company to issue or sell to such Person any shares of Common Stock or shares of any other capital stock or other securities of the Company (other than upon the exercise of options or warrants to purchase Common Stock or upon the exercise of options or other securities exercisable, or convertible into, Common Stock of the Company that may be granted from time to time under the Company’s stock option plan),</w:t>
      </w:r>
    </w:p>
    <w:p>
      <w:pPr>
        <w:spacing w:after="0" w:line="2" w:lineRule="exact"/>
        <w:rPr>
          <w:rFonts w:ascii="Times New Roman" w:cs="Times New Roman" w:eastAsia="Times New Roman" w:hAnsi="Times New Roman"/>
          <w:sz w:val="21"/>
          <w:szCs w:val="21"/>
          <w:color w:val="auto"/>
        </w:rPr>
      </w:pPr>
    </w:p>
    <w:p>
      <w:pPr>
        <w:jc w:val="both"/>
        <w:ind w:firstLine="8"/>
        <w:spacing w:after="0" w:line="211" w:lineRule="auto"/>
        <w:tabs>
          <w:tab w:leader="none" w:pos="32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has any preemptive rights, rights of first refusal, or any other rights (whether pursuant to a “poison pill” provision or otherwise) to purchase any shares of Common Stock or shares of any other capital stock or other securities of the Company from the Company which have not been duly waived with respect to the offering contemplated hereby, (iii) no Person has the right to act as an underwriter or as a financial advisor to the Company in connection with the offer and sale of the Common Stock, and (iv) no Person has the right, contractual or otherwise, to require the Company to register under the Securities Act any Common Stock or shares of any other capital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4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in each case for such rights as have been waived on or prior to the date hereof.</w:t>
      </w:r>
    </w:p>
    <w:p>
      <w:pPr>
        <w:spacing w:after="0" w:line="139" w:lineRule="exact"/>
        <w:rPr>
          <w:sz w:val="20"/>
          <w:szCs w:val="20"/>
          <w:color w:val="auto"/>
        </w:rPr>
      </w:pPr>
    </w:p>
    <w:p>
      <w:pPr>
        <w:jc w:val="both"/>
        <w:ind w:firstLine="1304"/>
        <w:spacing w:after="0" w:line="225" w:lineRule="auto"/>
        <w:tabs>
          <w:tab w:leader="none" w:pos="194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Independent Public Accountant</w:t>
      </w:r>
      <w:r>
        <w:rPr>
          <w:rFonts w:ascii="Times New Roman" w:cs="Times New Roman" w:eastAsia="Times New Roman" w:hAnsi="Times New Roman"/>
          <w:sz w:val="21"/>
          <w:szCs w:val="21"/>
          <w:color w:val="auto"/>
        </w:rPr>
        <w:t>. Carr, Riggs &amp; Ingram CPAs and Advisors (the “</w:t>
      </w:r>
      <w:r>
        <w:rPr>
          <w:rFonts w:ascii="Times New Roman" w:cs="Times New Roman" w:eastAsia="Times New Roman" w:hAnsi="Times New Roman"/>
          <w:sz w:val="21"/>
          <w:szCs w:val="21"/>
          <w:u w:val="single" w:color="auto"/>
          <w:color w:val="auto"/>
        </w:rPr>
        <w:t>Accountant</w:t>
      </w:r>
      <w:r>
        <w:rPr>
          <w:rFonts w:ascii="Times New Roman" w:cs="Times New Roman" w:eastAsia="Times New Roman" w:hAnsi="Times New Roman"/>
          <w:sz w:val="21"/>
          <w:szCs w:val="21"/>
          <w:color w:val="auto"/>
        </w:rPr>
        <w:t>”), whose report on the consolidated financial statements of the Company is filed with the Commission as part of the Company’s most recent Annual Report on Form 10-K filed with the Commission and incorporated into the Registration Statement, are and, during the periods covered by their report, were independent public accountants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cs="Times New Roman" w:eastAsia="Times New Roman" w:hAnsi="Times New Roman"/>
          <w:sz w:val="21"/>
          <w:szCs w:val="21"/>
          <w:u w:val="single" w:color="auto"/>
          <w:color w:val="auto"/>
        </w:rPr>
        <w:t>Sarbanes-Oxley Act</w:t>
      </w:r>
      <w:r>
        <w:rPr>
          <w:rFonts w:ascii="Times New Roman" w:cs="Times New Roman" w:eastAsia="Times New Roman" w:hAnsi="Times New Roman"/>
          <w:sz w:val="21"/>
          <w:szCs w:val="21"/>
          <w:color w:val="auto"/>
        </w:rPr>
        <w:t>”) with respect to the Company.</w:t>
      </w:r>
    </w:p>
    <w:p>
      <w:pPr>
        <w:spacing w:after="0" w:line="126" w:lineRule="exact"/>
        <w:rPr>
          <w:rFonts w:ascii="Times New Roman" w:cs="Times New Roman" w:eastAsia="Times New Roman" w:hAnsi="Times New Roman"/>
          <w:sz w:val="21"/>
          <w:szCs w:val="21"/>
          <w:color w:val="auto"/>
        </w:rPr>
      </w:pPr>
    </w:p>
    <w:p>
      <w:pPr>
        <w:jc w:val="both"/>
        <w:ind w:firstLine="1304"/>
        <w:spacing w:after="0" w:line="222" w:lineRule="auto"/>
        <w:tabs>
          <w:tab w:leader="none" w:pos="194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 of Agreements</w:t>
      </w:r>
      <w:r>
        <w:rPr>
          <w:rFonts w:ascii="Times New Roman" w:cs="Times New Roman" w:eastAsia="Times New Roman" w:hAnsi="Times New Roman"/>
          <w:sz w:val="21"/>
          <w:szCs w:val="21"/>
          <w:color w:val="auto"/>
        </w:rPr>
        <w:t>. All agreements between the Company and third parties expressly referenced in the Prospectus or required to be disclosed as an exhibit to any filing with the Commission or the Registration Statement, other than such agreements that have expired by their terms or whose termination is disclosed in documents filed by the Company on EDGAR, are valid and binding obligations of the Company and, to the Company’s knowledge,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have a Material Adverse Effect.</w:t>
      </w:r>
    </w:p>
    <w:p>
      <w:pPr>
        <w:spacing w:after="0" w:line="143" w:lineRule="exact"/>
        <w:rPr>
          <w:rFonts w:ascii="Times New Roman" w:cs="Times New Roman" w:eastAsia="Times New Roman" w:hAnsi="Times New Roman"/>
          <w:sz w:val="21"/>
          <w:szCs w:val="21"/>
          <w:color w:val="auto"/>
        </w:rPr>
      </w:pPr>
    </w:p>
    <w:p>
      <w:pPr>
        <w:jc w:val="both"/>
        <w:ind w:right="60" w:firstLine="1304"/>
        <w:spacing w:after="0" w:line="218" w:lineRule="auto"/>
        <w:tabs>
          <w:tab w:leader="none" w:pos="1923"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Litigation</w:t>
      </w:r>
      <w:r>
        <w:rPr>
          <w:rFonts w:ascii="Times New Roman" w:cs="Times New Roman" w:eastAsia="Times New Roman" w:hAnsi="Times New Roman"/>
          <w:sz w:val="21"/>
          <w:szCs w:val="21"/>
          <w:color w:val="auto"/>
        </w:rPr>
        <w:t>. There are no legal, governmental or regulatory actions, suits or proceedings pending, nor, to the Company’s knowledge, any legal, governmental or regulatory investigations, including any proceeding before the United States Food and Drug Administration of the U.S. Department of Health and Human Services (the “</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or comparable federal, state, local or foreign governmental authorities (it being understood that the interaction between the Company and the FDA and such comparable governmental authorities relating to the clinical development and product approval process shall not be deemed proceedings for purposes of this representation), to which the Company or a Subsidiary is a party or to which any property of the Company or any Subsidiary is the subject that, individually or in the aggregate, if determined adversely to the Company or any Subsidiary, would have a Material Adverse Effect or materially and adversely affect the ability of the Company to perform its obligations under this Agreement; to the Company’s knowledge, no such actions, suits or proceedings are threatened in writing or contemplated by any governmental or regulatory authority or threatened in writing by others that, individually or in the aggregate, if determined adversely to the Company or any Subsidiary, would have a Material Adverse Effect; and there are no current or pending legal, governmental or regulatory actions, suits, proceedings or, to the Company’s knowledge, investigations that are required under the Securities Act to be described in the Prospectus that are not described in the Prospectus (including any Incorporated Document). The Company is in compliance with all applicable federal, state, local and foreign laws, regulations, orders and decrees governing its business as enforced by the FDA, or any other federal, state or foreign agencies or bodies engaged in the regulation of medical devices, except where noncompliance would not, singularly or in the aggregate, reasonably be expected to have a Material Adverse Effect. All preclinical and clinical studies conducted by or on behalf of the Company to support clearance for commercialization of the Company’s products have been conducted by the Company, or to the Company’s knowledge by third parties, in compliance with all applicable federal, state or foreign laws, rules, orders 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4"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regulations, except for such failure or failures to be in compliance as would not reasonably be expected to have, singularly or in the aggregate, a Material Adverse Effect.</w:t>
      </w:r>
    </w:p>
    <w:p>
      <w:pPr>
        <w:spacing w:after="0" w:line="137" w:lineRule="exact"/>
        <w:rPr>
          <w:sz w:val="20"/>
          <w:szCs w:val="20"/>
          <w:color w:val="auto"/>
        </w:rPr>
      </w:pPr>
    </w:p>
    <w:p>
      <w:pPr>
        <w:jc w:val="both"/>
        <w:ind w:firstLine="1304"/>
        <w:spacing w:after="0" w:line="211" w:lineRule="auto"/>
        <w:tabs>
          <w:tab w:leader="none" w:pos="193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 and Permits</w:t>
      </w:r>
      <w:r>
        <w:rPr>
          <w:rFonts w:ascii="Times New Roman" w:cs="Times New Roman" w:eastAsia="Times New Roman" w:hAnsi="Times New Roman"/>
          <w:sz w:val="22"/>
          <w:szCs w:val="22"/>
          <w:color w:val="auto"/>
        </w:rPr>
        <w:t>. The Company and the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currently conducted, as described in the Registration Statement and the Prospectus (the “</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except where the failure to possess, obtain or make the same would not, individually or in the aggregate, have a Material Adverse Effect. Neither the Company nor any Subsidiary has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have a Material Adverse Effect.</w:t>
      </w:r>
    </w:p>
    <w:p>
      <w:pPr>
        <w:spacing w:after="0" w:line="131"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Defaults</w:t>
      </w:r>
      <w:r>
        <w:rPr>
          <w:rFonts w:ascii="Times New Roman" w:cs="Times New Roman" w:eastAsia="Times New Roman" w:hAnsi="Times New Roman"/>
          <w:sz w:val="22"/>
          <w:szCs w:val="22"/>
          <w:color w:val="auto"/>
        </w:rPr>
        <w:t>. Neither the Company nor any Subsidiary has defaulted on any installment on indebtedness for borrowed money or on any rental on one or more long-term leases, which defaults, individually or in the aggregate, would have a Material Adverse Effect on the Company.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4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Market Activities</w:t>
      </w:r>
      <w:r>
        <w:rPr>
          <w:rFonts w:ascii="Times New Roman" w:cs="Times New Roman" w:eastAsia="Times New Roman" w:hAnsi="Times New Roman"/>
          <w:sz w:val="22"/>
          <w:szCs w:val="22"/>
          <w:color w:val="auto"/>
        </w:rPr>
        <w:t>. Neither the Company, nor any Subsidiary, nor, to the knowledge of the Company, any of their respective directors, officers or controlling persons has taken, directly or indirectly, any action designed, or that has constituted or would cause or result in, under the Exchange Act or otherwise, the stabilization or manipulation of the price of any security of the Company to facilitate the sale or resale of the Placement Shares.</w:t>
      </w:r>
    </w:p>
    <w:p>
      <w:pPr>
        <w:spacing w:after="0" w:line="12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Broker/Dealer Relationships</w:t>
      </w:r>
      <w:r>
        <w:rPr>
          <w:rFonts w:ascii="Times New Roman" w:cs="Times New Roman" w:eastAsia="Times New Roman" w:hAnsi="Times New Roman"/>
          <w:sz w:val="22"/>
          <w:szCs w:val="22"/>
          <w:color w:val="auto"/>
        </w:rPr>
        <w:t>. Neither the Company nor any Subsidiary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25" w:lineRule="exact"/>
        <w:rPr>
          <w:rFonts w:ascii="Times New Roman" w:cs="Times New Roman" w:eastAsia="Times New Roman" w:hAnsi="Times New Roman"/>
          <w:sz w:val="22"/>
          <w:szCs w:val="22"/>
          <w:color w:val="auto"/>
        </w:rPr>
      </w:pPr>
    </w:p>
    <w:p>
      <w:pPr>
        <w:ind w:firstLine="1304"/>
        <w:spacing w:after="0" w:line="236" w:lineRule="auto"/>
        <w:tabs>
          <w:tab w:leader="none" w:pos="192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Reliance</w:t>
      </w:r>
      <w:r>
        <w:rPr>
          <w:rFonts w:ascii="Times New Roman" w:cs="Times New Roman" w:eastAsia="Times New Roman" w:hAnsi="Times New Roman"/>
          <w:sz w:val="22"/>
          <w:szCs w:val="22"/>
          <w:color w:val="auto"/>
        </w:rPr>
        <w:t>. The Company has not relied upon the Agent or legal counsel for the Agent for any legal, tax or accounting advice in connection with the offering and sale of the Placement Shares.</w:t>
      </w:r>
    </w:p>
    <w:p>
      <w:pPr>
        <w:spacing w:after="0" w:line="13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have a Material Adverse Effect. Except as otherwise disclosed in or contemplated by the Registration Statement or the Prospectus, no tax deficiency has been determined adversely to the Company or any Subsidiary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4" w:lineRule="exact"/>
        <w:rPr>
          <w:sz w:val="20"/>
          <w:szCs w:val="20"/>
          <w:color w:val="auto"/>
        </w:rPr>
      </w:pPr>
    </w:p>
    <w:p>
      <w:pPr>
        <w:jc w:val="both"/>
        <w:ind w:left="-80" w:firstLine="1304"/>
        <w:spacing w:after="0" w:line="211" w:lineRule="auto"/>
        <w:tabs>
          <w:tab w:leader="none" w:pos="185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Real and Personal Property.</w:t>
      </w:r>
      <w:r>
        <w:rPr>
          <w:rFonts w:ascii="Times New Roman" w:cs="Times New Roman" w:eastAsia="Times New Roman" w:hAnsi="Times New Roman"/>
          <w:sz w:val="22"/>
          <w:szCs w:val="22"/>
          <w:color w:val="auto"/>
        </w:rPr>
        <w:t xml:space="preserve"> The Company and the Subsidiaries have good and valid title in fee simple to all items of real property and good and valid title to all personal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and proposed to be made of such property by the Company and the Subsidiaries or (ii) would not, individually or in the aggregate, have a Material Adverse Effect. Any real property described in the Registration Statement or Prospectus as being leased by the Company and the Subsidiaries is held by them under valid and existing leases, except those that (A) do not materially interfere with the use made or proposed to be made of such property by the Company or the Subsidiaries or (B) would not, individually or in the aggregate, have a Material Adverse Effect.</w:t>
      </w:r>
    </w:p>
    <w:p>
      <w:pPr>
        <w:spacing w:after="0" w:line="144" w:lineRule="exact"/>
        <w:rPr>
          <w:rFonts w:ascii="Times New Roman" w:cs="Times New Roman" w:eastAsia="Times New Roman" w:hAnsi="Times New Roman"/>
          <w:sz w:val="22"/>
          <w:szCs w:val="22"/>
          <w:color w:val="auto"/>
        </w:rPr>
      </w:pPr>
    </w:p>
    <w:p>
      <w:pPr>
        <w:jc w:val="both"/>
        <w:ind w:left="-80" w:firstLine="1304"/>
        <w:spacing w:after="0" w:line="208" w:lineRule="auto"/>
        <w:tabs>
          <w:tab w:leader="none" w:pos="185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To the Company’s knowledge, the Company and the Subsidiaries own or possess adequate enforceable rights to use all patents, patent applications, trademarks (both registered and unregistered), trade names, trademark registrations, service marks, service mark registrations, Internet domain name registrations, copyrights, copyright registrations,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The Company and the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challenging the Company’s or any Subsidiary’s rights in or to or the validity of the scope of any of the Company’s or its Subsidiaries’ patents, patent applications or proprietary information. No other entity or individual has any right or claim in any of the Company’s or any of its Subsidiary’s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The Company has not received any written notice of any claim challenging the rights of the Company or its Subsidiaries in or to any Intellectual Property owned, licensed or optioned by the Company or any Subsidiary which claim, if the subject of an unfavorable decision, would result in a Material Adverse Effect.</w:t>
      </w:r>
    </w:p>
    <w:p>
      <w:pPr>
        <w:spacing w:after="0" w:line="131" w:lineRule="exact"/>
        <w:rPr>
          <w:sz w:val="20"/>
          <w:szCs w:val="20"/>
          <w:color w:val="auto"/>
        </w:rPr>
      </w:pPr>
    </w:p>
    <w:p>
      <w:pPr>
        <w:jc w:val="both"/>
        <w:ind w:left="-80" w:firstLine="1304"/>
        <w:spacing w:after="0" w:line="220" w:lineRule="auto"/>
        <w:tabs>
          <w:tab w:leader="none" w:pos="1853"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Applicable Laws</w:t>
      </w:r>
      <w:r>
        <w:rPr>
          <w:rFonts w:ascii="Times New Roman" w:cs="Times New Roman" w:eastAsia="Times New Roman" w:hAnsi="Times New Roman"/>
          <w:sz w:val="21"/>
          <w:szCs w:val="21"/>
          <w:color w:val="auto"/>
        </w:rPr>
        <w:t>. The Company and the Subsidiaries: (A) are and at all times have been in material compliance with all statutes, rules and regulations applicable to the ownership, testing, development, manufacture, packaging, processing, use, distribution, marketing, labeling, promotion, sale, offer for sale, storage, import, export or disposal of any product under development, manufactured or distributed by the Company or the Subsidiaries (“</w:t>
      </w:r>
      <w:r>
        <w:rPr>
          <w:rFonts w:ascii="Times New Roman" w:cs="Times New Roman" w:eastAsia="Times New Roman" w:hAnsi="Times New Roman"/>
          <w:sz w:val="21"/>
          <w:szCs w:val="21"/>
          <w:u w:val="single" w:color="auto"/>
          <w:color w:val="auto"/>
        </w:rPr>
        <w:t>Applicable Laws</w:t>
      </w:r>
      <w:r>
        <w:rPr>
          <w:rFonts w:ascii="Times New Roman" w:cs="Times New Roman" w:eastAsia="Times New Roman" w:hAnsi="Times New Roman"/>
          <w:sz w:val="21"/>
          <w:szCs w:val="21"/>
          <w:color w:val="auto"/>
        </w:rPr>
        <w:t>”), (b) have not received any Form 483 from the FDA, notice of adverse finding, warning letter, or other written correspondence or notice from the FDA, the European Medicines Agency (the “</w:t>
      </w:r>
      <w:r>
        <w:rPr>
          <w:rFonts w:ascii="Times New Roman" w:cs="Times New Roman" w:eastAsia="Times New Roman" w:hAnsi="Times New Roman"/>
          <w:sz w:val="21"/>
          <w:szCs w:val="21"/>
          <w:u w:val="single" w:color="auto"/>
          <w:color w:val="auto"/>
        </w:rPr>
        <w:t>EMA</w:t>
      </w:r>
      <w:r>
        <w:rPr>
          <w:rFonts w:ascii="Times New Roman" w:cs="Times New Roman" w:eastAsia="Times New Roman" w:hAnsi="Times New Roman"/>
          <w:sz w:val="21"/>
          <w:szCs w:val="21"/>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21"/>
          <w:szCs w:val="21"/>
          <w:u w:val="single" w:color="auto"/>
          <w:color w:val="auto"/>
        </w:rPr>
        <w:t>Authorizations</w:t>
      </w:r>
      <w:r>
        <w:rPr>
          <w:rFonts w:ascii="Times New Roman" w:cs="Times New Roman" w:eastAsia="Times New Roman" w:hAnsi="Times New Roman"/>
          <w:sz w:val="21"/>
          <w:szCs w:val="21"/>
          <w:color w:val="auto"/>
        </w:rPr>
        <w:t>”), which would, individually or in the aggregate, result in a Material Adverse Effect; (C) possess all material Authorizations and such Authorizations are valid and in full force and effect and neither the Company nor the Subsidiaries is in material violation of any term of any such Authorizations; (D) have not received written notice of any claim, action, suit, proceeding, hearing, enforcement, investigation, arbitration or other action from the FDA, the EMA, or 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00"/>
          </w:cols>
          <w:pgMar w:left="400" w:top="1440" w:right="399" w:bottom="1440" w:gutter="0" w:footer="0" w:header="0"/>
        </w:sectPr>
      </w:pPr>
    </w:p>
    <w:bookmarkStart w:id="15" w:name="page16"/>
    <w:bookmarkEnd w:id="15"/>
    <w:p>
      <w:pPr>
        <w:spacing w:after="0" w:line="144" w:lineRule="exact"/>
        <w:rPr>
          <w:sz w:val="20"/>
          <w:szCs w:val="20"/>
          <w:color w:val="auto"/>
        </w:rPr>
      </w:pPr>
    </w:p>
    <w:p>
      <w:pPr>
        <w:jc w:val="both"/>
        <w:ind w:right="60"/>
        <w:spacing w:after="0" w:line="209" w:lineRule="auto"/>
        <w:rPr>
          <w:sz w:val="20"/>
          <w:szCs w:val="20"/>
          <w:color w:val="auto"/>
        </w:rPr>
      </w:pPr>
      <w:r>
        <w:rPr>
          <w:rFonts w:ascii="Times New Roman" w:cs="Times New Roman" w:eastAsia="Times New Roman" w:hAnsi="Times New Roman"/>
          <w:sz w:val="22"/>
          <w:szCs w:val="22"/>
          <w:color w:val="auto"/>
        </w:rPr>
        <w:t>other federal, state, local or foreign governmental or regulatory authority or third party alleging that any Company product, operation or activity is in material violation of any Applicable Laws or Authorizations and has no knowledge that the FDA, the EMA, or any other federal, state, local or foreign governmental or regulatory authority or third party is considering any such claim, litigation, arbitration, action, suit, investigation or proceeding against the Company; (E) have not received written notice that the FDA, EMA, or any other federal, state, local or foreign governmental or regulatory authority has taken, is taking or intends to take action to limit, suspend, modify or revoke any material Authorizations and has no knowledge that the FDA, EMA, or any other federal, state, local or foreign governmental or regulatory authority is considering such action; and (F) have filed, obtained, maintained or submitted all reports, documents, forms, notices, applications, records, claims, submissions and supplements or amendments as required by any Applicable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materially complete and correct on the date filed (or were corrected or supplemented by a subsequent submission).</w:t>
      </w:r>
    </w:p>
    <w:p>
      <w:pPr>
        <w:spacing w:after="0" w:line="147" w:lineRule="exact"/>
        <w:rPr>
          <w:sz w:val="20"/>
          <w:szCs w:val="20"/>
          <w:color w:val="auto"/>
        </w:rPr>
      </w:pPr>
    </w:p>
    <w:p>
      <w:pPr>
        <w:jc w:val="both"/>
        <w:ind w:right="60" w:firstLine="1296"/>
        <w:spacing w:after="0" w:line="217" w:lineRule="auto"/>
        <w:rPr>
          <w:sz w:val="20"/>
          <w:szCs w:val="20"/>
          <w:color w:val="auto"/>
        </w:rPr>
      </w:pPr>
      <w:r>
        <w:rPr>
          <w:rFonts w:ascii="Times New Roman" w:cs="Times New Roman" w:eastAsia="Times New Roman" w:hAnsi="Times New Roman"/>
          <w:sz w:val="22"/>
          <w:szCs w:val="22"/>
          <w:color w:val="auto"/>
        </w:rPr>
        <w:t xml:space="preserve">ab. </w:t>
      </w:r>
      <w:r>
        <w:rPr>
          <w:rFonts w:ascii="Times New Roman" w:cs="Times New Roman" w:eastAsia="Times New Roman" w:hAnsi="Times New Roman"/>
          <w:sz w:val="22"/>
          <w:szCs w:val="22"/>
          <w:u w:val="single" w:color="auto"/>
          <w:color w:val="auto"/>
        </w:rPr>
        <w:t>Compliance Program.</w:t>
      </w:r>
      <w:r>
        <w:rPr>
          <w:rFonts w:ascii="Times New Roman" w:cs="Times New Roman" w:eastAsia="Times New Roman" w:hAnsi="Times New Roman"/>
          <w:sz w:val="22"/>
          <w:szCs w:val="22"/>
          <w:color w:val="auto"/>
        </w:rPr>
        <w:t xml:space="preserve"> 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performing functions similar to those performed by the FDA or EMA); except where such noncompliance would not reasonably be expected to have a Material Adverse Effect.</w:t>
      </w:r>
    </w:p>
    <w:p>
      <w:pPr>
        <w:spacing w:after="0" w:line="125"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ac. </w:t>
      </w:r>
      <w:r>
        <w:rPr>
          <w:rFonts w:ascii="Times New Roman" w:cs="Times New Roman" w:eastAsia="Times New Roman" w:hAnsi="Times New Roman"/>
          <w:sz w:val="22"/>
          <w:szCs w:val="22"/>
          <w:u w:val="single" w:color="auto"/>
          <w:color w:val="auto"/>
        </w:rPr>
        <w:t>Clinical Studies</w:t>
      </w:r>
      <w:r>
        <w:rPr>
          <w:rFonts w:ascii="Times New Roman" w:cs="Times New Roman" w:eastAsia="Times New Roman" w:hAnsi="Times New Roman"/>
          <w:sz w:val="22"/>
          <w:szCs w:val="22"/>
          <w:color w:val="auto"/>
        </w:rPr>
        <w:t>. The animal and other preclinical studies and clinical trials conducted by the Company or on behalf of the Company were, and, if still pending are, to the Company’s knowledge, being conducted in all material respects in compliance with all Applicable Laws and in accordance with experimental protocols, procedures and controls generally used by qualified experts in the preclinical study and clinical trials of new drugs and biologics as applied to comparable products to those being developed by the Company; the descriptions of the results of such preclinical studies and clinical trials contained in the Registration Statement and the Prospectus are accurate and complete in all material respects, and, except as set forth in the Registration Statement and the Prospectus, the Company has no knowledge of any other clinical trials or preclinical studies, the results of which reasonably call into question the clinical trial or preclinical study results described or referred to in the Registration Statement and the Prospectus when viewed in the context in which such results are described; and the Company has not received any written notices or correspondence from the FDA, the EMA, or any other domestic or foreign governmental agency requiring the termination, suspension or modification of any preclinical studies or clinical trials conducted by or on behalf of the Company that are described in the Registration Statement and the Prospectus or the results of which are referred to in the Registration Statement and the Prospectus.</w:t>
      </w:r>
    </w:p>
    <w:p>
      <w:pPr>
        <w:spacing w:after="0" w:line="147"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 xml:space="preserve">ad. </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The Company and the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8"/>
        <w:spacing w:after="0" w:line="204" w:lineRule="auto"/>
        <w:tabs>
          <w:tab w:leader="none" w:pos="37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received and are in compliance with all permits, licenses or other approvals required of them under applicable Environmental Laws to conduct their respective businesses as described in the Registration Statement and the Prospectus; and</w:t>
      </w:r>
    </w:p>
    <w:p>
      <w:pPr>
        <w:spacing w:after="0" w:line="1" w:lineRule="exact"/>
        <w:rPr>
          <w:rFonts w:ascii="Times New Roman" w:cs="Times New Roman" w:eastAsia="Times New Roman" w:hAnsi="Times New Roman"/>
          <w:sz w:val="22"/>
          <w:szCs w:val="22"/>
          <w:color w:val="auto"/>
        </w:rPr>
      </w:pPr>
    </w:p>
    <w:p>
      <w:pPr>
        <w:jc w:val="both"/>
        <w:ind w:firstLine="8"/>
        <w:spacing w:after="0" w:line="218" w:lineRule="auto"/>
        <w:tabs>
          <w:tab w:leader="none" w:pos="38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failure to receive required permits, licenses, other approvals or liability as would not, individually or in the aggregate, have a Material Adverse Effect.</w:t>
      </w:r>
    </w:p>
    <w:p>
      <w:pPr>
        <w:spacing w:after="0" w:line="137"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ae. </w:t>
      </w:r>
      <w:r>
        <w:rPr>
          <w:rFonts w:ascii="Times New Roman" w:cs="Times New Roman" w:eastAsia="Times New Roman" w:hAnsi="Times New Roman"/>
          <w:sz w:val="22"/>
          <w:szCs w:val="22"/>
          <w:u w:val="single" w:color="auto"/>
          <w:color w:val="auto"/>
        </w:rPr>
        <w:t>Disclosure Controls</w:t>
      </w:r>
      <w:r>
        <w:rPr>
          <w:rFonts w:ascii="Times New Roman" w:cs="Times New Roman" w:eastAsia="Times New Roman" w:hAnsi="Times New Roman"/>
          <w:sz w:val="22"/>
          <w:szCs w:val="22"/>
          <w:color w:val="auto"/>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Registration Statement or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Registration Statement or the Prospectus). The Company has established disclosure controls and procedures (as defined in Exchange Act Rules 13a-15 and 15d-15) that comply with the requirements of the Exchange Act. The Company’s certifying officers have evaluated the effectiveness of the Company’s controls and procedures as of a date within 90 days prior to the filing date of the Form 10-K for the fiscal year most recently ended (such date, the “</w:t>
      </w:r>
      <w:r>
        <w:rPr>
          <w:rFonts w:ascii="Times New Roman" w:cs="Times New Roman" w:eastAsia="Times New Roman" w:hAnsi="Times New Roman"/>
          <w:sz w:val="22"/>
          <w:szCs w:val="22"/>
          <w:u w:val="single" w:color="auto"/>
          <w:color w:val="auto"/>
        </w:rPr>
        <w:t>Evaluation Date</w:t>
      </w:r>
      <w:r>
        <w:rPr>
          <w:rFonts w:ascii="Times New Roman" w:cs="Times New Roman" w:eastAsia="Times New Roman" w:hAnsi="Times New Roman"/>
          <w:sz w:val="22"/>
          <w:szCs w:val="22"/>
          <w:color w:val="auto"/>
        </w:rPr>
        <w:t>”). The Company presented in its Form 10-K for the fiscal year most recently ended the conclusions of the certifying officers about the effectiveness of the disclosure controls and procedures based on their evaluations as of the most recent Evaluation Date, and the “disclosure controls and procedures” are effective.</w:t>
      </w:r>
    </w:p>
    <w:p>
      <w:pPr>
        <w:spacing w:after="0" w:line="137"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af. </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There is and has been no failure on the part of the Company or, to the knowledge of the Company,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Exchange Act Rules 13a-15 and 15d-15.</w:t>
      </w:r>
    </w:p>
    <w:p>
      <w:pPr>
        <w:spacing w:after="0" w:line="14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ag. </w:t>
      </w:r>
      <w:r>
        <w:rPr>
          <w:rFonts w:ascii="Times New Roman" w:cs="Times New Roman" w:eastAsia="Times New Roman" w:hAnsi="Times New Roman"/>
          <w:sz w:val="22"/>
          <w:szCs w:val="22"/>
          <w:u w:val="single" w:color="auto"/>
          <w:color w:val="auto"/>
        </w:rPr>
        <w:t>Finder’s Fees</w:t>
      </w:r>
      <w:r>
        <w:rPr>
          <w:rFonts w:ascii="Times New Roman" w:cs="Times New Roman" w:eastAsia="Times New Roman" w:hAnsi="Times New Roman"/>
          <w:sz w:val="22"/>
          <w:szCs w:val="22"/>
          <w:color w:val="auto"/>
        </w:rPr>
        <w:t>. Neither the Company nor any Subsidiary has incurred any liability for any finder’s fees, brokerage commissions or similar payments in connection with the transactions herein contemplated, except as may otherwise exist with respect to the Agent pursuant to this Agreement.</w:t>
      </w:r>
    </w:p>
    <w:p>
      <w:pPr>
        <w:spacing w:after="0" w:line="12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ah. </w:t>
      </w:r>
      <w:r>
        <w:rPr>
          <w:rFonts w:ascii="Times New Roman" w:cs="Times New Roman" w:eastAsia="Times New Roman" w:hAnsi="Times New Roman"/>
          <w:sz w:val="22"/>
          <w:szCs w:val="22"/>
          <w:u w:val="single" w:color="auto"/>
          <w:color w:val="auto"/>
        </w:rPr>
        <w:t>Labor Disputes</w:t>
      </w:r>
      <w:r>
        <w:rPr>
          <w:rFonts w:ascii="Times New Roman" w:cs="Times New Roman" w:eastAsia="Times New Roman" w:hAnsi="Times New Roman"/>
          <w:sz w:val="22"/>
          <w:szCs w:val="22"/>
          <w:color w:val="auto"/>
        </w:rPr>
        <w:t>. No labor disturbance by or dispute with employees of the Company or any Subsidiary exists or, to the knowledge of the Company, is threatened which would result in a Material Adverse Effect.</w:t>
      </w:r>
    </w:p>
    <w:p>
      <w:pPr>
        <w:spacing w:after="0" w:line="12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ai. </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Neither the Company nor any Subsidiary is or, after giving effect to the offering and sale of the Placement Shares, will be required to register as an “investment company” or an entity “controlled” by an “investment company,” as such terms are defined in the Investment Company Act of 1940, as amended (the “</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Company Act</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aj. </w:t>
      </w:r>
      <w:r>
        <w:rPr>
          <w:rFonts w:ascii="Times New Roman" w:cs="Times New Roman" w:eastAsia="Times New Roman" w:hAnsi="Times New Roman"/>
          <w:sz w:val="22"/>
          <w:szCs w:val="22"/>
          <w:u w:val="single" w:color="auto"/>
          <w:color w:val="auto"/>
        </w:rPr>
        <w:t>Operations</w:t>
      </w:r>
      <w:r>
        <w:rPr>
          <w:rFonts w:ascii="Times New Roman" w:cs="Times New Roman" w:eastAsia="Times New Roman" w:hAnsi="Times New Roman"/>
          <w:sz w:val="22"/>
          <w:szCs w:val="22"/>
          <w:color w:val="auto"/>
        </w:rPr>
        <w:t>. The operations of the Company and the Subsidiaries are and have been conducted at all times in compliance with applicable financial record keeping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reporting requirements of the Currency and Foreign Transactions Reporting Act of 1970, as amended, the money laundering statutes of all jurisdictions to which the Company or the Subsidiaries are subject, the rules and regulations thereunder and any related or similar rules, regulations or guidelines, issued, administered or enforced by any governmental agency having jurisdiction over the Company (collectively, the “</w:t>
      </w:r>
      <w:r>
        <w:rPr>
          <w:rFonts w:ascii="Times New Roman" w:cs="Times New Roman" w:eastAsia="Times New Roman" w:hAnsi="Times New Roman"/>
          <w:sz w:val="22"/>
          <w:szCs w:val="22"/>
          <w:u w:val="single" w:color="auto"/>
          <w:color w:val="auto"/>
        </w:rPr>
        <w:t>Money Laundering Laws</w:t>
      </w:r>
      <w:r>
        <w:rPr>
          <w:rFonts w:ascii="Times New Roman" w:cs="Times New Roman" w:eastAsia="Times New Roman" w:hAnsi="Times New Roman"/>
          <w:sz w:val="22"/>
          <w:szCs w:val="22"/>
          <w:color w:val="auto"/>
        </w:rPr>
        <w:t>”), except where the failure to be in such compliance would not result in a Material Adverse Effect; and no action, suit or proceeding by or before any court or governmental agency, authority or body or any arbitrator involving the Company or any Subsidiary with respect to the Money Laundering Laws is pending or, to the knowledge of the Company, threatened.</w:t>
      </w:r>
    </w:p>
    <w:p>
      <w:pPr>
        <w:spacing w:after="0" w:line="143"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ak. </w:t>
      </w:r>
      <w:r>
        <w:rPr>
          <w:rFonts w:ascii="Times New Roman" w:cs="Times New Roman" w:eastAsia="Times New Roman" w:hAnsi="Times New Roman"/>
          <w:sz w:val="22"/>
          <w:szCs w:val="22"/>
          <w:u w:val="single" w:color="auto"/>
          <w:color w:val="auto"/>
        </w:rPr>
        <w:t>Off-Balance Sheet Arrangements</w:t>
      </w:r>
      <w:r>
        <w:rPr>
          <w:rFonts w:ascii="Times New Roman" w:cs="Times New Roman" w:eastAsia="Times New Roman" w:hAnsi="Times New Roman"/>
          <w:sz w:val="22"/>
          <w:szCs w:val="22"/>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cs="Times New Roman" w:eastAsia="Times New Roman" w:hAnsi="Times New Roman"/>
          <w:sz w:val="22"/>
          <w:szCs w:val="22"/>
          <w:u w:val="single" w:color="auto"/>
          <w:color w:val="auto"/>
        </w:rPr>
        <w:t>Off Balance Sheet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that would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or the Prospectus which have not been described as required.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al.</w:t>
            </w:r>
          </w:p>
        </w:tc>
        <w:tc>
          <w:tcPr>
            <w:tcW w:w="9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Underwriter Agreements. The Company is not a party to any agreement with an agent or underwriter for</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transaction.</w:t>
            </w:r>
          </w:p>
        </w:tc>
        <w:tc>
          <w:tcPr>
            <w:tcW w:w="0" w:type="dxa"/>
            <w:vAlign w:val="bottom"/>
          </w:tcPr>
          <w:p>
            <w:pPr>
              <w:spacing w:after="0" w:line="20" w:lineRule="exact"/>
              <w:rPr>
                <w:sz w:val="1"/>
                <w:szCs w:val="1"/>
                <w:color w:val="auto"/>
              </w:rPr>
            </w:pPr>
          </w:p>
        </w:tc>
      </w:tr>
      <w:tr>
        <w:trPr>
          <w:trHeight w:val="276"/>
        </w:trPr>
        <w:tc>
          <w:tcPr>
            <w:tcW w:w="4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any other “at the market” or continuous equity</w:t>
            </w:r>
          </w:p>
        </w:tc>
        <w:tc>
          <w:tcPr>
            <w:tcW w:w="7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49"/>
        </w:trPr>
        <w:tc>
          <w:tcPr>
            <w:tcW w:w="19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am.</w:t>
            </w:r>
          </w:p>
        </w:tc>
        <w:tc>
          <w:tcPr>
            <w:tcW w:w="9280" w:type="dxa"/>
            <w:vAlign w:val="bottom"/>
            <w:gridSpan w:val="2"/>
          </w:tcPr>
          <w:p>
            <w:pPr>
              <w:spacing w:after="0"/>
              <w:rPr>
                <w:sz w:val="20"/>
                <w:szCs w:val="20"/>
                <w:color w:val="auto"/>
              </w:rPr>
            </w:pPr>
            <w:r>
              <w:rPr>
                <w:rFonts w:ascii="Times New Roman" w:cs="Times New Roman" w:eastAsia="Times New Roman" w:hAnsi="Times New Roman"/>
                <w:sz w:val="22"/>
                <w:szCs w:val="22"/>
                <w:u w:val="single" w:color="auto"/>
                <w:color w:val="auto"/>
                <w:w w:val="98"/>
              </w:rPr>
              <w:t>ERISA</w:t>
            </w:r>
            <w:r>
              <w:rPr>
                <w:rFonts w:ascii="Times New Roman" w:cs="Times New Roman" w:eastAsia="Times New Roman" w:hAnsi="Times New Roman"/>
                <w:sz w:val="22"/>
                <w:szCs w:val="22"/>
                <w:color w:val="auto"/>
                <w:w w:val="98"/>
              </w:rPr>
              <w:t>. To the knowledge of the Company, (i) each material employee benefit plan, within the meaning of</w:t>
            </w:r>
          </w:p>
        </w:tc>
        <w:tc>
          <w:tcPr>
            <w:tcW w:w="0" w:type="dxa"/>
            <w:vAlign w:val="bottom"/>
          </w:tcPr>
          <w:p>
            <w:pPr>
              <w:spacing w:after="0"/>
              <w:rPr>
                <w:sz w:val="1"/>
                <w:szCs w:val="1"/>
                <w:color w:val="auto"/>
              </w:rPr>
            </w:pPr>
          </w:p>
        </w:tc>
      </w:tr>
    </w:tbl>
    <w:p>
      <w:pPr>
        <w:jc w:val="both"/>
        <w:spacing w:after="0" w:line="218" w:lineRule="auto"/>
        <w:rPr>
          <w:sz w:val="20"/>
          <w:szCs w:val="20"/>
          <w:color w:val="auto"/>
        </w:rPr>
      </w:pPr>
      <w:r>
        <w:rPr>
          <w:rFonts w:ascii="Times New Roman" w:cs="Times New Roman" w:eastAsia="Times New Roman" w:hAnsi="Times New Roman"/>
          <w:sz w:val="21"/>
          <w:szCs w:val="21"/>
          <w:color w:val="auto"/>
        </w:rPr>
        <w:t>Section 3(3) of the Employee Retirement Income Security Act of 1974, as amended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that is maintained, administered or contributed to by the Company or any of its affiliates for employees or former employees of the Company and the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have a Material Adverse Effect.</w:t>
      </w:r>
    </w:p>
    <w:p>
      <w:pPr>
        <w:spacing w:after="0" w:line="12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 xml:space="preserve">an. </w:t>
      </w:r>
      <w:r>
        <w:rPr>
          <w:rFonts w:ascii="Times New Roman" w:cs="Times New Roman" w:eastAsia="Times New Roman" w:hAnsi="Times New Roman"/>
          <w:sz w:val="21"/>
          <w:szCs w:val="21"/>
          <w:u w:val="single" w:color="auto"/>
          <w:color w:val="auto"/>
        </w:rPr>
        <w:t>Forward-Looking Statements</w:t>
      </w:r>
      <w:r>
        <w:rPr>
          <w:rFonts w:ascii="Times New Roman" w:cs="Times New Roman" w:eastAsia="Times New Roman" w:hAnsi="Times New Roman"/>
          <w:sz w:val="21"/>
          <w:szCs w:val="21"/>
          <w:color w:val="auto"/>
        </w:rPr>
        <w:t>. No forward-looking statement (within the meaning of Section 27A of the Securities Act and Section 21E of the Exchange Act) (a “</w:t>
      </w:r>
      <w:r>
        <w:rPr>
          <w:rFonts w:ascii="Times New Roman" w:cs="Times New Roman" w:eastAsia="Times New Roman" w:hAnsi="Times New Roman"/>
          <w:sz w:val="21"/>
          <w:szCs w:val="21"/>
          <w:u w:val="single" w:color="auto"/>
          <w:color w:val="auto"/>
        </w:rPr>
        <w:t>Forward-Looking Statement</w:t>
      </w:r>
      <w:r>
        <w:rPr>
          <w:rFonts w:ascii="Times New Roman" w:cs="Times New Roman" w:eastAsia="Times New Roman" w:hAnsi="Times New Roman"/>
          <w:sz w:val="21"/>
          <w:szCs w:val="21"/>
          <w:color w:val="auto"/>
        </w:rPr>
        <w:t>”) contained in the Registration Statement and the Prospectus has been made or reaffirmed without a reasonable basis or has been disclosed other than in good faith.</w:t>
      </w:r>
    </w:p>
    <w:p>
      <w:pPr>
        <w:spacing w:after="0" w:line="12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ao. </w:t>
      </w:r>
      <w:r>
        <w:rPr>
          <w:rFonts w:ascii="Times New Roman" w:cs="Times New Roman" w:eastAsia="Times New Roman" w:hAnsi="Times New Roman"/>
          <w:sz w:val="22"/>
          <w:szCs w:val="22"/>
          <w:u w:val="single" w:color="auto"/>
          <w:color w:val="auto"/>
        </w:rPr>
        <w:t>Margin Rules</w:t>
      </w:r>
      <w:r>
        <w:rPr>
          <w:rFonts w:ascii="Times New Roman" w:cs="Times New Roman" w:eastAsia="Times New Roman" w:hAnsi="Times New Roman"/>
          <w:sz w:val="22"/>
          <w:szCs w:val="22"/>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ap.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the Subsidiaries carry, or are covered by, insurance in such amounts and covering such risks as the Company and the Subsidiaries reasonably believe are adequate for the conduct of their business.</w:t>
      </w:r>
    </w:p>
    <w:p>
      <w:pPr>
        <w:spacing w:after="0" w:line="137"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 xml:space="preserve">aq. </w:t>
      </w:r>
      <w:r>
        <w:rPr>
          <w:rFonts w:ascii="Times New Roman" w:cs="Times New Roman" w:eastAsia="Times New Roman" w:hAnsi="Times New Roman"/>
          <w:sz w:val="22"/>
          <w:szCs w:val="22"/>
          <w:u w:val="single" w:color="auto"/>
          <w:color w:val="auto"/>
        </w:rPr>
        <w:t>No Improper Practices</w:t>
      </w:r>
      <w:r>
        <w:rPr>
          <w:rFonts w:ascii="Times New Roman" w:cs="Times New Roman" w:eastAsia="Times New Roman" w:hAnsi="Times New Roman"/>
          <w:sz w:val="22"/>
          <w:szCs w:val="22"/>
          <w:color w:val="auto"/>
        </w:rPr>
        <w:t>. (i) Neither the Company nor, to the Company’s knowledge,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the Subsidiaries or any affiliate of any of them, on the one hand, and the directors, officers and stockholders of the Company or, to the Company’s knowledge, the Subsidiaries, on the other hand, that is required by the Securities Act to be described in the Registration Statement and the Prospectus that is not so described; (iii) no relationship, direct or indirect, exists between or among the Company or the Subsidiaries or any affiliate of them, on the one hand, and the directors, officers, stockholders or directors of the Company or, to the Company’s knowledge, the Subsidiaries, on the other hand, that is required by the rules of FINRA to be described in the Registration Statement and the Prospectus that is not so described; (iv) there are no material outstanding loans or advances or material guarantees of indebtedness by the Company or, to the Company’s knowledge, the Subsidiaries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 (vi) 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4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ar. </w:t>
      </w:r>
      <w:r>
        <w:rPr>
          <w:rFonts w:ascii="Times New Roman" w:cs="Times New Roman" w:eastAsia="Times New Roman" w:hAnsi="Times New Roman"/>
          <w:sz w:val="22"/>
          <w:szCs w:val="22"/>
          <w:u w:val="single" w:color="auto"/>
          <w:color w:val="auto"/>
        </w:rPr>
        <w:t>Status Under the Securities Act</w:t>
      </w:r>
      <w:r>
        <w:rPr>
          <w:rFonts w:ascii="Times New Roman" w:cs="Times New Roman" w:eastAsia="Times New Roman" w:hAnsi="Times New Roman"/>
          <w:sz w:val="22"/>
          <w:szCs w:val="22"/>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3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as. </w:t>
      </w:r>
      <w:r>
        <w:rPr>
          <w:rFonts w:ascii="Times New Roman" w:cs="Times New Roman" w:eastAsia="Times New Roman" w:hAnsi="Times New Roman"/>
          <w:sz w:val="22"/>
          <w:szCs w:val="22"/>
          <w:u w:val="single" w:color="auto"/>
          <w:color w:val="auto"/>
        </w:rPr>
        <w:t>No Misstatement or Omission in an Issuer Free Writing Prospectus</w:t>
      </w:r>
      <w:r>
        <w:rPr>
          <w:rFonts w:ascii="Times New Roman" w:cs="Times New Roman" w:eastAsia="Times New Roman" w:hAnsi="Times New Roman"/>
          <w:sz w:val="22"/>
          <w:szCs w:val="22"/>
          <w:color w:val="auto"/>
        </w:rPr>
        <w:t xml:space="preserve">. Each Issuer Free Writing Prospectus, as of its issue date and as of each Applicable Time (as defined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below), did not, does not and will not, through the completion of the Placement or Placements for which such Issuer Free Writing Prospectus is issued,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spacing w:after="0" w:line="12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have a Material Adverse Effect.</w:t>
      </w:r>
    </w:p>
    <w:p>
      <w:pPr>
        <w:spacing w:after="0" w:line="137"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au.</w:t>
      </w:r>
      <w:r>
        <w:rPr>
          <w:sz w:val="20"/>
          <w:szCs w:val="20"/>
          <w:color w:val="auto"/>
        </w:rPr>
        <w:tab/>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80" w:firstLine="1872"/>
        <w:spacing w:after="0" w:line="225" w:lineRule="auto"/>
        <w:tabs>
          <w:tab w:leader="none" w:pos="259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(collectively, the “</w:t>
      </w: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nor, to the Company’s knowledge, any director, officer, employee, agent, affiliate or representative of the Entity, is a government, individual, or entity (in this paragraph (uu),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that is, or is owned or controlled by a Person that is:</w:t>
      </w:r>
    </w:p>
    <w:p>
      <w:pPr>
        <w:spacing w:after="0" w:line="139" w:lineRule="exact"/>
        <w:rPr>
          <w:rFonts w:ascii="Times New Roman" w:cs="Times New Roman" w:eastAsia="Times New Roman" w:hAnsi="Times New Roman"/>
          <w:sz w:val="22"/>
          <w:szCs w:val="22"/>
          <w:color w:val="auto"/>
        </w:rPr>
      </w:pPr>
    </w:p>
    <w:p>
      <w:pPr>
        <w:jc w:val="both"/>
        <w:ind w:left="660" w:firstLine="1940"/>
        <w:spacing w:after="0" w:line="225" w:lineRule="auto"/>
        <w:tabs>
          <w:tab w:leader="none" w:pos="3249"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the U.S. Department of Treasury’s Office of Foreign Assets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United Nations Security Council (“</w:t>
      </w:r>
      <w:r>
        <w:rPr>
          <w:rFonts w:ascii="Times New Roman" w:cs="Times New Roman" w:eastAsia="Times New Roman" w:hAnsi="Times New Roman"/>
          <w:sz w:val="22"/>
          <w:szCs w:val="22"/>
          <w:u w:val="single" w:color="auto"/>
          <w:color w:val="auto"/>
        </w:rPr>
        <w:t>UNSC</w:t>
      </w:r>
      <w:r>
        <w:rPr>
          <w:rFonts w:ascii="Times New Roman" w:cs="Times New Roman" w:eastAsia="Times New Roman" w:hAnsi="Times New Roman"/>
          <w:sz w:val="22"/>
          <w:szCs w:val="22"/>
          <w:color w:val="auto"/>
        </w:rPr>
        <w:t>”), the European Union (“</w:t>
      </w:r>
      <w:r>
        <w:rPr>
          <w:rFonts w:ascii="Times New Roman" w:cs="Times New Roman" w:eastAsia="Times New Roman" w:hAnsi="Times New Roman"/>
          <w:sz w:val="22"/>
          <w:szCs w:val="22"/>
          <w:u w:val="single" w:color="auto"/>
          <w:color w:val="auto"/>
        </w:rPr>
        <w:t>EU</w:t>
      </w:r>
      <w:r>
        <w:rPr>
          <w:rFonts w:ascii="Times New Roman" w:cs="Times New Roman" w:eastAsia="Times New Roman" w:hAnsi="Times New Roman"/>
          <w:sz w:val="22"/>
          <w:szCs w:val="22"/>
          <w:color w:val="auto"/>
        </w:rPr>
        <w:t>”), His Majesty’s Treasury (“</w:t>
      </w:r>
      <w:r>
        <w:rPr>
          <w:rFonts w:ascii="Times New Roman" w:cs="Times New Roman" w:eastAsia="Times New Roman" w:hAnsi="Times New Roman"/>
          <w:sz w:val="22"/>
          <w:szCs w:val="22"/>
          <w:u w:val="single" w:color="auto"/>
          <w:color w:val="auto"/>
        </w:rPr>
        <w:t>HMT</w:t>
      </w:r>
      <w:r>
        <w:rPr>
          <w:rFonts w:ascii="Times New Roman" w:cs="Times New Roman" w:eastAsia="Times New Roman" w:hAnsi="Times New Roman"/>
          <w:sz w:val="22"/>
          <w:szCs w:val="22"/>
          <w:color w:val="auto"/>
        </w:rPr>
        <w:t>”), or other relevant sanctions authority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nor</w:t>
      </w:r>
    </w:p>
    <w:p>
      <w:pPr>
        <w:spacing w:after="0" w:line="125"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w:t>
      </w:r>
    </w:p>
    <w:p>
      <w:pPr>
        <w:spacing w:after="0" w:line="152" w:lineRule="exact"/>
        <w:rPr>
          <w:rFonts w:ascii="Times New Roman" w:cs="Times New Roman" w:eastAsia="Times New Roman" w:hAnsi="Times New Roman"/>
          <w:sz w:val="22"/>
          <w:szCs w:val="22"/>
          <w:color w:val="auto"/>
        </w:rPr>
      </w:pPr>
    </w:p>
    <w:p>
      <w:pPr>
        <w:ind w:left="80" w:firstLine="1953"/>
        <w:spacing w:after="0" w:line="236" w:lineRule="auto"/>
        <w:tabs>
          <w:tab w:leader="none" w:pos="260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will not, directly or indirectly, knowingly use the proceeds of the offering, or lend, contribute or otherwise make available such proceeds to any subsidiary, joint venture partner or other Person:</w:t>
      </w:r>
    </w:p>
    <w:p>
      <w:pPr>
        <w:spacing w:after="0" w:line="136" w:lineRule="exact"/>
        <w:rPr>
          <w:rFonts w:ascii="Times New Roman" w:cs="Times New Roman" w:eastAsia="Times New Roman" w:hAnsi="Times New Roman"/>
          <w:sz w:val="22"/>
          <w:szCs w:val="22"/>
          <w:color w:val="auto"/>
        </w:rPr>
      </w:pPr>
    </w:p>
    <w:p>
      <w:pPr>
        <w:ind w:left="660" w:right="20" w:firstLine="1940"/>
        <w:spacing w:after="0" w:line="236" w:lineRule="auto"/>
        <w:tabs>
          <w:tab w:leader="none" w:pos="3249"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or facilitate any activities or business of or with any Person or in any country or territory that, at the time of such funding or facilitation, is the subject of Sanctions; or</w:t>
      </w:r>
    </w:p>
    <w:p>
      <w:pPr>
        <w:spacing w:after="0" w:line="123" w:lineRule="exact"/>
        <w:rPr>
          <w:rFonts w:ascii="Times New Roman" w:cs="Times New Roman" w:eastAsia="Times New Roman" w:hAnsi="Times New Roman"/>
          <w:sz w:val="22"/>
          <w:szCs w:val="22"/>
          <w:color w:val="auto"/>
        </w:rPr>
      </w:pPr>
    </w:p>
    <w:p>
      <w:pPr>
        <w:ind w:left="660" w:firstLine="1940"/>
        <w:spacing w:after="0" w:line="236" w:lineRule="auto"/>
        <w:tabs>
          <w:tab w:leader="none" w:pos="3247"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Person (including any Person participating in the offering, whether as underwriter, advisor, investor or otherwise).</w:t>
      </w:r>
    </w:p>
    <w:p>
      <w:pPr>
        <w:spacing w:after="0" w:line="137" w:lineRule="exact"/>
        <w:rPr>
          <w:sz w:val="20"/>
          <w:szCs w:val="20"/>
          <w:color w:val="auto"/>
        </w:rPr>
      </w:pPr>
    </w:p>
    <w:p>
      <w:pPr>
        <w:jc w:val="both"/>
        <w:ind w:left="80" w:firstLine="1953"/>
        <w:spacing w:after="0" w:line="220" w:lineRule="auto"/>
        <w:tabs>
          <w:tab w:leader="none" w:pos="260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Entity represents and covenants that, except as detailed in the Registration Statement and the Prospectus, for the past 5 years, it has not knowingly engaged in and is not now knowingly engaged in any dealing or transactions with any Person, or in any country or territory, that at the time of the dealing or transaction is or was the subject of Sanctions.</w:t>
      </w:r>
    </w:p>
    <w:p>
      <w:pPr>
        <w:spacing w:after="0" w:line="12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av. </w:t>
      </w:r>
      <w:r>
        <w:rPr>
          <w:rFonts w:ascii="Times New Roman" w:cs="Times New Roman" w:eastAsia="Times New Roman" w:hAnsi="Times New Roman"/>
          <w:sz w:val="22"/>
          <w:szCs w:val="22"/>
          <w:u w:val="single" w:color="auto"/>
          <w:color w:val="auto"/>
        </w:rPr>
        <w:t>Stock Transfer Taxes</w:t>
      </w:r>
      <w:r>
        <w:rPr>
          <w:rFonts w:ascii="Times New Roman" w:cs="Times New Roman" w:eastAsia="Times New Roman" w:hAnsi="Times New Roman"/>
          <w:sz w:val="22"/>
          <w:szCs w:val="22"/>
          <w:color w:val="auto"/>
        </w:rPr>
        <w:t>. On each Settlement Date, all material stock transfer or other taxes (other than income taxes) which are required to be paid by the Company in connection with the sale and transfer of the Placement Shares to be sold hereunder will be, or will have been, fully paid or provided for by the Company and all laws imposing such taxes will be or will have been fully complied with by the Company in all material respects.</w:t>
      </w:r>
    </w:p>
    <w:p>
      <w:pPr>
        <w:spacing w:after="0" w:line="125" w:lineRule="exact"/>
        <w:rPr>
          <w:sz w:val="20"/>
          <w:szCs w:val="20"/>
          <w:color w:val="auto"/>
        </w:rPr>
      </w:pPr>
    </w:p>
    <w:p>
      <w:pPr>
        <w:jc w:val="both"/>
        <w:ind w:firstLine="448"/>
        <w:spacing w:after="0" w:line="225"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the Agent that:</w:t>
      </w:r>
    </w:p>
    <w:p>
      <w:pPr>
        <w:spacing w:after="0" w:line="165"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32"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Statement Amendments</w:t>
      </w:r>
      <w:r>
        <w:rPr>
          <w:rFonts w:ascii="Times New Roman" w:cs="Times New Roman" w:eastAsia="Times New Roman" w:hAnsi="Times New Roman"/>
          <w:sz w:val="21"/>
          <w:szCs w:val="21"/>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(the “</w:t>
      </w:r>
      <w:r>
        <w:rPr>
          <w:rFonts w:ascii="Times New Roman" w:cs="Times New Roman" w:eastAsia="Times New Roman" w:hAnsi="Times New Roman"/>
          <w:sz w:val="21"/>
          <w:szCs w:val="21"/>
          <w:u w:val="single" w:color="auto"/>
          <w:color w:val="auto"/>
        </w:rPr>
        <w:t>Prospectus Delivery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(i) the Company will notify the Agent promptly of the time when any subsequent amendment to the Registration Statement, other than documents incorporated by reference or amendments not related to any Placement, has been filed with the Commission and/or has become effective or any subsequent supplement to the Prospectus has been filed and of any request by the Commission for any amendment or supplement to the Registration Statement or Prospectus related to the Placement or for additional information related to the Placement, (ii) the Company will prepare and file with the Commission, promptly upon the Agent’s request, any amendments or supplements to the Registration Statement or Prospectus that, upon the advice of the Company’s legal counsel, may be necessary or advisable in connection with the distribution of the Placement Shares by the Agent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(other than an Incorporated Document) unless a copy thereof has been submitted to the Agent within a reasonable period of time before the filing and the Agent has not reasonably objected thereto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the filing does not name the Agent or does not relate to the transaction herein provided; and provided, further, that the only remedy the Agent shall have with respect to the failure by the Company to obtain such consent or the failure of the Agent to provide an objection as set forth above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based on the Company’s reasonable opinion or reasonable objections, shall be made exclusively by the Company).</w:t>
      </w:r>
    </w:p>
    <w:p>
      <w:pPr>
        <w:spacing w:after="0" w:line="132"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4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Commission Stop Orders</w:t>
      </w:r>
      <w:r>
        <w:rPr>
          <w:rFonts w:ascii="Times New Roman" w:cs="Times New Roman" w:eastAsia="Times New Roman" w:hAnsi="Times New Roman"/>
          <w:sz w:val="22"/>
          <w:szCs w:val="22"/>
          <w:color w:val="auto"/>
        </w:rPr>
        <w:t>. The Company will advise the Agent, promptly after it receives notice or obtains knowledge thereof, of the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Prospectus or for additional information related to the offering of the Placement Shares or for additional information related to the Registration Statement, the Prospectus or any Issuer Free Writing Prospectus.</w:t>
      </w:r>
    </w:p>
    <w:p>
      <w:pPr>
        <w:spacing w:after="0" w:line="137" w:lineRule="exact"/>
        <w:rPr>
          <w:sz w:val="20"/>
          <w:szCs w:val="20"/>
          <w:color w:val="auto"/>
        </w:rPr>
      </w:pPr>
    </w:p>
    <w:p>
      <w:pPr>
        <w:jc w:val="both"/>
        <w:ind w:firstLine="1304"/>
        <w:spacing w:after="0" w:line="209" w:lineRule="auto"/>
        <w:tabs>
          <w:tab w:leader="none" w:pos="193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Prospectus; Subsequent Changes</w:t>
      </w:r>
      <w:r>
        <w:rPr>
          <w:rFonts w:ascii="Times New Roman" w:cs="Times New Roman" w:eastAsia="Times New Roman" w:hAnsi="Times New Roman"/>
          <w:sz w:val="22"/>
          <w:szCs w:val="22"/>
          <w:color w:val="auto"/>
        </w:rPr>
        <w:t xml:space="preserve">. During the Prospectus Delivery Period, the Company will use its best efforts to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commercially reasonable efforts to comply with the provisions of and make all requisite filings with the Commission pursuant to said Rule 430A and to notify the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delay the filing of any amendment or supplement, if in the judgment of the Company, it is in the best interest of the Company.</w:t>
      </w:r>
    </w:p>
    <w:p>
      <w:pPr>
        <w:spacing w:after="0" w:line="124"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xml:space="preserve">. During the Prospectus Delivery Period, the Company will use its commercially reasonable efforts to cause the Placement Shares to be listed on the Exchange and to qualify the Placement Shares for sale under the securities laws of such jurisdictions in the United States as the Agent reasonably designates and to continue such qualifications in effect so long as required for the distribution of the Placement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shall not be required in connection therewith to qualify as a foreign corporation or dealer in securities, file a general consent to service of process, or subject itself to taxation in any jurisdiction if it is not otherwise so subject.</w:t>
      </w:r>
    </w:p>
    <w:p>
      <w:pPr>
        <w:spacing w:after="0" w:line="138"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xml:space="preserve">. The Company will furnish to the Agent and its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shall not be required to furnish any document (other than the Prospectus) to the Agent to the extent such document is available on EDGAR.</w:t>
      </w:r>
    </w:p>
    <w:p>
      <w:pPr>
        <w:spacing w:after="0" w:line="13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25"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in the section entitled “Use of Proceeds.”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jc w:val="both"/>
        <w:ind w:firstLine="1304"/>
        <w:spacing w:after="0" w:line="207" w:lineRule="auto"/>
        <w:tabs>
          <w:tab w:leader="none" w:pos="19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Other Sales</w:t>
      </w:r>
      <w:r>
        <w:rPr>
          <w:rFonts w:ascii="Times New Roman" w:cs="Times New Roman" w:eastAsia="Times New Roman" w:hAnsi="Times New Roman"/>
          <w:sz w:val="22"/>
          <w:szCs w:val="22"/>
          <w:color w:val="auto"/>
        </w:rPr>
        <w:t xml:space="preserve">.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date on which any Placement Notice is delivered to the Agent hereunder and ending on the third (3rd)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restrictions will not apply in connection with the Company’s issuance or sale of (i) Common Stock, options to purchase Common Stock or Common Stock issuable upon the exercise of options, pursuant to any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 (iii) Common Stock or other securities convertible into common stock of the Company, or securities convertible into or exercisable for Common Stock, offered and sold in a privately negotiated transaction to vendors, customers, strategic partners or potential strategic partners or other investors conducted in a manner so as not to be integrated with the offering of Common Stock hereby and (iv) Common Stock in connection with any acquisition, strategic investment or other similar transaction (including any joint venture, strategic alliance or partnership).</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12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During the term of this Agreement,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38"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Filings Relating to Placement of Placement Shares</w:t>
      </w:r>
      <w:r>
        <w:rPr>
          <w:rFonts w:ascii="Times New Roman" w:cs="Times New Roman" w:eastAsia="Times New Roman" w:hAnsi="Times New Roman"/>
          <w:sz w:val="22"/>
          <w:szCs w:val="22"/>
          <w:color w:val="auto"/>
        </w:rPr>
        <w:t>. The Company agrees that on such dates as the Securities Act shall require, the Company will (i) file a prospectus supplement with the Commission under the applicable paragraph of Rule 424(b) under the Securities Act (each and every date a filing under Rule 424(b) is made, a “</w:t>
      </w:r>
      <w:r>
        <w:rPr>
          <w:rFonts w:ascii="Times New Roman" w:cs="Times New Roman" w:eastAsia="Times New Roman" w:hAnsi="Times New Roman"/>
          <w:sz w:val="22"/>
          <w:szCs w:val="22"/>
          <w:u w:val="single" w:color="auto"/>
          <w:color w:val="auto"/>
        </w:rPr>
        <w:t>Filing Date</w:t>
      </w:r>
      <w:r>
        <w:rPr>
          <w:rFonts w:ascii="Times New Roman" w:cs="Times New Roman" w:eastAsia="Times New Roman" w:hAnsi="Times New Roman"/>
          <w:sz w:val="22"/>
          <w:szCs w:val="22"/>
          <w:color w:val="auto"/>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Dates; Certificate</w:t>
      </w:r>
      <w:r>
        <w:rPr>
          <w:rFonts w:ascii="Times New Roman" w:cs="Times New Roman" w:eastAsia="Times New Roman" w:hAnsi="Times New Roman"/>
          <w:sz w:val="22"/>
          <w:szCs w:val="22"/>
          <w:color w:val="auto"/>
        </w:rPr>
        <w:t>. Each time during the term of this Agreement that the Company:</w:t>
      </w:r>
    </w:p>
    <w:p>
      <w:pPr>
        <w:spacing w:after="0" w:line="165"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25" w:lineRule="exact"/>
        <w:rPr>
          <w:rFonts w:ascii="Times New Roman" w:cs="Times New Roman" w:eastAsia="Times New Roman" w:hAnsi="Times New Roman"/>
          <w:sz w:val="22"/>
          <w:szCs w:val="22"/>
          <w:color w:val="auto"/>
        </w:rPr>
      </w:pPr>
    </w:p>
    <w:p>
      <w:pPr>
        <w:ind w:right="20" w:firstLine="1952"/>
        <w:spacing w:after="0" w:line="236" w:lineRule="auto"/>
        <w:tabs>
          <w:tab w:leader="none" w:pos="258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an annual report on Form 10-K under the Exchange Act (including any Form 10-K/A containing amended audited financial information or a material amendment to the previously filed Form 10-K);</w:t>
      </w:r>
    </w:p>
    <w:p>
      <w:pPr>
        <w:spacing w:after="0" w:line="13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its quarterly reports on Form 10-Q under the Exchange Act;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date of filing of one or more of the documents referred to in clauses (i) through (iv) shall be a “</w:t>
      </w:r>
      <w:r>
        <w:rPr>
          <w:rFonts w:ascii="Times New Roman" w:cs="Times New Roman" w:eastAsia="Times New Roman" w:hAnsi="Times New Roman"/>
          <w:sz w:val="22"/>
          <w:szCs w:val="22"/>
          <w:u w:val="single" w:color="auto"/>
          <w:color w:val="auto"/>
        </w:rPr>
        <w:t>Representation Date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the Company shall furnish the Agent (but in the case of clause (iv) above only if the Agent reasonably determines that the information contained in such Form 8-K is material) with a certificate, in the form attached hereto as </w:t>
      </w:r>
      <w:r>
        <w:rPr>
          <w:rFonts w:ascii="Times New Roman" w:cs="Times New Roman" w:eastAsia="Times New Roman" w:hAnsi="Times New Roman"/>
          <w:sz w:val="22"/>
          <w:szCs w:val="22"/>
          <w:u w:val="single" w:color="auto"/>
          <w:color w:val="auto"/>
        </w:rPr>
        <w:t>Exhibit 7(1)</w:t>
      </w:r>
      <w:r>
        <w:rPr>
          <w:rFonts w:ascii="Times New Roman" w:cs="Times New Roman" w:eastAsia="Times New Roman" w:hAnsi="Times New Roman"/>
          <w:sz w:val="22"/>
          <w:szCs w:val="22"/>
          <w:color w:val="auto"/>
        </w:rPr>
        <w:t xml:space="preserve">. The requirement to provide a certificate under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10-K. Notwithstanding the foregoing, (i) upon the delivery of the first Placement Notice hereunder and (ii) if the Company subsequently decides to sell Placement Shares following a Representation Date when the Company relied on such waiver and did not provide the Agent with a certificate under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then before the Agent sells any Placement Shares, the Company shall provide the Agent with a certificate, in the form attached hereto as </w:t>
      </w:r>
      <w:r>
        <w:rPr>
          <w:rFonts w:ascii="Times New Roman" w:cs="Times New Roman" w:eastAsia="Times New Roman" w:hAnsi="Times New Roman"/>
          <w:sz w:val="22"/>
          <w:szCs w:val="22"/>
          <w:u w:val="single" w:color="auto"/>
          <w:color w:val="auto"/>
        </w:rPr>
        <w:t>Exhibit 7(1)</w:t>
      </w:r>
      <w:r>
        <w:rPr>
          <w:rFonts w:ascii="Times New Roman" w:cs="Times New Roman" w:eastAsia="Times New Roman" w:hAnsi="Times New Roman"/>
          <w:sz w:val="22"/>
          <w:szCs w:val="22"/>
          <w:color w:val="auto"/>
        </w:rPr>
        <w:t>, dated the date of the Placement Notice.</w:t>
      </w:r>
    </w:p>
    <w:p>
      <w:pPr>
        <w:spacing w:after="0" w:line="125" w:lineRule="exact"/>
        <w:rPr>
          <w:sz w:val="20"/>
          <w:szCs w:val="20"/>
          <w:color w:val="auto"/>
        </w:rPr>
      </w:pPr>
    </w:p>
    <w:p>
      <w:pPr>
        <w:jc w:val="both"/>
        <w:ind w:firstLine="1304"/>
        <w:spacing w:after="0" w:line="210" w:lineRule="auto"/>
        <w:tabs>
          <w:tab w:leader="none" w:pos="193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On or prior to the date of the first Placement Notice given hereunder the Company shall cause to be furnished to the Agent a written opinion and a negative assurance letter of Baker, Donelson, Bearman, Caldwell &amp; Berkowitz, PC (“</w:t>
      </w:r>
      <w:r>
        <w:rPr>
          <w:rFonts w:ascii="Times New Roman" w:cs="Times New Roman" w:eastAsia="Times New Roman" w:hAnsi="Times New Roman"/>
          <w:sz w:val="22"/>
          <w:szCs w:val="22"/>
          <w:u w:val="single" w:color="auto"/>
          <w:color w:val="auto"/>
        </w:rPr>
        <w:t>Company Counsel</w:t>
      </w:r>
      <w:r>
        <w:rPr>
          <w:rFonts w:ascii="Times New Roman" w:cs="Times New Roman" w:eastAsia="Times New Roman" w:hAnsi="Times New Roman"/>
          <w:sz w:val="22"/>
          <w:szCs w:val="22"/>
          <w:color w:val="auto"/>
        </w:rPr>
        <w:t>”), or other counsel reasonably satisfactory to the Agent, each in form and substance reasonably satisfactory to the Agent. Thereafter, within five (5) Trading Days of each Representation Date with respect to which the Company is obligated to deliver a certificate in the form attached hereto as Exhibit 7(l) for which no waiver is applicable, the Company shall cause to be furnished to the Agent a negative assurance letter of Company Counsel in form and substance reasonably satisfactory to the Agent; provided that, in lieu of such negative assurance for subsequent periodic filings under the Exchange Act, counsel may furnish the Agent with a letter (a “</w:t>
      </w:r>
      <w:r>
        <w:rPr>
          <w:rFonts w:ascii="Times New Roman" w:cs="Times New Roman" w:eastAsia="Times New Roman" w:hAnsi="Times New Roman"/>
          <w:sz w:val="22"/>
          <w:szCs w:val="22"/>
          <w:u w:val="single" w:color="auto"/>
          <w:color w:val="auto"/>
        </w:rPr>
        <w:t>Reliance Letter</w:t>
      </w:r>
      <w:r>
        <w:rPr>
          <w:rFonts w:ascii="Times New Roman" w:cs="Times New Roman" w:eastAsia="Times New Roman" w:hAnsi="Times New Roman"/>
          <w:sz w:val="22"/>
          <w:szCs w:val="22"/>
          <w:color w:val="auto"/>
        </w:rPr>
        <w:t>”) to the effect that the Agent may rely on the negative assurance letter previously delivered under this Section 7(m) to the same extent as if it were dated the date of such letter (except that statements in such prior letter shall be deemed to relate to the Registration Statement and the Prospectus as amended or supplemented as of the date of the Reliance Letter).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jc w:val="both"/>
        <w:ind w:firstLine="1304"/>
        <w:spacing w:after="0" w:line="217" w:lineRule="auto"/>
        <w:tabs>
          <w:tab w:leader="none" w:pos="1944"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Comfort Letter</w:t>
      </w:r>
      <w:r>
        <w:rPr>
          <w:rFonts w:ascii="Times New Roman" w:cs="Times New Roman" w:eastAsia="Times New Roman" w:hAnsi="Times New Roman"/>
          <w:sz w:val="21"/>
          <w:szCs w:val="21"/>
          <w:color w:val="auto"/>
        </w:rPr>
        <w:t>. On or prior to the date of the first Placement Notice given hereunder and within five (5) Trading Days after each subsequent Representation Date, other than pursuant to Section 7(l)(iii), the Company shall cause its independent accountants to furnish the Agent letters (the “</w:t>
      </w:r>
      <w:r>
        <w:rPr>
          <w:rFonts w:ascii="Times New Roman" w:cs="Times New Roman" w:eastAsia="Times New Roman" w:hAnsi="Times New Roman"/>
          <w:sz w:val="21"/>
          <w:szCs w:val="21"/>
          <w:u w:val="single" w:color="auto"/>
          <w:color w:val="auto"/>
        </w:rPr>
        <w:t>Comfort Letters</w:t>
      </w:r>
      <w:r>
        <w:rPr>
          <w:rFonts w:ascii="Times New Roman" w:cs="Times New Roman" w:eastAsia="Times New Roman" w:hAnsi="Times New Roman"/>
          <w:sz w:val="21"/>
          <w:szCs w:val="21"/>
          <w:color w:val="auto"/>
        </w:rPr>
        <w:t xml:space="preserve">”), dated the date the Comfort Letter is delivered, which shall meet the requirements set forth in this </w:t>
      </w:r>
      <w:r>
        <w:rPr>
          <w:rFonts w:ascii="Times New Roman" w:cs="Times New Roman" w:eastAsia="Times New Roman" w:hAnsi="Times New Roman"/>
          <w:sz w:val="21"/>
          <w:szCs w:val="21"/>
          <w:u w:val="single" w:color="auto"/>
          <w:color w:val="auto"/>
        </w:rPr>
        <w:t>Section 7(n)</w:t>
      </w:r>
      <w:r>
        <w:rPr>
          <w:rFonts w:ascii="Times New Roman" w:cs="Times New Roman" w:eastAsia="Times New Roman" w:hAnsi="Times New Roman"/>
          <w:sz w:val="21"/>
          <w:szCs w:val="21"/>
          <w:color w:val="auto"/>
        </w:rPr>
        <w:t xml:space="preserve">. The Comfort Letter from the Company’s independent accountants shall be in a form and substance reasonably satisfactory to the Agent, (i) confirming that they are an independent public accounting firm within the meaning of the Securities Act and the </w:t>
      </w:r>
      <w:r>
        <w:rPr>
          <w:rFonts w:ascii="Times New Roman" w:cs="Times New Roman" w:eastAsia="Times New Roman" w:hAnsi="Times New Roman"/>
          <w:sz w:val="21"/>
          <w:szCs w:val="21"/>
          <w:u w:val="single" w:color="auto"/>
          <w:color w:val="auto"/>
        </w:rPr>
        <w:t>PCAOB</w:t>
      </w:r>
      <w:r>
        <w:rPr>
          <w:rFonts w:ascii="Times New Roman" w:cs="Times New Roman" w:eastAsia="Times New Roman" w:hAnsi="Times New Roman"/>
          <w:sz w:val="21"/>
          <w:szCs w:val="21"/>
          <w:color w:val="auto"/>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21"/>
          <w:szCs w:val="21"/>
          <w:u w:val="single" w:color="auto"/>
          <w:color w:val="auto"/>
        </w:rPr>
        <w:t>Initial Comfort Letter</w:t>
      </w:r>
      <w:r>
        <w:rPr>
          <w:rFonts w:ascii="Times New Roman" w:cs="Times New Roman" w:eastAsia="Times New Roman" w:hAnsi="Times New Roman"/>
          <w:sz w:val="21"/>
          <w:szCs w:val="21"/>
          <w:color w:val="auto"/>
        </w:rPr>
        <w:t>”) and</w:t>
      </w:r>
    </w:p>
    <w:p>
      <w:pPr>
        <w:spacing w:after="0" w:line="5" w:lineRule="exact"/>
        <w:rPr>
          <w:rFonts w:ascii="Times New Roman" w:cs="Times New Roman" w:eastAsia="Times New Roman" w:hAnsi="Times New Roman"/>
          <w:sz w:val="21"/>
          <w:szCs w:val="21"/>
          <w:color w:val="auto"/>
        </w:rPr>
      </w:pPr>
    </w:p>
    <w:p>
      <w:pPr>
        <w:jc w:val="both"/>
        <w:ind w:firstLine="8"/>
        <w:spacing w:after="0" w:line="218" w:lineRule="auto"/>
        <w:tabs>
          <w:tab w:leader="none" w:pos="3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37"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directly or indirectly, (i) take any action designed to cause or result in, or that constitutes or would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w:t>
      </w:r>
    </w:p>
    <w:p>
      <w:pPr>
        <w:spacing w:after="0" w:line="12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the Subsidiaries will be or become, at any time prior to the termination of this Agreement, an “investment company,” as such term is defined in the Investment Company Act.</w:t>
      </w:r>
    </w:p>
    <w:p>
      <w:pPr>
        <w:spacing w:after="0" w:line="138"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xml:space="preserve">. Other than an Issuer Free Writing Prospectus approved in advance by the Company and the Agent in its capacity as agent hereunder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neither of the Agent nor the Company (including its agents and representatives, other than the Agent in its capacity as such) will make, use, prepare, authorize, approve or refer to any written communication (as defined in Rule 405), required to be filed with the Commission, that constitutes an offer to sell or solicitation of an offer to buy Placement Shares hereunder.</w:t>
      </w:r>
    </w:p>
    <w:p>
      <w:pPr>
        <w:spacing w:after="0" w:line="125"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23"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Sarbanes-Oxley Act</w:t>
      </w:r>
      <w:r>
        <w:rPr>
          <w:rFonts w:ascii="Times New Roman" w:cs="Times New Roman" w:eastAsia="Times New Roman" w:hAnsi="Times New Roman"/>
          <w:sz w:val="21"/>
          <w:szCs w:val="21"/>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disclosure controls and procedures that comply in all material respects with the requirements of the Exchange Act.</w:t>
      </w:r>
    </w:p>
    <w:p>
      <w:pPr>
        <w:spacing w:after="0" w:line="125"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Covenants of the Agent</w:t>
      </w:r>
      <w:r>
        <w:rPr>
          <w:rFonts w:ascii="Times New Roman" w:cs="Times New Roman" w:eastAsia="Times New Roman" w:hAnsi="Times New Roman"/>
          <w:sz w:val="22"/>
          <w:szCs w:val="22"/>
          <w:color w:val="auto"/>
        </w:rPr>
        <w:t>. The Agent represents and warrants that it is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The Agent shall continue, for the term of this Agreement, to be duly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registered as a broker-dealer under FINRA, the Exchange Act and the applicable statutes and regulations of each state in which the Placement Shares will be offered and sold, except such states in which it is exempt from registration or such registration is not otherwise required, during the term of this Agreement. The Agent shall comply with all applicable law and regulations in connection with the transactions contemplated by this Agreement, including, but not limited to, the issuance and sale through the Agent of the Placement Shares.</w:t>
      </w:r>
    </w:p>
    <w:p>
      <w:pPr>
        <w:spacing w:after="0" w:line="139" w:lineRule="exact"/>
        <w:rPr>
          <w:sz w:val="20"/>
          <w:szCs w:val="20"/>
          <w:color w:val="auto"/>
        </w:rPr>
      </w:pPr>
    </w:p>
    <w:p>
      <w:pPr>
        <w:jc w:val="both"/>
        <w:ind w:firstLine="656"/>
        <w:spacing w:after="0" w:line="209"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Expenses</w:t>
      </w:r>
      <w:r>
        <w:rPr>
          <w:rFonts w:ascii="Times New Roman" w:cs="Times New Roman" w:eastAsia="Times New Roman" w:hAnsi="Times New Roman"/>
          <w:sz w:val="22"/>
          <w:szCs w:val="22"/>
          <w:color w:val="auto"/>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Free Writing Prospectus, in such number as the Agent shall deem reasonably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reasonable and documented out-of-pocket fees and disbursements of counsel to the Agent, payable upon the execution of this Agreement, (x) not to exceed $45,000 in connection with the execution of this Agreement and (y) not to exceed $2,500 per calendar quarter thereafter in connection with updates at the time of Representation Dates;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p>
      <w:pPr>
        <w:spacing w:after="0" w:line="128" w:lineRule="exact"/>
        <w:rPr>
          <w:rFonts w:ascii="Times New Roman" w:cs="Times New Roman" w:eastAsia="Times New Roman" w:hAnsi="Times New Roman"/>
          <w:sz w:val="22"/>
          <w:szCs w:val="22"/>
          <w:color w:val="auto"/>
        </w:rPr>
      </w:pPr>
    </w:p>
    <w:p>
      <w:pPr>
        <w:jc w:val="both"/>
        <w:ind w:left="20" w:firstLine="636"/>
        <w:spacing w:after="0" w:line="215" w:lineRule="auto"/>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the Agent’s Obligations</w:t>
      </w:r>
      <w:r>
        <w:rPr>
          <w:rFonts w:ascii="Times New Roman" w:cs="Times New Roman" w:eastAsia="Times New Roman" w:hAnsi="Times New Roman"/>
          <w:sz w:val="22"/>
          <w:szCs w:val="22"/>
          <w:color w:val="auto"/>
        </w:rPr>
        <w:t>. The obligations of the Agent hereunder with respect to a Placement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the Agent of a due diligence review satisfactory to it in its reasonable judgment, and to the continuing reasonable satisfaction (or waiver by the Agent in its sole discretion) of the following additional conditions:</w:t>
      </w:r>
    </w:p>
    <w:p>
      <w:pPr>
        <w:spacing w:after="0" w:line="138"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remain effective and shall be available for the sale of all Placement Shares contemplated to be issued by any Placement Notice.</w:t>
      </w:r>
    </w:p>
    <w:p>
      <w:pPr>
        <w:spacing w:after="0" w:line="123"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Notices</w:t>
      </w:r>
      <w:r>
        <w:rPr>
          <w:rFonts w:ascii="Times New Roman" w:cs="Times New Roman" w:eastAsia="Times New Roman" w:hAnsi="Times New Roman"/>
          <w:sz w:val="21"/>
          <w:szCs w:val="21"/>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jurisdiction or receipt by the Company of notification of the initiation of, or a threat to initiate,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39" w:lineRule="exact"/>
        <w:rPr>
          <w:sz w:val="20"/>
          <w:szCs w:val="20"/>
          <w:color w:val="auto"/>
        </w:rPr>
      </w:pPr>
    </w:p>
    <w:p>
      <w:pPr>
        <w:jc w:val="both"/>
        <w:ind w:firstLine="1304"/>
        <w:spacing w:after="0" w:line="220"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25"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in the Prospectus, or disclosed in the Company’s reports filed with the Commission, there shall not have been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(a “</w:t>
      </w:r>
      <w:r>
        <w:rPr>
          <w:rFonts w:ascii="Times New Roman" w:cs="Times New Roman" w:eastAsia="Times New Roman" w:hAnsi="Times New Roman"/>
          <w:sz w:val="22"/>
          <w:szCs w:val="22"/>
          <w:u w:val="single" w:color="auto"/>
          <w:color w:val="auto"/>
        </w:rPr>
        <w:t>Rating Organization</w:t>
      </w:r>
      <w:r>
        <w:rPr>
          <w:rFonts w:ascii="Times New Roman" w:cs="Times New Roman" w:eastAsia="Times New Roman" w:hAnsi="Times New Roman"/>
          <w:sz w:val="22"/>
          <w:szCs w:val="22"/>
          <w:color w:val="auto"/>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3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Counsel Legal Opinion</w:t>
      </w:r>
      <w:r>
        <w:rPr>
          <w:rFonts w:ascii="Times New Roman" w:cs="Times New Roman" w:eastAsia="Times New Roman" w:hAnsi="Times New Roman"/>
          <w:sz w:val="22"/>
          <w:szCs w:val="22"/>
          <w:color w:val="auto"/>
        </w:rPr>
        <w:t xml:space="preserve">. The Agent shall have received the opinion and negative assurance letter of Company Counsel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such delivery of such opinion and negative assurance letter are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12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Counsel Legal Opinion</w:t>
      </w:r>
      <w:r>
        <w:rPr>
          <w:rFonts w:ascii="Times New Roman" w:cs="Times New Roman" w:eastAsia="Times New Roman" w:hAnsi="Times New Roman"/>
          <w:sz w:val="22"/>
          <w:szCs w:val="22"/>
          <w:color w:val="auto"/>
        </w:rPr>
        <w:t xml:space="preserve">. Agent shall have received from Duane Morris LLP, counsel for the Agent, such opinion or opinions, on or before the date on which the delivery of the Company Counsel legal opinion is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with respect to such matters as the Agent may reasonably require, and the Company shall have furnished to such counsel such documents as they request for enabling them to pass upon such matters.</w:t>
      </w:r>
    </w:p>
    <w:p>
      <w:pPr>
        <w:spacing w:after="0" w:line="125"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The Agent shall have received the Comfort Letter required to be delivered pursuant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on or before the date on which such delivery of such letter is required pursuant to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w:t>
      </w:r>
    </w:p>
    <w:p>
      <w:pPr>
        <w:spacing w:after="0" w:line="136"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Certificate</w:t>
      </w:r>
      <w:r>
        <w:rPr>
          <w:rFonts w:ascii="Times New Roman" w:cs="Times New Roman" w:eastAsia="Times New Roman" w:hAnsi="Times New Roman"/>
          <w:sz w:val="22"/>
          <w:szCs w:val="22"/>
          <w:color w:val="auto"/>
        </w:rPr>
        <w:t xml:space="preserve">. The Agent shall have received the certificate required to be delivered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2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On or prior to the first Representation Date, the Agent shall have received a certificate, signed on behalf of the Company by its corporate Secretary, in form and substance satisfactory to the Agent and its counsel.</w:t>
      </w:r>
    </w:p>
    <w:p>
      <w:pPr>
        <w:spacing w:after="0" w:line="138" w:lineRule="exact"/>
        <w:rPr>
          <w:rFonts w:ascii="Times New Roman" w:cs="Times New Roman" w:eastAsia="Times New Roman" w:hAnsi="Times New Roman"/>
          <w:sz w:val="22"/>
          <w:szCs w:val="22"/>
          <w:color w:val="auto"/>
        </w:rPr>
      </w:pPr>
    </w:p>
    <w:p>
      <w:pPr>
        <w:ind w:firstLine="1304"/>
        <w:spacing w:after="0" w:line="236" w:lineRule="auto"/>
        <w:tabs>
          <w:tab w:leader="none" w:pos="193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Common Stock shall not have been suspended on the Exchange and the Common Stock shall not have been delisted from the Exchange.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jc w:val="both"/>
        <w:ind w:firstLine="1304"/>
        <w:spacing w:after="0" w:line="217" w:lineRule="auto"/>
        <w:tabs>
          <w:tab w:leader="none" w:pos="19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the Company shall have furnished to the Agent such appropriate further information, certificates and documents as the Agent may reasonably request and which are usually and customarily furnished by an issuer of securities in connection with a securities offering of the type contemplated hereby. All such opinions, certificates, letters and other documents will be in compliance with the provisions hereof.</w:t>
      </w:r>
    </w:p>
    <w:p>
      <w:pPr>
        <w:spacing w:after="0" w:line="13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2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for Listing</w:t>
      </w:r>
      <w:r>
        <w:rPr>
          <w:rFonts w:ascii="Times New Roman" w:cs="Times New Roman" w:eastAsia="Times New Roman" w:hAnsi="Times New Roman"/>
          <w:sz w:val="22"/>
          <w:szCs w:val="22"/>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38"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the Agent to terminate this Agreement pursuant to </w:t>
      </w:r>
      <w:r>
        <w:rPr>
          <w:rFonts w:ascii="Times New Roman" w:cs="Times New Roman" w:eastAsia="Times New Roman" w:hAnsi="Times New Roman"/>
          <w:sz w:val="22"/>
          <w:szCs w:val="22"/>
          <w:u w:val="single" w:color="auto"/>
          <w:color w:val="auto"/>
        </w:rPr>
        <w:t>Section 13(a)</w:t>
      </w:r>
      <w:r>
        <w:rPr>
          <w:rFonts w:ascii="Times New Roman" w:cs="Times New Roman" w:eastAsia="Times New Roman" w:hAnsi="Times New Roman"/>
          <w:sz w:val="22"/>
          <w:szCs w:val="22"/>
          <w:color w:val="auto"/>
        </w:rPr>
        <w:t>.</w:t>
      </w:r>
    </w:p>
    <w:p>
      <w:pPr>
        <w:spacing w:after="0" w:line="12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304"/>
        <w:spacing w:after="0" w:line="225" w:lineRule="auto"/>
        <w:tabs>
          <w:tab w:leader="none" w:pos="184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Indemnification</w:t>
      </w:r>
      <w:r>
        <w:rPr>
          <w:rFonts w:ascii="Times New Roman" w:cs="Times New Roman" w:eastAsia="Times New Roman" w:hAnsi="Times New Roman"/>
          <w:sz w:val="22"/>
          <w:szCs w:val="22"/>
          <w:color w:val="auto"/>
        </w:rPr>
        <w:t>. The Company agrees to indemnify and hold harmless the Agent, its partners, members, directors, officers, employees and agents and each person, if any, who controls the Agent within the meaning of Section 15 of the Securities Act or Section 20 of the Exchange Act as follows:</w:t>
      </w:r>
    </w:p>
    <w:p>
      <w:pPr>
        <w:spacing w:after="0" w:line="152"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85"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56" w:lineRule="exact"/>
        <w:rPr>
          <w:rFonts w:ascii="Times New Roman" w:cs="Times New Roman" w:eastAsia="Times New Roman" w:hAnsi="Times New Roman"/>
          <w:sz w:val="21"/>
          <w:szCs w:val="21"/>
          <w:color w:val="auto"/>
        </w:rPr>
      </w:pPr>
    </w:p>
    <w:p>
      <w:pPr>
        <w:jc w:val="both"/>
        <w:ind w:firstLine="1952"/>
        <w:spacing w:after="0" w:line="217" w:lineRule="auto"/>
        <w:tabs>
          <w:tab w:leader="none" w:pos="2588"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22"/>
          <w:szCs w:val="22"/>
          <w:u w:val="single" w:color="auto"/>
          <w:color w:val="auto"/>
        </w:rPr>
        <w:t>Section 11(d)</w:t>
      </w:r>
      <w:r>
        <w:rPr>
          <w:rFonts w:ascii="Times New Roman" w:cs="Times New Roman" w:eastAsia="Times New Roman" w:hAnsi="Times New Roman"/>
          <w:sz w:val="22"/>
          <w:szCs w:val="22"/>
          <w:color w:val="auto"/>
        </w:rPr>
        <w:t xml:space="preserve"> below) any such settlement is effected with the written consent of the Company, which consent shall not unreasonably be delayed or withheld; and</w:t>
      </w:r>
    </w:p>
    <w:p>
      <w:pPr>
        <w:spacing w:after="0" w:line="152" w:lineRule="exact"/>
        <w:rPr>
          <w:rFonts w:ascii="Times New Roman" w:cs="Times New Roman" w:eastAsia="Times New Roman" w:hAnsi="Times New Roman"/>
          <w:sz w:val="21"/>
          <w:szCs w:val="21"/>
          <w:color w:val="auto"/>
        </w:rPr>
      </w:pPr>
    </w:p>
    <w:p>
      <w:pPr>
        <w:jc w:val="both"/>
        <w:ind w:firstLine="1952"/>
        <w:spacing w:after="0" w:line="217" w:lineRule="auto"/>
        <w:tabs>
          <w:tab w:leader="none" w:pos="2592"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against any and all expense whatsoever, as incurred (including the reasonable and documented out-of-pocket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this indemnity agreement shall not apply to any loss, liability, claim, damage or expense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arising out of any untrue statement or omission or alleged untrue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1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statement or omission made solely in reliance upon and in conformity with written information furnished to the Company by the Agent expressly for use in the Registration Statement (or any amendment thereto), or in any related Issuer Free Writing Prospectus or the Prospectus (or any amendment or supplement thereto).</w:t>
      </w:r>
    </w:p>
    <w:p>
      <w:pPr>
        <w:spacing w:after="0" w:line="193" w:lineRule="exact"/>
        <w:rPr>
          <w:sz w:val="20"/>
          <w:szCs w:val="20"/>
          <w:color w:val="auto"/>
        </w:rPr>
      </w:pPr>
    </w:p>
    <w:p>
      <w:pPr>
        <w:jc w:val="both"/>
        <w:ind w:firstLine="1304"/>
        <w:spacing w:after="0" w:line="212" w:lineRule="auto"/>
        <w:tabs>
          <w:tab w:leader="none" w:pos="189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Agent</w:t>
      </w:r>
      <w:r>
        <w:rPr>
          <w:rFonts w:ascii="Times New Roman" w:cs="Times New Roman" w:eastAsia="Times New Roman" w:hAnsi="Times New Roman"/>
          <w:sz w:val="22"/>
          <w:szCs w:val="22"/>
          <w:color w:val="auto"/>
        </w:rPr>
        <w:t xml:space="preserve">. The Agent agrees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as incurred, but only with respect to untrue statements or omissions, or alleged untrue statements or omissions, made in the Registration Statement (or any amendments thereto) or in any related Issuer Free Writing Prospectus or the Prospectus (or any amendment or supplement thereto) in reliance upon and in conformity with information relating to the Agent and furnished to the Company in writing by the Agent expressly for use therein.</w:t>
      </w:r>
    </w:p>
    <w:p>
      <w:pPr>
        <w:spacing w:after="0" w:line="21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6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 xml:space="preserve">. Any party that proposes to assert the right to be indemnified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and (ii) any liability that it may have to any indemnified party under the foregoing provisions of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 All such reasonable and documented out-of-pocket fees, disbursements and other charges will be reimbursed by the indemnifying party promptly after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1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97" w:lineRule="exact"/>
        <w:rPr>
          <w:sz w:val="20"/>
          <w:szCs w:val="20"/>
          <w:color w:val="auto"/>
        </w:rPr>
      </w:pPr>
    </w:p>
    <w:p>
      <w:pPr>
        <w:jc w:val="both"/>
        <w:ind w:firstLine="1304"/>
        <w:spacing w:after="0" w:line="216" w:lineRule="auto"/>
        <w:tabs>
          <w:tab w:leader="none" w:pos="19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w:t>
      </w:r>
      <w:r>
        <w:rPr>
          <w:rFonts w:ascii="Times New Roman" w:cs="Times New Roman" w:eastAsia="Times New Roman" w:hAnsi="Times New Roman"/>
          <w:sz w:val="21"/>
          <w:szCs w:val="21"/>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or the Exchange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cs="Times New Roman" w:eastAsia="Times New Roman" w:hAnsi="Times New Roman"/>
          <w:sz w:val="21"/>
          <w:szCs w:val="21"/>
          <w:u w:val="single" w:color="auto"/>
          <w:color w:val="auto"/>
        </w:rPr>
        <w:t>Section 11(d)</w:t>
      </w:r>
      <w:r>
        <w:rPr>
          <w:rFonts w:ascii="Times New Roman" w:cs="Times New Roman" w:eastAsia="Times New Roman" w:hAnsi="Times New Roman"/>
          <w:sz w:val="21"/>
          <w:szCs w:val="21"/>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1"/>
          <w:szCs w:val="21"/>
          <w:u w:val="single" w:color="auto"/>
          <w:color w:val="auto"/>
        </w:rPr>
        <w:t>Section 11(d)</w:t>
      </w:r>
      <w:r>
        <w:rPr>
          <w:rFonts w:ascii="Times New Roman" w:cs="Times New Roman" w:eastAsia="Times New Roman" w:hAnsi="Times New Roman"/>
          <w:sz w:val="21"/>
          <w:szCs w:val="21"/>
          <w:color w:val="auto"/>
        </w:rPr>
        <w:t xml:space="preserve"> shall be deemed to include, for the purpose of this </w:t>
      </w:r>
      <w:r>
        <w:rPr>
          <w:rFonts w:ascii="Times New Roman" w:cs="Times New Roman" w:eastAsia="Times New Roman" w:hAnsi="Times New Roman"/>
          <w:sz w:val="21"/>
          <w:szCs w:val="21"/>
          <w:u w:val="single" w:color="auto"/>
          <w:color w:val="auto"/>
        </w:rPr>
        <w:t>Section 11(d)</w:t>
      </w:r>
      <w:r>
        <w:rPr>
          <w:rFonts w:ascii="Times New Roman" w:cs="Times New Roman" w:eastAsia="Times New Roman" w:hAnsi="Times New Roman"/>
          <w:sz w:val="21"/>
          <w:szCs w:val="21"/>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21"/>
          <w:szCs w:val="21"/>
          <w:u w:val="single" w:color="auto"/>
          <w:color w:val="auto"/>
        </w:rPr>
        <w:t>Section 11(c)</w:t>
      </w:r>
      <w:r>
        <w:rPr>
          <w:rFonts w:ascii="Times New Roman" w:cs="Times New Roman" w:eastAsia="Times New Roman" w:hAnsi="Times New Roman"/>
          <w:sz w:val="21"/>
          <w:szCs w:val="21"/>
          <w:color w:val="auto"/>
        </w:rPr>
        <w:t xml:space="preserve"> hereof. Notwithstanding the foregoing provisions of this </w:t>
      </w:r>
      <w:r>
        <w:rPr>
          <w:rFonts w:ascii="Times New Roman" w:cs="Times New Roman" w:eastAsia="Times New Roman" w:hAnsi="Times New Roman"/>
          <w:sz w:val="21"/>
          <w:szCs w:val="21"/>
          <w:u w:val="single" w:color="auto"/>
          <w:color w:val="auto"/>
        </w:rPr>
        <w:t>Section 11(d)</w:t>
      </w:r>
      <w:r>
        <w:rPr>
          <w:rFonts w:ascii="Times New Roman" w:cs="Times New Roman" w:eastAsia="Times New Roman" w:hAnsi="Times New Roman"/>
          <w:sz w:val="21"/>
          <w:szCs w:val="21"/>
          <w:color w:val="auto"/>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21"/>
          <w:szCs w:val="21"/>
          <w:u w:val="single" w:color="auto"/>
          <w:color w:val="auto"/>
        </w:rPr>
        <w:t>Section 11(d)</w:t>
      </w:r>
      <w:r>
        <w:rPr>
          <w:rFonts w:ascii="Times New Roman" w:cs="Times New Roman" w:eastAsia="Times New Roman" w:hAnsi="Times New Roman"/>
          <w:sz w:val="21"/>
          <w:szCs w:val="21"/>
          <w:color w:val="auto"/>
        </w:rPr>
        <w:t>, any person who controls a party to this Agreement within the meaning of the Securities Act or the Exchange Act, and any officers, directors, partners, employees or agents of the Agent, will have the same rights to contribution as that party, 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11(d)</w:t>
      </w:r>
      <w:r>
        <w:rPr>
          <w:rFonts w:ascii="Times New Roman" w:cs="Times New Roman" w:eastAsia="Times New Roman" w:hAnsi="Times New Roman"/>
          <w:sz w:val="22"/>
          <w:szCs w:val="22"/>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11(d)</w:t>
      </w:r>
      <w:r>
        <w:rPr>
          <w:rFonts w:ascii="Times New Roman" w:cs="Times New Roman" w:eastAsia="Times New Roman" w:hAnsi="Times New Roman"/>
          <w:sz w:val="22"/>
          <w:szCs w:val="22"/>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hereof.</w:t>
      </w:r>
    </w:p>
    <w:p>
      <w:pPr>
        <w:spacing w:after="0" w:line="145" w:lineRule="exact"/>
        <w:rPr>
          <w:sz w:val="20"/>
          <w:szCs w:val="20"/>
          <w:color w:val="auto"/>
        </w:rPr>
      </w:pPr>
    </w:p>
    <w:p>
      <w:pPr>
        <w:jc w:val="both"/>
        <w:ind w:left="20" w:firstLine="636"/>
        <w:spacing w:after="0" w:line="217" w:lineRule="auto"/>
        <w:tabs>
          <w:tab w:leader="none" w:pos="13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The indemnity and contribution agreements contained in Section 11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2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may terminate this Agreement, by notice to the Company, as hereinafter specified at any time</w:t>
      </w:r>
    </w:p>
    <w:p>
      <w:pPr>
        <w:jc w:val="both"/>
        <w:ind w:firstLine="8"/>
        <w:spacing w:after="0" w:line="204" w:lineRule="auto"/>
        <w:tabs>
          <w:tab w:leader="none" w:pos="33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has been, since the time of execution of this Agreement or since the date as of which information is given in the Prospectus, any Material Adverse Effect, or any development that would have a Material Adverse Effect that,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w:t>
      </w:r>
    </w:p>
    <w:p>
      <w:pPr>
        <w:spacing w:after="0" w:line="11" w:lineRule="exact"/>
        <w:rPr>
          <w:rFonts w:ascii="Times New Roman" w:cs="Times New Roman" w:eastAsia="Times New Roman" w:hAnsi="Times New Roman"/>
          <w:sz w:val="22"/>
          <w:szCs w:val="22"/>
          <w:color w:val="auto"/>
        </w:rPr>
      </w:pPr>
    </w:p>
    <w:p>
      <w:pPr>
        <w:jc w:val="both"/>
        <w:ind w:firstLine="8"/>
        <w:spacing w:after="0" w:line="211" w:lineRule="auto"/>
        <w:tabs>
          <w:tab w:leader="none" w:pos="32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9 (Payment of Expenses),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(Governing Law and Time; Waiver of Jury Trial) and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(Consent to Jurisdiction) hereof shall remain in full force and effect notwithstanding such termination. If the Agent elects to terminate this Agreement as provided in this Section 13(a), the Agent shall provide the required notice as specified in Section 14 (Notices).</w:t>
      </w:r>
    </w:p>
    <w:p>
      <w:pPr>
        <w:spacing w:after="0" w:line="14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(Payment of Expenses),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(Governing Law and Time; Waiver of Jury Trial) and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(Consent to Jurisdiction) hereof shall remain in full force and effect notwithstanding such termination.</w:t>
      </w:r>
    </w:p>
    <w:p>
      <w:pPr>
        <w:spacing w:after="0" w:line="137" w:lineRule="exact"/>
        <w:rPr>
          <w:sz w:val="20"/>
          <w:szCs w:val="20"/>
          <w:color w:val="auto"/>
        </w:rPr>
      </w:pPr>
    </w:p>
    <w:p>
      <w:pPr>
        <w:jc w:val="both"/>
        <w:ind w:firstLine="1304"/>
        <w:spacing w:after="0" w:line="215" w:lineRule="auto"/>
        <w:tabs>
          <w:tab w:leader="none" w:pos="193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(Payment of Expenses),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(Governing Law and Time; Waiver of Jury Trial) and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(Consent to Jurisdiction) hereof shall remain in full force and effect notwithstanding such termination.</w:t>
      </w:r>
    </w:p>
    <w:p>
      <w:pPr>
        <w:spacing w:after="0" w:line="125"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earlier terminated pursuant to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this Agreement shall automatically terminate upon the issuance and sale of all of the Placement Shares through the Agent on the terms and subject to the conditions set forth herein except that the provisions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(Payment of Expenses),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(Governing Law and Time; Waiver of Jury Trial) and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19</w:t>
      </w:r>
      <w:r>
        <w:rPr>
          <w:rFonts w:ascii="Times New Roman" w:cs="Times New Roman" w:eastAsia="Times New Roman" w:hAnsi="Times New Roman"/>
          <w:sz w:val="22"/>
          <w:szCs w:val="22"/>
          <w:color w:val="auto"/>
        </w:rPr>
        <w:t xml:space="preserve"> (Consent to Jurisdiction) hereof shall remain in full force and effect notwithstanding such termination.</w:t>
      </w:r>
    </w:p>
    <w:p>
      <w:pPr>
        <w:spacing w:after="0" w:line="138"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 13(a)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or otherwise by mutual agreement of the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any such termination by mutual agreement shall in all cases be deemed to provide that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(Payment of Expenses),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(Governing Law and Time; Waiver of Jury Trial) and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(Consent to Jurisdiction) shall remain in full force and effect. Upon termination of this Agreement, the Company shall not have any liability to the Agent for any discount, commission or other compensation with respect to any Placement Shares not otherwise sold by the Agent under this Agreement.</w:t>
      </w:r>
    </w:p>
    <w:p>
      <w:pPr>
        <w:spacing w:after="0" w:line="12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termination shall not be effective until the close of business on the date of receipt of such notice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Agent or the Company, as the case may be. If such termination shall occur prior to the Settlement Date for any sale of Placement Shares, such Placement Shares shall settle in accordance with the provisions of this Agreement.</w:t>
      </w:r>
    </w:p>
    <w:p>
      <w:pPr>
        <w:spacing w:after="0" w:line="125" w:lineRule="exact"/>
        <w:rPr>
          <w:rFonts w:ascii="Times New Roman" w:cs="Times New Roman" w:eastAsia="Times New Roman" w:hAnsi="Times New Roman"/>
          <w:sz w:val="22"/>
          <w:szCs w:val="22"/>
          <w:color w:val="auto"/>
        </w:rPr>
      </w:pPr>
    </w:p>
    <w:p>
      <w:pPr>
        <w:jc w:val="both"/>
        <w:ind w:left="20" w:firstLine="636"/>
        <w:spacing w:after="0" w:line="225" w:lineRule="auto"/>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H.C. Wainwright &amp; Co., LLC</w:t>
      </w:r>
    </w:p>
    <w:p>
      <w:pPr>
        <w:ind w:left="1300"/>
        <w:spacing w:after="0" w:line="204" w:lineRule="auto"/>
        <w:rPr>
          <w:sz w:val="20"/>
          <w:szCs w:val="20"/>
          <w:color w:val="auto"/>
        </w:rPr>
      </w:pPr>
      <w:r>
        <w:rPr>
          <w:rFonts w:ascii="Times New Roman" w:cs="Times New Roman" w:eastAsia="Times New Roman" w:hAnsi="Times New Roman"/>
          <w:sz w:val="22"/>
          <w:szCs w:val="22"/>
          <w:color w:val="auto"/>
        </w:rPr>
        <w:t>430 Park Avenue</w:t>
      </w:r>
    </w:p>
    <w:p>
      <w:pPr>
        <w:ind w:left="1300"/>
        <w:spacing w:after="0" w:line="205" w:lineRule="auto"/>
        <w:rPr>
          <w:sz w:val="20"/>
          <w:szCs w:val="20"/>
          <w:color w:val="auto"/>
        </w:rPr>
      </w:pPr>
      <w:r>
        <w:rPr>
          <w:rFonts w:ascii="Times New Roman" w:cs="Times New Roman" w:eastAsia="Times New Roman" w:hAnsi="Times New Roman"/>
          <w:sz w:val="22"/>
          <w:szCs w:val="22"/>
          <w:color w:val="auto"/>
        </w:rPr>
        <w:t>New York, NY 10022</w:t>
      </w:r>
    </w:p>
    <w:p>
      <w:pPr>
        <w:ind w:left="1300"/>
        <w:spacing w:after="0" w:line="205" w:lineRule="auto"/>
        <w:rPr>
          <w:sz w:val="20"/>
          <w:szCs w:val="20"/>
          <w:color w:val="auto"/>
        </w:rPr>
      </w:pPr>
      <w:r>
        <w:rPr>
          <w:rFonts w:ascii="Times New Roman" w:cs="Times New Roman" w:eastAsia="Times New Roman" w:hAnsi="Times New Roman"/>
          <w:sz w:val="22"/>
          <w:szCs w:val="22"/>
          <w:color w:val="auto"/>
        </w:rPr>
        <w:t>Attention: Head of Investment Banking</w:t>
      </w:r>
    </w:p>
    <w:p>
      <w:pPr>
        <w:spacing w:after="0" w:line="1"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22"/>
          <w:szCs w:val="22"/>
          <w:color w:val="auto"/>
        </w:rPr>
        <w:t>Email:</w:t>
        <w:tab/>
        <w:t>atm@hcwco.com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Duane Morris LLP</w:t>
      </w:r>
    </w:p>
    <w:p>
      <w:pPr>
        <w:ind w:left="1300"/>
        <w:spacing w:after="0" w:line="204" w:lineRule="auto"/>
        <w:rPr>
          <w:sz w:val="20"/>
          <w:szCs w:val="20"/>
          <w:color w:val="auto"/>
        </w:rPr>
      </w:pPr>
      <w:r>
        <w:rPr>
          <w:rFonts w:ascii="Times New Roman" w:cs="Times New Roman" w:eastAsia="Times New Roman" w:hAnsi="Times New Roman"/>
          <w:sz w:val="22"/>
          <w:szCs w:val="22"/>
          <w:color w:val="auto"/>
        </w:rPr>
        <w:t>1540 Broadway</w:t>
      </w:r>
    </w:p>
    <w:p>
      <w:pPr>
        <w:ind w:left="1300"/>
        <w:spacing w:after="0" w:line="205" w:lineRule="auto"/>
        <w:rPr>
          <w:sz w:val="20"/>
          <w:szCs w:val="20"/>
          <w:color w:val="auto"/>
        </w:rPr>
      </w:pPr>
      <w:r>
        <w:rPr>
          <w:rFonts w:ascii="Times New Roman" w:cs="Times New Roman" w:eastAsia="Times New Roman" w:hAnsi="Times New Roman"/>
          <w:sz w:val="22"/>
          <w:szCs w:val="22"/>
          <w:color w:val="auto"/>
        </w:rPr>
        <w:t>New York, NY 10036</w:t>
      </w:r>
    </w:p>
    <w:p>
      <w:pPr>
        <w:ind w:left="1300"/>
        <w:spacing w:after="0" w:line="205" w:lineRule="auto"/>
        <w:tabs>
          <w:tab w:leader="none" w:pos="2440" w:val="left"/>
        </w:tabs>
        <w:rPr>
          <w:sz w:val="20"/>
          <w:szCs w:val="20"/>
          <w:color w:val="auto"/>
        </w:rPr>
      </w:pPr>
      <w:r>
        <w:rPr>
          <w:rFonts w:ascii="Times New Roman" w:cs="Times New Roman" w:eastAsia="Times New Roman" w:hAnsi="Times New Roman"/>
          <w:sz w:val="22"/>
          <w:szCs w:val="22"/>
          <w:color w:val="auto"/>
        </w:rPr>
        <w:t>Attention:</w:t>
        <w:tab/>
        <w:t>James T. Seery</w:t>
      </w:r>
    </w:p>
    <w:p>
      <w:pPr>
        <w:ind w:left="1300"/>
        <w:spacing w:after="0" w:line="205" w:lineRule="auto"/>
        <w:tabs>
          <w:tab w:leader="none" w:pos="2520" w:val="left"/>
        </w:tabs>
        <w:rPr>
          <w:sz w:val="20"/>
          <w:szCs w:val="20"/>
          <w:color w:val="auto"/>
        </w:rPr>
      </w:pPr>
      <w:r>
        <w:rPr>
          <w:rFonts w:ascii="Times New Roman" w:cs="Times New Roman" w:eastAsia="Times New Roman" w:hAnsi="Times New Roman"/>
          <w:sz w:val="22"/>
          <w:szCs w:val="22"/>
          <w:color w:val="auto"/>
        </w:rPr>
        <w:t>Telephone:</w:t>
        <w:tab/>
        <w:t>(973) 424-2088</w:t>
      </w:r>
    </w:p>
    <w:p>
      <w:pPr>
        <w:spacing w:after="0" w:line="1"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22"/>
          <w:szCs w:val="22"/>
          <w:color w:val="auto"/>
        </w:rPr>
        <w:t>Email:</w:t>
        <w:tab/>
        <w:t>jtseery@duanemorris.com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if to the Company, shall be delivered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Cumberland Pharmaceuticals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1600 West End Avenue, Suite 1300</w:t>
      </w:r>
    </w:p>
    <w:p>
      <w:pPr>
        <w:ind w:left="1300"/>
        <w:spacing w:after="0" w:line="205" w:lineRule="auto"/>
        <w:rPr>
          <w:sz w:val="20"/>
          <w:szCs w:val="20"/>
          <w:color w:val="auto"/>
        </w:rPr>
      </w:pPr>
      <w:r>
        <w:rPr>
          <w:rFonts w:ascii="Times New Roman" w:cs="Times New Roman" w:eastAsia="Times New Roman" w:hAnsi="Times New Roman"/>
          <w:sz w:val="22"/>
          <w:szCs w:val="22"/>
          <w:color w:val="auto"/>
        </w:rPr>
        <w:t>Nashville, TN 37203</w:t>
      </w:r>
    </w:p>
    <w:p>
      <w:pPr>
        <w:ind w:left="1300"/>
        <w:spacing w:after="0" w:line="205" w:lineRule="auto"/>
        <w:tabs>
          <w:tab w:leader="none" w:pos="2420" w:val="left"/>
        </w:tabs>
        <w:rPr>
          <w:sz w:val="20"/>
          <w:szCs w:val="20"/>
          <w:color w:val="auto"/>
        </w:rPr>
      </w:pPr>
      <w:r>
        <w:rPr>
          <w:rFonts w:ascii="Times New Roman" w:cs="Times New Roman" w:eastAsia="Times New Roman" w:hAnsi="Times New Roman"/>
          <w:sz w:val="22"/>
          <w:szCs w:val="22"/>
          <w:color w:val="auto"/>
        </w:rPr>
        <w:t>Attention:</w:t>
        <w:tab/>
        <w:t>John Hamm</w:t>
      </w:r>
    </w:p>
    <w:p>
      <w:pPr>
        <w:ind w:left="1300"/>
        <w:spacing w:after="0" w:line="205" w:lineRule="auto"/>
        <w:tabs>
          <w:tab w:leader="none" w:pos="2520" w:val="left"/>
        </w:tabs>
        <w:rPr>
          <w:sz w:val="20"/>
          <w:szCs w:val="20"/>
          <w:color w:val="auto"/>
        </w:rPr>
      </w:pPr>
      <w:r>
        <w:rPr>
          <w:rFonts w:ascii="Times New Roman" w:cs="Times New Roman" w:eastAsia="Times New Roman" w:hAnsi="Times New Roman"/>
          <w:sz w:val="22"/>
          <w:szCs w:val="22"/>
          <w:color w:val="auto"/>
        </w:rPr>
        <w:t>Telephone:</w:t>
        <w:tab/>
        <w:t>(615) 225-0058</w:t>
      </w:r>
    </w:p>
    <w:p>
      <w:pPr>
        <w:spacing w:after="0" w:line="1"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jhamm@cumberlandpharma.com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Baker, Donelson, Bearman, Caldwell &amp; Berkowitz, PC</w:t>
      </w:r>
    </w:p>
    <w:p>
      <w:pPr>
        <w:ind w:left="1300"/>
        <w:spacing w:after="0" w:line="204" w:lineRule="auto"/>
        <w:rPr>
          <w:sz w:val="20"/>
          <w:szCs w:val="20"/>
          <w:color w:val="auto"/>
        </w:rPr>
      </w:pPr>
      <w:r>
        <w:rPr>
          <w:rFonts w:ascii="Times New Roman" w:cs="Times New Roman" w:eastAsia="Times New Roman" w:hAnsi="Times New Roman"/>
          <w:sz w:val="22"/>
          <w:szCs w:val="22"/>
          <w:color w:val="auto"/>
        </w:rPr>
        <w:t>1600 West End Avenue, Suite 2000</w:t>
      </w:r>
    </w:p>
    <w:p>
      <w:pPr>
        <w:ind w:left="1300"/>
        <w:spacing w:after="0" w:line="205" w:lineRule="auto"/>
        <w:rPr>
          <w:sz w:val="20"/>
          <w:szCs w:val="20"/>
          <w:color w:val="auto"/>
        </w:rPr>
      </w:pPr>
      <w:r>
        <w:rPr>
          <w:rFonts w:ascii="Times New Roman" w:cs="Times New Roman" w:eastAsia="Times New Roman" w:hAnsi="Times New Roman"/>
          <w:sz w:val="22"/>
          <w:szCs w:val="22"/>
          <w:color w:val="auto"/>
        </w:rPr>
        <w:t>Nashville, TN 37203</w:t>
      </w:r>
    </w:p>
    <w:p>
      <w:pPr>
        <w:ind w:left="1300"/>
        <w:spacing w:after="0" w:line="215" w:lineRule="auto"/>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Tonya Mitchem Grindon</w:t>
      </w:r>
    </w:p>
    <w:p>
      <w:pPr>
        <w:ind w:left="1300"/>
        <w:spacing w:after="0" w:line="205" w:lineRule="auto"/>
        <w:tabs>
          <w:tab w:leader="none" w:pos="2520" w:val="left"/>
        </w:tabs>
        <w:rPr>
          <w:sz w:val="20"/>
          <w:szCs w:val="20"/>
          <w:color w:val="auto"/>
        </w:rPr>
      </w:pPr>
      <w:r>
        <w:rPr>
          <w:rFonts w:ascii="Times New Roman" w:cs="Times New Roman" w:eastAsia="Times New Roman" w:hAnsi="Times New Roman"/>
          <w:sz w:val="22"/>
          <w:szCs w:val="22"/>
          <w:color w:val="auto"/>
        </w:rPr>
        <w:t>Telephone:</w:t>
        <w:tab/>
        <w:t>(615) 726-5607</w:t>
      </w:r>
    </w:p>
    <w:p>
      <w:pPr>
        <w:ind w:left="1300"/>
        <w:spacing w:after="0"/>
        <w:tabs>
          <w:tab w:leader="none" w:pos="23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tgrindon@bakerdonelson.com</w:t>
      </w:r>
    </w:p>
    <w:p>
      <w:pPr>
        <w:spacing w:after="0" w:line="200" w:lineRule="exact"/>
        <w:rPr>
          <w:sz w:val="20"/>
          <w:szCs w:val="20"/>
          <w:color w:val="auto"/>
        </w:rPr>
      </w:pPr>
    </w:p>
    <w:p>
      <w:pPr>
        <w:spacing w:after="0" w:line="21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Each party to this Agreement may change such address for notices by sending to the parties to this Agreement written notice of a new address for such purpose. Each such notice or other communication shall be deemed given (i) when delivered personally, by email, or by verifiable facsimile transmission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on which the Exchange and commercial banks in the City of New York are open for business.</w:t>
      </w:r>
    </w:p>
    <w:p>
      <w:pPr>
        <w:spacing w:after="0" w:line="143" w:lineRule="exact"/>
        <w:rPr>
          <w:sz w:val="20"/>
          <w:szCs w:val="20"/>
          <w:color w:val="auto"/>
        </w:rPr>
      </w:pPr>
    </w:p>
    <w:p>
      <w:pPr>
        <w:jc w:val="both"/>
        <w:ind w:left="20" w:firstLine="636"/>
        <w:spacing w:after="0" w:line="213" w:lineRule="auto"/>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the Agent and their respective successors and the affiliates, controlling persons, officers and directors referred to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the Agent may assign its rights or obligations under this Agreement without the prior written consent of the other party.</w:t>
      </w:r>
    </w:p>
    <w:p>
      <w:pPr>
        <w:spacing w:after="0" w:line="129" w:lineRule="exact"/>
        <w:rPr>
          <w:rFonts w:ascii="Times New Roman" w:cs="Times New Roman" w:eastAsia="Times New Roman" w:hAnsi="Times New Roman"/>
          <w:sz w:val="22"/>
          <w:szCs w:val="22"/>
          <w:color w:val="auto"/>
        </w:rPr>
      </w:pPr>
    </w:p>
    <w:p>
      <w:pPr>
        <w:jc w:val="both"/>
        <w:ind w:left="20" w:firstLine="636"/>
        <w:spacing w:after="0" w:line="225" w:lineRule="auto"/>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Stock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share consolidation, stock split, stock dividend, corporate domestication or similar event effected with respect to the Placement Shares.</w:t>
      </w:r>
    </w:p>
    <w:p>
      <w:pPr>
        <w:spacing w:after="0" w:line="125" w:lineRule="exact"/>
        <w:rPr>
          <w:rFonts w:ascii="Times New Roman" w:cs="Times New Roman" w:eastAsia="Times New Roman" w:hAnsi="Times New Roman"/>
          <w:sz w:val="22"/>
          <w:szCs w:val="22"/>
          <w:color w:val="auto"/>
        </w:rPr>
      </w:pPr>
    </w:p>
    <w:p>
      <w:pPr>
        <w:jc w:val="both"/>
        <w:ind w:left="20" w:firstLine="717"/>
        <w:spacing w:after="0" w:line="212" w:lineRule="auto"/>
        <w:tabs>
          <w:tab w:leader="none" w:pos="130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 Severability</w:t>
      </w:r>
      <w:r>
        <w:rPr>
          <w:rFonts w:ascii="Times New Roman" w:cs="Times New Roman" w:eastAsia="Times New Roman" w:hAnsi="Times New Roman"/>
          <w:sz w:val="22"/>
          <w:szCs w:val="22"/>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21" w:lineRule="exact"/>
        <w:rPr>
          <w:sz w:val="20"/>
          <w:szCs w:val="20"/>
          <w:color w:val="auto"/>
        </w:rPr>
      </w:pPr>
    </w:p>
    <w:p>
      <w:pPr>
        <w:jc w:val="both"/>
        <w:ind w:firstLine="636"/>
        <w:spacing w:after="0" w:line="225" w:lineRule="auto"/>
        <w:tabs>
          <w:tab w:leader="none" w:pos="12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TIME; WAIVER OF JURY TRIAL</w:t>
      </w:r>
      <w:r>
        <w:rPr>
          <w:rFonts w:ascii="Times New Roman" w:cs="Times New Roman" w:eastAsia="Times New Roman" w:hAnsi="Times New Roman"/>
          <w:sz w:val="21"/>
          <w:szCs w:val="21"/>
          <w:color w:val="auto"/>
        </w:rPr>
        <w:t>. THIS AGREEMENT SHALL BE GOVERNED BY AND CONSTRUED IN ACCORDANCE WITH THE LAWS OF THE STATE OF NEW YORK WITHOUT REGARD TO THE PRINCIPLES OF CONFLICTS OF LAWS. SPECIFIED TIMES OF DAY REFER TO NEW YORK CITY TIME. THE COMPANY AND THE AGENT EACH HEREBY IRREVOCABLY WAIVES, TO THE FULLEST EXTENT PERMITTED BY APPLICABLE LAW, ANY AND ALL RIGHT TO TRIAL BY JURY IN ANY LEGAL PROCEEDING ARISING OUT OF OR RELATING TO THIS AGREEMENT OR THE TRANSACTIONS CONTEMPLATED HEREBY.</w:t>
      </w:r>
    </w:p>
    <w:p>
      <w:pPr>
        <w:spacing w:after="0" w:line="126" w:lineRule="exact"/>
        <w:rPr>
          <w:rFonts w:ascii="Times New Roman" w:cs="Times New Roman" w:eastAsia="Times New Roman" w:hAnsi="Times New Roman"/>
          <w:sz w:val="21"/>
          <w:szCs w:val="21"/>
          <w:color w:val="auto"/>
        </w:rPr>
      </w:pPr>
    </w:p>
    <w:p>
      <w:pPr>
        <w:jc w:val="both"/>
        <w:ind w:firstLine="636"/>
        <w:spacing w:after="0" w:line="219" w:lineRule="auto"/>
        <w:tabs>
          <w:tab w:leader="none" w:pos="12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JURISDICTION</w:t>
      </w:r>
      <w:r>
        <w:rPr>
          <w:rFonts w:ascii="Times New Roman" w:cs="Times New Roman" w:eastAsia="Times New Roman" w:hAnsi="Times New Roman"/>
          <w:sz w:val="21"/>
          <w:szCs w:val="2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45" w:lineRule="exact"/>
        <w:rPr>
          <w:rFonts w:ascii="Times New Roman" w:cs="Times New Roman" w:eastAsia="Times New Roman" w:hAnsi="Times New Roman"/>
          <w:sz w:val="21"/>
          <w:szCs w:val="21"/>
          <w:color w:val="auto"/>
        </w:rPr>
      </w:pPr>
    </w:p>
    <w:p>
      <w:pPr>
        <w:jc w:val="both"/>
        <w:ind w:firstLine="636"/>
        <w:spacing w:after="0" w:line="225" w:lineRule="auto"/>
        <w:tabs>
          <w:tab w:leader="none" w:pos="12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Information</w:t>
      </w:r>
      <w:r>
        <w:rPr>
          <w:rFonts w:ascii="Times New Roman" w:cs="Times New Roman" w:eastAsia="Times New Roman" w:hAnsi="Times New Roman"/>
          <w:sz w:val="22"/>
          <w:szCs w:val="22"/>
          <w:color w:val="auto"/>
        </w:rPr>
        <w:t>. The Agent may not use any information gained in connection with this Agreement and the transactions contemplated by this Agreement, including due diligence, to advise any party with respect to transactions not expressly approved by the Company.</w:t>
      </w:r>
    </w:p>
    <w:p>
      <w:pPr>
        <w:spacing w:after="0" w:line="125" w:lineRule="exact"/>
        <w:rPr>
          <w:rFonts w:ascii="Times New Roman" w:cs="Times New Roman" w:eastAsia="Times New Roman" w:hAnsi="Times New Roman"/>
          <w:sz w:val="22"/>
          <w:szCs w:val="22"/>
          <w:color w:val="auto"/>
        </w:rPr>
      </w:pPr>
    </w:p>
    <w:p>
      <w:pPr>
        <w:jc w:val="both"/>
        <w:ind w:firstLine="636"/>
        <w:spacing w:after="0" w:line="225" w:lineRule="auto"/>
        <w:tabs>
          <w:tab w:leader="none" w:pos="12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of a .pdf attachment.</w:t>
      </w:r>
    </w:p>
    <w:p>
      <w:pPr>
        <w:spacing w:after="0" w:line="125" w:lineRule="exact"/>
        <w:rPr>
          <w:rFonts w:ascii="Times New Roman" w:cs="Times New Roman" w:eastAsia="Times New Roman" w:hAnsi="Times New Roman"/>
          <w:sz w:val="22"/>
          <w:szCs w:val="22"/>
          <w:color w:val="auto"/>
        </w:rPr>
      </w:pPr>
    </w:p>
    <w:p>
      <w:pPr>
        <w:ind w:firstLine="636"/>
        <w:spacing w:after="0" w:line="236" w:lineRule="auto"/>
        <w:tabs>
          <w:tab w:leader="none" w:pos="12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Schedule and Exhibit headings herein are for convenience only and shall not affect the construction hereof.</w:t>
      </w:r>
    </w:p>
    <w:p>
      <w:pPr>
        <w:spacing w:after="0" w:line="136" w:lineRule="exact"/>
        <w:rPr>
          <w:rFonts w:ascii="Times New Roman" w:cs="Times New Roman" w:eastAsia="Times New Roman" w:hAnsi="Times New Roman"/>
          <w:sz w:val="22"/>
          <w:szCs w:val="22"/>
          <w:color w:val="auto"/>
        </w:rPr>
      </w:pPr>
    </w:p>
    <w:p>
      <w:pPr>
        <w:jc w:val="both"/>
        <w:ind w:firstLine="636"/>
        <w:spacing w:after="0" w:line="213" w:lineRule="auto"/>
        <w:tabs>
          <w:tab w:leader="none" w:pos="12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Free Writing Prospectuses</w:t>
      </w:r>
      <w:r>
        <w:rPr>
          <w:rFonts w:ascii="Times New Roman" w:cs="Times New Roman" w:eastAsia="Times New Roman" w:hAnsi="Times New Roman"/>
          <w:sz w:val="22"/>
          <w:szCs w:val="22"/>
          <w:color w:val="auto"/>
        </w:rPr>
        <w:t>. The Company represents, warrants and agrees that, unless it obtains the prior consent of the Agent, and the Agent represents, warrants and agrees that, unless it obtains the prior consent of the Company which shall not be unreasonably withheld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20"/>
          </w:cols>
          <w:pgMar w:left="340" w:top="1440" w:right="339" w:bottom="1440" w:gutter="0" w:footer="0" w:header="0"/>
        </w:sectPr>
      </w:pPr>
    </w:p>
    <w:bookmarkStart w:id="34" w:name="page35"/>
    <w:bookmarkEnd w:id="34"/>
    <w:p>
      <w:pPr>
        <w:spacing w:after="0" w:line="144" w:lineRule="exact"/>
        <w:rPr>
          <w:sz w:val="20"/>
          <w:szCs w:val="20"/>
          <w:color w:val="auto"/>
        </w:rPr>
      </w:pPr>
    </w:p>
    <w:p>
      <w:pPr>
        <w:jc w:val="both"/>
        <w:ind w:left="20"/>
        <w:spacing w:after="0" w:line="220" w:lineRule="auto"/>
        <w:rPr>
          <w:sz w:val="20"/>
          <w:szCs w:val="20"/>
          <w:color w:val="auto"/>
        </w:rPr>
      </w:pPr>
      <w:r>
        <w:rPr>
          <w:rFonts w:ascii="Times New Roman" w:cs="Times New Roman" w:eastAsia="Times New Roman" w:hAnsi="Times New Roman"/>
          <w:sz w:val="22"/>
          <w:szCs w:val="22"/>
          <w:color w:val="auto"/>
        </w:rPr>
        <w:t xml:space="preserve">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22"/>
          <w:szCs w:val="22"/>
          <w:u w:val="single" w:color="auto"/>
          <w:color w:val="auto"/>
        </w:rPr>
        <w:t>Exhibit 23</w:t>
      </w:r>
      <w:r>
        <w:rPr>
          <w:rFonts w:ascii="Times New Roman" w:cs="Times New Roman" w:eastAsia="Times New Roman" w:hAnsi="Times New Roman"/>
          <w:sz w:val="22"/>
          <w:szCs w:val="22"/>
          <w:color w:val="auto"/>
        </w:rPr>
        <w:t xml:space="preserve"> hereto are Permitted Free Writing Prospectuses.</w:t>
      </w:r>
    </w:p>
    <w:p>
      <w:pPr>
        <w:spacing w:after="0" w:line="139"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color w:val="auto"/>
        </w:rPr>
        <w:t>. The Company acknowledges and agrees that: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4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capable of evaluating and understanding, and understands and accepts, the terms, risks and conditions of the transactions contemplated by this Agreement;</w:t>
      </w:r>
    </w:p>
    <w:p>
      <w:pPr>
        <w:spacing w:after="0" w:line="12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2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aware that the Agent and its affiliates are engaged in a broad range of transactions which may involve interests that differ from those of the Company and the Agent has no obligation to disclose such interests and transactions to the Company by virtue of any fiduciary, advisory or agency relationship or otherwise; and</w:t>
      </w:r>
    </w:p>
    <w:p>
      <w:pPr>
        <w:spacing w:after="0" w:line="13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waives, to the fullest extent permitted by law, any claims it may have against the Agent for breach of fiduciary duty or alleged breach of fiduciary duty in connection with the sale of Placement Shares under this Agreement and agrees that the Agent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its counsel confidential to the extent not otherwise publicly-available.</w:t>
      </w:r>
    </w:p>
    <w:p>
      <w:pPr>
        <w:spacing w:after="0" w:line="12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Agreement, the following terms have the respective meanings set forth below:</w:t>
      </w:r>
    </w:p>
    <w:p>
      <w:pPr>
        <w:spacing w:after="0" w:line="19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Time</w:t>
      </w:r>
      <w:r>
        <w:rPr>
          <w:rFonts w:ascii="Times New Roman" w:cs="Times New Roman" w:eastAsia="Times New Roman" w:hAnsi="Times New Roman"/>
          <w:sz w:val="22"/>
          <w:szCs w:val="22"/>
          <w:color w:val="auto"/>
        </w:rPr>
        <w:t>” means (i) each Representation Date and (ii) the time of each sale of any Placement Shares pursuant to this Agreement.</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Free Writing Prospectus</w:t>
      </w:r>
      <w:r>
        <w:rPr>
          <w:rFonts w:ascii="Times New Roman" w:cs="Times New Roman" w:eastAsia="Times New Roman" w:hAnsi="Times New Roman"/>
          <w:sz w:val="22"/>
          <w:szCs w:val="22"/>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172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Rule 405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Rule 415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Rule 424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Rule 424(b)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Rule 430B</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Rule 433</w:t>
      </w:r>
      <w:r>
        <w:rPr>
          <w:rFonts w:ascii="Times New Roman" w:cs="Times New Roman" w:eastAsia="Times New Roman" w:hAnsi="Times New Roman"/>
          <w:sz w:val="22"/>
          <w:szCs w:val="22"/>
          <w:color w:val="auto"/>
        </w:rPr>
        <w:t>” refer to such rules under the Securities Act.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21"/>
          <w:szCs w:val="21"/>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8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60"/>
        <w:spacing w:after="0"/>
        <w:tabs>
          <w:tab w:leader="none" w:pos="4720" w:val="left"/>
        </w:tabs>
        <w:rPr>
          <w:sz w:val="20"/>
          <w:szCs w:val="20"/>
          <w:color w:val="auto"/>
        </w:rPr>
      </w:pPr>
      <w:r>
        <w:rPr>
          <w:rFonts w:ascii="Times New Roman" w:cs="Times New Roman" w:eastAsia="Times New Roman" w:hAnsi="Times New Roman"/>
          <w:sz w:val="22"/>
          <w:szCs w:val="22"/>
          <w:color w:val="auto"/>
        </w:rPr>
        <w:t>By:</w:t>
        <w:tab/>
        <w:t>/s/ A.J. Kazimi</w:t>
      </w:r>
    </w:p>
    <w:p>
      <w:pPr>
        <w:spacing w:after="0" w:line="1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22"/>
          <w:szCs w:val="22"/>
          <w:color w:val="auto"/>
        </w:rPr>
        <w:t>Name: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-74295</wp:posOffset>
            </wp:positionV>
            <wp:extent cx="2228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ACCEPTED as of the date first-above written:</w:t>
      </w:r>
    </w:p>
    <w:p>
      <w:pPr>
        <w:spacing w:after="0" w:line="20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H.C. WAINWRIGHT &amp; CO., LLC</w:t>
      </w:r>
    </w:p>
    <w:p>
      <w:pPr>
        <w:spacing w:after="0" w:line="17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2"/>
          <w:szCs w:val="22"/>
          <w:color w:val="auto"/>
        </w:rPr>
        <w:t>By: /s/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-57150</wp:posOffset>
            </wp:positionV>
            <wp:extent cx="2228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ind w:left="4940"/>
        <w:spacing w:after="0" w:line="204" w:lineRule="auto"/>
        <w:rPr>
          <w:sz w:val="20"/>
          <w:szCs w:val="20"/>
          <w:color w:val="auto"/>
        </w:rPr>
      </w:pPr>
      <w:r>
        <w:rPr>
          <w:rFonts w:ascii="Times New Roman" w:cs="Times New Roman" w:eastAsia="Times New Roman" w:hAnsi="Times New Roman"/>
          <w:sz w:val="22"/>
          <w:szCs w:val="22"/>
          <w:color w:val="auto"/>
        </w:rPr>
        <w:t>Name: Edward D. Silvera</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227965</wp:posOffset>
            </wp:positionV>
            <wp:extent cx="2254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PLACEMENT NOTICE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200"/>
        <w:spacing w:after="0"/>
        <w:tabs>
          <w:tab w:leader="none" w:pos="494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1"/>
          <w:szCs w:val="21"/>
          <w:color w:val="auto"/>
        </w:rPr>
        <w:t>Cumberland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-57150</wp:posOffset>
            </wp:positionV>
            <wp:extent cx="2254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0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H.C. Wainwright &amp; Co., LLC</w:t>
      </w:r>
    </w:p>
    <w:p>
      <w:pPr>
        <w:spacing w:after="0" w:line="23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Attention:</w:t>
        <w:tab/>
        <w:t>[•]</w:t>
      </w:r>
    </w:p>
    <w:p>
      <w:pPr>
        <w:spacing w:after="0" w:line="16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2"/>
          <w:szCs w:val="22"/>
          <w:color w:val="auto"/>
        </w:rPr>
        <w:t>Subject:</w:t>
        <w:tab/>
        <w:t>At the Market Offering--Placement Notice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9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Pursuant to the terms and subject to the conditions contained in the Sales Agreement between Cumberland Pharmaceuticals Inc., a Tennessee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H.C. Wainwright &amp; Co., LLC (the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dated March 20, 2024, the Company hereby requests that the Agent sell up to [____] of the Company’s Common Stock, no par value per</w:t>
      </w:r>
    </w:p>
    <w:p>
      <w:pPr>
        <w:spacing w:after="0" w:line="2"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share, at a minimum market price of $ per share, during the time period beginning [month, day, time] and ending [month, day,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SCHEDULE 2</w:t>
      </w:r>
    </w:p>
    <w:p>
      <w:pPr>
        <w:ind w:left="4320"/>
        <w:spacing w:after="0"/>
        <w:rPr>
          <w:sz w:val="20"/>
          <w:szCs w:val="20"/>
          <w:color w:val="auto"/>
        </w:rPr>
      </w:pPr>
      <w:r>
        <w:rPr>
          <w:rFonts w:ascii="Times New Roman" w:cs="Times New Roman" w:eastAsia="Times New Roman" w:hAnsi="Times New Roman"/>
          <w:sz w:val="22"/>
          <w:szCs w:val="22"/>
          <w:b w:val="1"/>
          <w:bCs w:val="1"/>
          <w:color w:val="auto"/>
        </w:rPr>
        <w:t>________________________</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Company shall pay to the Agent in cash, upon each sale of Placement Shares pursuant to this Agreement, an amount equal to 3.0% of the gross proceeds from each sale of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20"/>
          </w:cols>
          <w:pgMar w:left="320" w:top="1382"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86"/>
        </w:trPr>
        <w:tc>
          <w:tcPr>
            <w:tcW w:w="1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SCHEDULE 3</w:t>
            </w:r>
          </w:p>
        </w:tc>
        <w:tc>
          <w:tcPr>
            <w:tcW w:w="9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59"/>
        </w:trPr>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60" w:type="dxa"/>
            <w:vAlign w:val="bottom"/>
            <w:gridSpan w:val="2"/>
          </w:tcPr>
          <w:p>
            <w:pPr>
              <w:jc w:val="center"/>
              <w:ind w:left="2552"/>
              <w:spacing w:after="0"/>
              <w:rPr>
                <w:sz w:val="20"/>
                <w:szCs w:val="20"/>
                <w:color w:val="auto"/>
              </w:rPr>
            </w:pPr>
            <w:r>
              <w:rPr>
                <w:rFonts w:ascii="Times New Roman" w:cs="Times New Roman" w:eastAsia="Times New Roman" w:hAnsi="Times New Roman"/>
                <w:sz w:val="22"/>
                <w:szCs w:val="22"/>
                <w:b w:val="1"/>
                <w:bCs w:val="1"/>
                <w:color w:val="auto"/>
                <w:w w:val="98"/>
              </w:rPr>
              <w:t>________________________</w:t>
            </w:r>
          </w:p>
        </w:tc>
      </w:tr>
      <w:tr>
        <w:trPr>
          <w:trHeight w:val="393"/>
        </w:trPr>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40" w:type="dxa"/>
            <w:vAlign w:val="bottom"/>
          </w:tcPr>
          <w:p>
            <w:pPr>
              <w:jc w:val="center"/>
              <w:ind w:left="1632"/>
              <w:spacing w:after="0"/>
              <w:rPr>
                <w:sz w:val="20"/>
                <w:szCs w:val="20"/>
                <w:color w:val="auto"/>
              </w:rPr>
            </w:pPr>
            <w:r>
              <w:rPr>
                <w:rFonts w:ascii="Times New Roman" w:cs="Times New Roman" w:eastAsia="Times New Roman" w:hAnsi="Times New Roman"/>
                <w:sz w:val="22"/>
                <w:szCs w:val="22"/>
                <w:b w:val="1"/>
                <w:bCs w:val="1"/>
                <w:color w:val="auto"/>
                <w:w w:val="97"/>
              </w:rPr>
              <w:t>Notice Parties</w:t>
            </w:r>
          </w:p>
        </w:tc>
      </w:tr>
      <w:tr>
        <w:trPr>
          <w:trHeight w:val="286"/>
        </w:trPr>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60" w:type="dxa"/>
            <w:vAlign w:val="bottom"/>
            <w:gridSpan w:val="2"/>
          </w:tcPr>
          <w:p>
            <w:pPr>
              <w:jc w:val="center"/>
              <w:ind w:left="2552"/>
              <w:spacing w:after="0"/>
              <w:rPr>
                <w:sz w:val="20"/>
                <w:szCs w:val="20"/>
                <w:color w:val="auto"/>
              </w:rPr>
            </w:pPr>
            <w:r>
              <w:rPr>
                <w:rFonts w:ascii="Times New Roman" w:cs="Times New Roman" w:eastAsia="Times New Roman" w:hAnsi="Times New Roman"/>
                <w:sz w:val="22"/>
                <w:szCs w:val="22"/>
                <w:b w:val="1"/>
                <w:bCs w:val="1"/>
                <w:color w:val="auto"/>
                <w:w w:val="98"/>
              </w:rPr>
              <w:t>________________________</w:t>
            </w:r>
          </w:p>
        </w:tc>
      </w:tr>
      <w:tr>
        <w:trPr>
          <w:trHeight w:val="40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The Company</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91"/>
        </w:trPr>
        <w:tc>
          <w:tcPr>
            <w:tcW w:w="1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A.J. Kazimi</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akazimi@cumberlandpharma.com</w:t>
            </w:r>
          </w:p>
        </w:tc>
      </w:tr>
      <w:tr>
        <w:trPr>
          <w:trHeight w:val="459"/>
        </w:trPr>
        <w:tc>
          <w:tcPr>
            <w:tcW w:w="1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Hamm</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jhamm@cumberlandpharma.com</w:t>
            </w:r>
          </w:p>
        </w:tc>
      </w:tr>
      <w:tr>
        <w:trPr>
          <w:trHeight w:val="459"/>
        </w:trPr>
        <w:tc>
          <w:tcPr>
            <w:tcW w:w="1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Adam Mostafa</w:t>
            </w:r>
          </w:p>
        </w:tc>
        <w:tc>
          <w:tcPr>
            <w:tcW w:w="5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amostafa@cumberlandpharma.com</w:t>
            </w:r>
          </w:p>
        </w:tc>
      </w:tr>
      <w:tr>
        <w:trPr>
          <w:trHeight w:val="407"/>
        </w:trPr>
        <w:tc>
          <w:tcPr>
            <w:tcW w:w="6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H.C. Wainwright &amp; Co., LLC</w:t>
            </w: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91"/>
        </w:trPr>
        <w:tc>
          <w:tcPr>
            <w:tcW w:w="1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Craig Schwabe</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cs@hcwco.com</w:t>
            </w:r>
          </w:p>
        </w:tc>
      </w:tr>
      <w:tr>
        <w:trPr>
          <w:trHeight w:val="459"/>
        </w:trPr>
        <w:tc>
          <w:tcPr>
            <w:tcW w:w="16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Charles Worthman</w:t>
            </w:r>
          </w:p>
        </w:tc>
        <w:tc>
          <w:tcPr>
            <w:tcW w:w="526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csworthman@hcwco.com</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with a copy to </w:t>
      </w:r>
      <w:r>
        <w:rPr>
          <w:rFonts w:ascii="Times New Roman" w:cs="Times New Roman" w:eastAsia="Times New Roman" w:hAnsi="Times New Roman"/>
          <w:sz w:val="22"/>
          <w:szCs w:val="22"/>
          <w:u w:val="single" w:color="auto"/>
          <w:color w:val="auto"/>
        </w:rPr>
        <w:t>atm@hcwco.com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0139"/>
          </w:cols>
          <w:pgMar w:left="320" w:top="139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SCHEDULE 6(g)</w:t>
      </w:r>
    </w:p>
    <w:p>
      <w:pPr>
        <w:spacing w:after="0" w:line="200" w:lineRule="exact"/>
        <w:rPr>
          <w:sz w:val="20"/>
          <w:szCs w:val="20"/>
          <w:color w:val="auto"/>
        </w:rPr>
      </w:pPr>
    </w:p>
    <w:p>
      <w:pPr>
        <w:spacing w:after="0" w:line="24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b w:val="1"/>
          <w:bCs w:val="1"/>
          <w:color w:val="auto"/>
        </w:rPr>
        <w:t>________________________</w:t>
      </w:r>
    </w:p>
    <w:p>
      <w:pPr>
        <w:spacing w:after="0" w:line="2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Subsidiaries</w:t>
      </w:r>
    </w:p>
    <w:p>
      <w:pPr>
        <w:ind w:left="4320"/>
        <w:spacing w:after="0"/>
        <w:rPr>
          <w:sz w:val="20"/>
          <w:szCs w:val="20"/>
          <w:color w:val="auto"/>
        </w:rPr>
      </w:pPr>
      <w:r>
        <w:rPr>
          <w:rFonts w:ascii="Times New Roman" w:cs="Times New Roman" w:eastAsia="Times New Roman" w:hAnsi="Times New Roman"/>
          <w:sz w:val="21"/>
          <w:szCs w:val="21"/>
          <w:b w:val="1"/>
          <w:bCs w:val="1"/>
          <w:color w:val="auto"/>
        </w:rPr>
        <w:t>________________________</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Company Jurisdiction</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Cumberland Pharma Sales Corp.</w:t>
      </w:r>
    </w:p>
    <w:p>
      <w:pPr>
        <w:ind w:left="20"/>
        <w:spacing w:after="0"/>
        <w:rPr>
          <w:sz w:val="20"/>
          <w:szCs w:val="20"/>
          <w:color w:val="auto"/>
        </w:rPr>
      </w:pPr>
      <w:r>
        <w:rPr>
          <w:rFonts w:ascii="Times New Roman" w:cs="Times New Roman" w:eastAsia="Times New Roman" w:hAnsi="Times New Roman"/>
          <w:sz w:val="18"/>
          <w:szCs w:val="18"/>
          <w:color w:val="auto"/>
        </w:rPr>
        <w:t>Cumberland Emerging Technologies, Inc.</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Tennessee</w:t>
      </w:r>
    </w:p>
    <w:p>
      <w:pPr>
        <w:ind w:left="20"/>
        <w:spacing w:after="0"/>
        <w:rPr>
          <w:sz w:val="20"/>
          <w:szCs w:val="20"/>
          <w:color w:val="auto"/>
        </w:rPr>
      </w:pPr>
      <w:r>
        <w:rPr>
          <w:rFonts w:ascii="Times New Roman" w:cs="Times New Roman" w:eastAsia="Times New Roman" w:hAnsi="Times New Roman"/>
          <w:sz w:val="18"/>
          <w:szCs w:val="18"/>
          <w:color w:val="auto"/>
        </w:rPr>
        <w:t>Tennessee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139"/>
          </w:cols>
          <w:pgMar w:left="320" w:top="1391" w:right="1440" w:bottom="1440" w:gutter="0" w:footer="0" w:header="0"/>
        </w:sectPr>
      </w:pPr>
    </w:p>
    <w:bookmarkStart w:id="41" w:name="page42"/>
    <w:bookmarkEnd w:id="41"/>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7(1)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Representation Date Certificate</w:t>
      </w:r>
    </w:p>
    <w:p>
      <w:pPr>
        <w:spacing w:after="0" w:line="2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 20___</w:t>
      </w:r>
    </w:p>
    <w:p>
      <w:pPr>
        <w:spacing w:after="0" w:line="399" w:lineRule="exact"/>
        <w:rPr>
          <w:sz w:val="20"/>
          <w:szCs w:val="20"/>
          <w:color w:val="auto"/>
        </w:rPr>
      </w:pPr>
    </w:p>
    <w:p>
      <w:pPr>
        <w:jc w:val="both"/>
        <w:ind w:firstLine="583"/>
        <w:spacing w:after="0" w:line="236" w:lineRule="auto"/>
        <w:rPr>
          <w:sz w:val="20"/>
          <w:szCs w:val="20"/>
          <w:color w:val="auto"/>
        </w:rPr>
      </w:pPr>
      <w:r>
        <w:rPr>
          <w:rFonts w:ascii="Times New Roman" w:cs="Times New Roman" w:eastAsia="Times New Roman" w:hAnsi="Times New Roman"/>
          <w:sz w:val="22"/>
          <w:szCs w:val="22"/>
          <w:color w:val="auto"/>
        </w:rPr>
        <w:t>This Representation Date Certificate (this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is executed and delivered in connection with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of the Sales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March 20, 2024, and entered into between Cumberland Pharmaceuticals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H.C. Wainwright &amp; Co., LLC. All capitalized terms used but not defined herein shall have the meanings given to such terms in the Agreement.</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hereby certifies as follows:</w:t>
      </w:r>
    </w:p>
    <w:p>
      <w:pPr>
        <w:spacing w:after="0" w:line="179" w:lineRule="exact"/>
        <w:rPr>
          <w:sz w:val="20"/>
          <w:szCs w:val="20"/>
          <w:color w:val="auto"/>
        </w:rPr>
      </w:pPr>
    </w:p>
    <w:p>
      <w:pPr>
        <w:jc w:val="both"/>
        <w:ind w:firstLine="721"/>
        <w:spacing w:after="0" w:line="230" w:lineRule="auto"/>
        <w:tabs>
          <w:tab w:leader="none" w:pos="1307" w:val="left"/>
        </w:tabs>
        <w:numPr>
          <w:ilvl w:val="0"/>
          <w:numId w:val="42"/>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this paragraph 1 to be true.</w:t>
      </w:r>
    </w:p>
    <w:p>
      <w:pPr>
        <w:spacing w:after="0" w:line="168" w:lineRule="exact"/>
        <w:rPr>
          <w:rFonts w:ascii="Times New Roman" w:cs="Times New Roman" w:eastAsia="Times New Roman" w:hAnsi="Times New Roman"/>
          <w:sz w:val="23"/>
          <w:szCs w:val="23"/>
          <w:color w:val="auto"/>
        </w:rPr>
      </w:pPr>
    </w:p>
    <w:p>
      <w:pPr>
        <w:ind w:firstLine="721"/>
        <w:spacing w:after="0" w:line="247" w:lineRule="auto"/>
        <w:tabs>
          <w:tab w:leader="none" w:pos="1307" w:val="left"/>
        </w:tabs>
        <w:numPr>
          <w:ilvl w:val="0"/>
          <w:numId w:val="42"/>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Each of the representations and warranties of the Company contained in the Agreement were, when originally made, and are, as of the date of this Certificate, true and correct in all material respects.</w:t>
      </w:r>
    </w:p>
    <w:p>
      <w:pPr>
        <w:spacing w:after="0" w:line="142" w:lineRule="exact"/>
        <w:rPr>
          <w:rFonts w:ascii="Times New Roman" w:cs="Times New Roman" w:eastAsia="Times New Roman" w:hAnsi="Times New Roman"/>
          <w:sz w:val="23"/>
          <w:szCs w:val="23"/>
          <w:color w:val="auto"/>
        </w:rPr>
      </w:pPr>
    </w:p>
    <w:p>
      <w:pPr>
        <w:jc w:val="both"/>
        <w:ind w:firstLine="721"/>
        <w:spacing w:after="0" w:line="245" w:lineRule="auto"/>
        <w:tabs>
          <w:tab w:leader="none" w:pos="130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waived by the Agent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spacing w:after="0" w:line="200" w:lineRule="exact"/>
        <w:rPr>
          <w:rFonts w:ascii="Times New Roman" w:cs="Times New Roman" w:eastAsia="Times New Roman" w:hAnsi="Times New Roman"/>
          <w:sz w:val="22"/>
          <w:szCs w:val="22"/>
          <w:color w:val="auto"/>
        </w:rPr>
      </w:pPr>
    </w:p>
    <w:p>
      <w:pPr>
        <w:ind w:firstLine="721"/>
        <w:spacing w:after="0" w:line="247" w:lineRule="auto"/>
        <w:tabs>
          <w:tab w:leader="none" w:pos="1307" w:val="left"/>
        </w:tabs>
        <w:numPr>
          <w:ilvl w:val="0"/>
          <w:numId w:val="42"/>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Subsequent to the date of the most recent financial statements in the Prospectus, and except as described in the Prospectus, including Incorporated Documents, there has been no Material Adverse Effect.</w:t>
      </w:r>
    </w:p>
    <w:p>
      <w:pPr>
        <w:spacing w:after="0" w:line="155" w:lineRule="exact"/>
        <w:rPr>
          <w:rFonts w:ascii="Times New Roman" w:cs="Times New Roman" w:eastAsia="Times New Roman" w:hAnsi="Times New Roman"/>
          <w:sz w:val="23"/>
          <w:szCs w:val="23"/>
          <w:color w:val="auto"/>
        </w:rPr>
      </w:pPr>
    </w:p>
    <w:p>
      <w:pPr>
        <w:jc w:val="both"/>
        <w:ind w:firstLine="721"/>
        <w:spacing w:after="0" w:line="239" w:lineRule="auto"/>
        <w:tabs>
          <w:tab w:leader="none" w:pos="1307" w:val="left"/>
        </w:tabs>
        <w:numPr>
          <w:ilvl w:val="0"/>
          <w:numId w:val="42"/>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Commission).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jc w:val="both"/>
        <w:ind w:firstLine="721"/>
        <w:spacing w:after="0" w:line="234" w:lineRule="auto"/>
        <w:tabs>
          <w:tab w:leader="none" w:pos="1307" w:val="left"/>
        </w:tabs>
        <w:numPr>
          <w:ilvl w:val="0"/>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2"/>
          <w:szCs w:val="22"/>
          <w:color w:val="auto"/>
        </w:rPr>
        <w:t>No order suspending the effectiveness of the Registration Statement or the qualification or registration of the Placement Shares under the securities or Blue Sky laws of any jurisdiction are in effect and no proceeding for such purpose is pending before, or threatened, to the Company’s knowledge or in writing by, any securities or other governmental authority (including, without limitation, the Commission).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has executed this Representation Date Certificate as of the date first written above.</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CUMBERLAND PHARMACEUTICALS INC.</w:t>
      </w:r>
    </w:p>
    <w:p>
      <w:pPr>
        <w:spacing w:after="0" w:line="200" w:lineRule="exact"/>
        <w:rPr>
          <w:sz w:val="20"/>
          <w:szCs w:val="20"/>
          <w:color w:val="auto"/>
        </w:rPr>
      </w:pPr>
    </w:p>
    <w:p>
      <w:pPr>
        <w:spacing w:after="0" w:line="2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By:</w:t>
      </w:r>
    </w:p>
    <w:p>
      <w:pPr>
        <w:spacing w:after="0" w:line="200" w:lineRule="exact"/>
        <w:rPr>
          <w:sz w:val="20"/>
          <w:szCs w:val="20"/>
          <w:color w:val="auto"/>
        </w:rPr>
      </w:pPr>
    </w:p>
    <w:p>
      <w:pPr>
        <w:spacing w:after="0" w:line="33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-65405</wp:posOffset>
            </wp:positionV>
            <wp:extent cx="21945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23</w:t>
      </w:r>
    </w:p>
    <w:p>
      <w:pPr>
        <w:spacing w:after="0" w:line="206"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22"/>
          <w:szCs w:val="22"/>
          <w:b w:val="1"/>
          <w:bCs w:val="1"/>
          <w:color w:val="auto"/>
        </w:rPr>
        <w:t>Permitted Issuer Free Writing Prospectuses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0139"/>
          </w:cols>
          <w:pgMar w:left="320" w:top="1440"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6C6F70"/>
        </w:rPr>
        <w:drawing>
          <wp:anchor simplePos="0" relativeHeight="251657728" behindDoc="1" locked="0" layoutInCell="0" allowOverlap="1">
            <wp:simplePos x="0" y="0"/>
            <wp:positionH relativeFrom="page">
              <wp:posOffset>2128520</wp:posOffset>
            </wp:positionH>
            <wp:positionV relativeFrom="page">
              <wp:posOffset>106045</wp:posOffset>
            </wp:positionV>
            <wp:extent cx="329184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291840" cy="248920"/>
                    </a:xfrm>
                    <a:prstGeom prst="rect">
                      <a:avLst/>
                    </a:prstGeom>
                    <a:noFill/>
                  </pic:spPr>
                </pic:pic>
              </a:graphicData>
            </a:graphic>
          </wp:anchor>
        </w:drawing>
        <w:t xml:space="preserve">1600 WEST END AVENUE </w:t>
      </w:r>
      <w:r>
        <w:rPr>
          <w:rFonts w:ascii="Calibri" w:cs="Calibri" w:eastAsia="Calibri" w:hAnsi="Calibri"/>
          <w:sz w:val="8"/>
          <w:szCs w:val="8"/>
          <w:color w:val="6C6F70"/>
        </w:rPr>
        <w:t>•</w:t>
      </w:r>
      <w:r>
        <w:rPr>
          <w:rFonts w:ascii="Arial" w:cs="Arial" w:eastAsia="Arial" w:hAnsi="Arial"/>
          <w:sz w:val="18"/>
          <w:szCs w:val="18"/>
          <w:color w:val="6C6F70"/>
        </w:rPr>
        <w:t xml:space="preserve"> SUITE 2000 </w:t>
      </w:r>
      <w:r>
        <w:rPr>
          <w:rFonts w:ascii="Calibri" w:cs="Calibri" w:eastAsia="Calibri" w:hAnsi="Calibri"/>
          <w:sz w:val="8"/>
          <w:szCs w:val="8"/>
          <w:color w:val="6C6F70"/>
        </w:rPr>
        <w:t>•</w:t>
      </w:r>
      <w:r>
        <w:rPr>
          <w:rFonts w:ascii="Arial" w:cs="Arial" w:eastAsia="Arial" w:hAnsi="Arial"/>
          <w:sz w:val="18"/>
          <w:szCs w:val="18"/>
          <w:color w:val="6C6F70"/>
        </w:rPr>
        <w:t xml:space="preserve"> NASHVILLE, TENNESSEE 37203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6C6F70"/>
        </w:rPr>
        <w:t xml:space="preserve">615.726.5600 </w:t>
      </w:r>
      <w:r>
        <w:rPr>
          <w:rFonts w:ascii="Calibri" w:cs="Calibri" w:eastAsia="Calibri" w:hAnsi="Calibri"/>
          <w:sz w:val="8"/>
          <w:szCs w:val="8"/>
          <w:color w:val="6C6F70"/>
        </w:rPr>
        <w:t>•</w:t>
      </w:r>
      <w:r>
        <w:rPr>
          <w:rFonts w:ascii="Arial" w:cs="Arial" w:eastAsia="Arial" w:hAnsi="Arial"/>
          <w:sz w:val="18"/>
          <w:szCs w:val="18"/>
          <w:color w:val="6C6F70"/>
        </w:rPr>
        <w:t xml:space="preserve"> bakerdonelson.com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Nathan Kibler, Shareholder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 Dial</w:t>
      </w:r>
      <w:r>
        <w:rPr>
          <w:rFonts w:ascii="Times New Roman" w:cs="Times New Roman" w:eastAsia="Times New Roman" w:hAnsi="Times New Roman"/>
          <w:sz w:val="14"/>
          <w:szCs w:val="14"/>
          <w:color w:val="auto"/>
        </w:rPr>
        <w:t>: 865.549.7125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 Fax</w:t>
      </w:r>
      <w:r>
        <w:rPr>
          <w:rFonts w:ascii="Times New Roman" w:cs="Times New Roman" w:eastAsia="Times New Roman" w:hAnsi="Times New Roman"/>
          <w:sz w:val="14"/>
          <w:szCs w:val="14"/>
          <w:color w:val="auto"/>
        </w:rPr>
        <w:t>: 865.633.7125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E-Mail Address</w:t>
      </w:r>
      <w:r>
        <w:rPr>
          <w:rFonts w:ascii="Times New Roman" w:cs="Times New Roman" w:eastAsia="Times New Roman" w:hAnsi="Times New Roman"/>
          <w:sz w:val="14"/>
          <w:szCs w:val="14"/>
          <w:color w:val="auto"/>
        </w:rPr>
        <w:t>: nkibler@bakerdonelson.com</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20,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 West End Avenue, Suite 1300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TN 37203</w:t>
      </w:r>
    </w:p>
    <w:p>
      <w:pPr>
        <w:spacing w:after="0" w:line="200" w:lineRule="exact"/>
        <w:rPr>
          <w:sz w:val="20"/>
          <w:szCs w:val="20"/>
          <w:color w:val="auto"/>
        </w:rPr>
      </w:pPr>
    </w:p>
    <w:p>
      <w:pPr>
        <w:spacing w:after="0" w:line="349" w:lineRule="exact"/>
        <w:rPr>
          <w:sz w:val="20"/>
          <w:szCs w:val="20"/>
          <w:color w:val="auto"/>
        </w:rPr>
      </w:pPr>
    </w:p>
    <w:p>
      <w:pPr>
        <w:ind w:right="1460"/>
        <w:spacing w:after="0" w:line="430" w:lineRule="auto"/>
        <w:rPr>
          <w:sz w:val="20"/>
          <w:szCs w:val="20"/>
          <w:color w:val="auto"/>
        </w:rPr>
      </w:pPr>
      <w:r>
        <w:rPr>
          <w:rFonts w:ascii="Times New Roman" w:cs="Times New Roman" w:eastAsia="Times New Roman" w:hAnsi="Times New Roman"/>
          <w:sz w:val="18"/>
          <w:szCs w:val="18"/>
          <w:color w:val="auto"/>
        </w:rPr>
        <w:t>Re: 333-276052 on Form S-3; Shares of common stock, no par value per share, having an aggregate offering price of up to $5.8 Million Ladies and Gentlemen:</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have acted as counsel to Cumberland Pharmaceuticals Inc., a Tennessee corporation (the “Company”), in connection with the sale and issuance of shares (the “Shares”) of the Company’s common stock, no par value per share (the “Common Stock”), having an aggregate gross sales price of up to $5.8 Million, pursuant to that certain Sales Agreement, dated as of March 20, 2024 (the “Sales Agreement”), by and between the Company and H.C. Wainwright &amp; Co., LLC (the “Agent”).</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are included in a Registration Statement on Form S-3 filed with the Securities and Exchange Commission (the “Commission”) in accordance with the provisions of the Securities Act of 1933, as amended, and the rules and regulations promulgated thereunder (the “1933 Act”), under File Number 333-276052, including the base prospectus, filed with the SEC on December 14, 2023 and which became effective upon the notice of effectiveness filed December 26, 2023 (the “Base Prospectus”), and a related prospectus supplement, dated March 20, 2024, filed with the Commission pursuant to Rule 424(b) under the 1933 Act (the Base Prospectus and the prospectus supplement are referred to herein collective as the “Prospectus”). This opinion is being furnished in connection with the requirements of Item 601(b)(5) of Regulation S-K under the 1933 Act, and no opinion is expressed herein as to any matter pertaining to the contents of the Registration Statement or the Prospectus, other than as expressly stated herein with respect to the issue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right="2460"/>
        <w:spacing w:after="0" w:line="219" w:lineRule="auto"/>
        <w:rPr>
          <w:sz w:val="20"/>
          <w:szCs w:val="20"/>
          <w:color w:val="auto"/>
        </w:rPr>
      </w:pPr>
      <w:r>
        <w:rPr>
          <w:rFonts w:ascii="Arial" w:cs="Arial" w:eastAsia="Arial" w:hAnsi="Arial"/>
          <w:sz w:val="16"/>
          <w:szCs w:val="16"/>
          <w:color w:val="6C6F70"/>
        </w:rPr>
        <w:t xml:space="preserve">ALABAMA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FLORIDA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GEORGIA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LOUISIANA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MARYLAND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MISSISSIPPI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NORTH CAROLINA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SOUTH CAROLINA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TENNESSEE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TEXAS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VIRGINIA </w:t>
      </w:r>
      <w:r>
        <w:rPr>
          <w:rFonts w:ascii="Times New Roman" w:cs="Times New Roman" w:eastAsia="Times New Roman" w:hAnsi="Times New Roman"/>
          <w:sz w:val="21"/>
          <w:szCs w:val="21"/>
          <w:color w:val="6C6F70"/>
          <w:vertAlign w:val="superscript"/>
        </w:rPr>
        <w:t>•</w:t>
      </w:r>
      <w:r>
        <w:rPr>
          <w:rFonts w:ascii="Arial" w:cs="Arial" w:eastAsia="Arial" w:hAnsi="Arial"/>
          <w:sz w:val="16"/>
          <w:szCs w:val="16"/>
          <w:color w:val="6C6F70"/>
        </w:rPr>
        <w:t xml:space="preserve"> WASHINGTON, D.C.</w:t>
      </w:r>
    </w:p>
    <w:p>
      <w:pPr>
        <w:sectPr>
          <w:pgSz w:w="11900" w:h="16838" w:orient="portrait"/>
          <w:cols w:equalWidth="0" w:num="1">
            <w:col w:w="11240"/>
          </w:cols>
          <w:pgMar w:left="320" w:top="877"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Tennessee Business Corporation Act (the “Act”), and we express no opinion with respect to any other laws.</w:t>
      </w:r>
    </w:p>
    <w:p>
      <w:pPr>
        <w:spacing w:after="0" w:line="1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our aforesaid examination, we have assumed the genuineness of all signatures, the legal capacity of natural persons, the accuracy and completeness of all documents submitted to us, the authenticity of all original documents, and the conformity to authentic original documents of all documents submitted to us as certified, telecopied, photostatic, or reproduced copies. We have also assumed the accuracy, completeness and authenticity of the foregoing certifications of officers and statements of fact, on which we are relying, and have made no independent investigations thereof. This opinion letter is given, and all statements herein are made, in the context of the foregoing.</w:t>
      </w:r>
    </w:p>
    <w:p>
      <w:pPr>
        <w:spacing w:after="0" w:line="1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accordance with the terms of the Sales Agreement, the Shares will be validly issued, fully paid and nonassessable. In rendering the foregoing opinion, we have assumed that (i) the Company will comply with all applicable notice requirements regarding uncertificated shares provided in the Act; and (ii) upon the issue of any of the Shares, the total number of shares of Common Stock issued and outstanding will not exceed the total number of shares of Common Stock that the Company is then authorized to issue under the Company’s charter.</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March 20, 2024, and to the reference to our firm in the Prospectus under the heading “Legal Matters.” In giving such consent, we do not thereby admit that we are in the category of persons whose consent is required under Section 7 of the 1933 Act or the rules and regulations of the Commission thereunder or Item 509 of Regulation S-K.</w:t>
      </w: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BAKER, DONELSON, BEARMAN, CALDWELL &amp; BERKOWITZ,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74"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Nathan Kibler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43180</wp:posOffset>
            </wp:positionV>
            <wp:extent cx="3257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Nathan Kibler</w:t>
      </w:r>
    </w:p>
    <w:p>
      <w:pPr>
        <w:spacing w:after="0" w:line="7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Authorized Representative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1"/>
    </w:lvl>
    <w:lvl w:ilvl="1">
      <w:lvlJc w:val="left"/>
      <w:lvlText w:val="%2."/>
      <w:numFmt w:val="decimal"/>
      <w:start w:val="2"/>
    </w:lvl>
  </w:abstractNum>
  <w:abstractNum w:abstractNumId="3">
    <w:nsid w:val="6763845E"/>
    <w:multiLevelType w:val="hybridMultilevel"/>
    <w:lvl w:ilvl="0">
      <w:lvlJc w:val="left"/>
      <w:lvlText w:val="%1."/>
      <w:numFmt w:val="decimal"/>
      <w:start w:val="3"/>
    </w:lvl>
    <w:lvl w:ilvl="1">
      <w:lvlJc w:val="left"/>
      <w:lvlText w:val="%2"/>
      <w:numFmt w:val="decimal"/>
      <w:start w:val="1"/>
    </w:lvl>
  </w:abstractNum>
  <w:abstractNum w:abstractNumId="4">
    <w:nsid w:val="75A2A8D4"/>
    <w:multiLevelType w:val="hybridMultilevel"/>
    <w:lvl w:ilvl="0">
      <w:lvlJc w:val="left"/>
      <w:lvlText w:val="%1."/>
      <w:numFmt w:val="decimal"/>
      <w:start w:val="4"/>
    </w:lvl>
    <w:lvl w:ilvl="1">
      <w:lvlJc w:val="left"/>
      <w:lvlText w:val="%2."/>
      <w:numFmt w:val="lowerLetter"/>
      <w:start w:val="1"/>
    </w:lvl>
  </w:abstractNum>
  <w:abstractNum w:abstractNumId="5">
    <w:nsid w:val="8EDBDAB"/>
    <w:multiLevelType w:val="hybridMultilevel"/>
    <w:lvl w:ilvl="0">
      <w:lvlJc w:val="left"/>
      <w:lvlText w:val="%1"/>
      <w:numFmt w:val="decimal"/>
      <w:start w:val="1"/>
    </w:lvl>
    <w:lvl w:ilvl="1">
      <w:lvlJc w:val="left"/>
      <w:lvlText w:val="%2."/>
      <w:numFmt w:val="lowerLetter"/>
      <w:start w:val="3"/>
    </w:lvl>
  </w:abstractNum>
  <w:abstractNum w:abstractNumId="6">
    <w:nsid w:val="79838CB2"/>
    <w:multiLevelType w:val="hybridMultilevel"/>
    <w:lvl w:ilvl="0">
      <w:lvlJc w:val="left"/>
      <w:lvlText w:val="%1."/>
      <w:numFmt w:val="decimal"/>
      <w:start w:val="6"/>
    </w:lvl>
    <w:lvl w:ilvl="1">
      <w:lvlJc w:val="left"/>
      <w:lvlText w:val="%2."/>
      <w:numFmt w:val="lowerLetter"/>
      <w:start w:val="1"/>
    </w:lvl>
  </w:abstractNum>
  <w:abstractNum w:abstractNumId="7">
    <w:nsid w:val="4353D0CD"/>
    <w:multiLevelType w:val="hybridMultilevel"/>
    <w:lvl w:ilvl="0">
      <w:lvlJc w:val="left"/>
      <w:lvlText w:val="%1."/>
      <w:numFmt w:val="lowerLetter"/>
      <w:start w:val="2"/>
    </w:lvl>
  </w:abstractNum>
  <w:abstractNum w:abstractNumId="8">
    <w:nsid w:val="B03E0C6"/>
    <w:multiLevelType w:val="hybridMultilevel"/>
    <w:lvl w:ilvl="0">
      <w:lvlJc w:val="left"/>
      <w:lvlText w:val="%1."/>
      <w:numFmt w:val="lowerLetter"/>
      <w:start w:val="5"/>
    </w:lvl>
  </w:abstractNum>
  <w:abstractNum w:abstractNumId="9">
    <w:nsid w:val="189A769B"/>
    <w:multiLevelType w:val="hybridMultilevel"/>
    <w:lvl w:ilvl="0">
      <w:lvlJc w:val="left"/>
      <w:lvlText w:val="%1."/>
      <w:numFmt w:val="lowerLetter"/>
      <w:start w:val="9"/>
    </w:lvl>
  </w:abstractNum>
  <w:abstractNum w:abstractNumId="10">
    <w:nsid w:val="54E49EB4"/>
    <w:multiLevelType w:val="hybridMultilevel"/>
    <w:lvl w:ilvl="0">
      <w:lvlJc w:val="left"/>
      <w:lvlText w:val="%1"/>
      <w:numFmt w:val="lowerRoman"/>
      <w:start w:val="1"/>
    </w:lvl>
    <w:lvl w:ilvl="1">
      <w:lvlJc w:val="left"/>
      <w:lvlText w:val="%2."/>
      <w:numFmt w:val="lowerLetter"/>
      <w:start w:val="12"/>
    </w:lvl>
  </w:abstractNum>
  <w:abstractNum w:abstractNumId="11">
    <w:nsid w:val="71F32454"/>
    <w:multiLevelType w:val="hybridMultilevel"/>
    <w:lvl w:ilvl="0">
      <w:lvlJc w:val="left"/>
      <w:lvlText w:val="(%1)"/>
      <w:numFmt w:val="lowerRoman"/>
      <w:start w:val="2"/>
    </w:lvl>
    <w:lvl w:ilvl="1">
      <w:lvlJc w:val="left"/>
      <w:lvlText w:val="%2"/>
      <w:numFmt w:val="lowerLetter"/>
      <w:start w:val="1"/>
    </w:lvl>
  </w:abstractNum>
  <w:abstractNum w:abstractNumId="12">
    <w:nsid w:val="2CA88611"/>
    <w:multiLevelType w:val="hybridMultilevel"/>
    <w:lvl w:ilvl="0">
      <w:lvlJc w:val="left"/>
      <w:lvlText w:val="%1."/>
      <w:numFmt w:val="lowerLetter"/>
      <w:start w:val="16"/>
    </w:lvl>
  </w:abstractNum>
  <w:abstractNum w:abstractNumId="13">
    <w:nsid w:val="836C40E"/>
    <w:multiLevelType w:val="hybridMultilevel"/>
    <w:lvl w:ilvl="0">
      <w:lvlJc w:val="left"/>
      <w:lvlText w:val="%1."/>
      <w:numFmt w:val="lowerLetter"/>
      <w:start w:val="19"/>
    </w:lvl>
  </w:abstractNum>
  <w:abstractNum w:abstractNumId="14">
    <w:nsid w:val="2901D82"/>
    <w:multiLevelType w:val="hybridMultilevel"/>
    <w:lvl w:ilvl="0">
      <w:lvlJc w:val="left"/>
      <w:lvlText w:val="%1."/>
      <w:numFmt w:val="lowerLetter"/>
      <w:start w:val="25"/>
    </w:lvl>
  </w:abstractNum>
  <w:abstractNum w:abstractNumId="15">
    <w:nsid w:val="3A95F874"/>
    <w:multiLevelType w:val="hybridMultilevel"/>
    <w:lvl w:ilvl="0">
      <w:lvlJc w:val="left"/>
      <w:lvlText w:val="%1."/>
      <w:numFmt w:val="lowerLetter"/>
      <w:start w:val="27"/>
    </w:lvl>
  </w:abstractNum>
  <w:abstractNum w:abstractNumId="16">
    <w:nsid w:val="8138641"/>
    <w:multiLevelType w:val="hybridMultilevel"/>
    <w:lvl w:ilvl="0">
      <w:lvlJc w:val="left"/>
      <w:lvlText w:val="(%1)"/>
      <w:numFmt w:val="lowerRoman"/>
      <w:start w:val="2"/>
    </w:lvl>
  </w:abstractNum>
  <w:abstractNum w:abstractNumId="17">
    <w:nsid w:val="1E7FF521"/>
    <w:multiLevelType w:val="hybridMultilevel"/>
    <w:lvl w:ilvl="0">
      <w:lvlJc w:val="left"/>
      <w:lvlText w:val="(%1)"/>
      <w:numFmt w:val="lowerLetter"/>
      <w:start w:val="9"/>
    </w:lvl>
    <w:lvl w:ilvl="1">
      <w:lvlJc w:val="left"/>
      <w:lvlText w:val="(%2)"/>
      <w:numFmt w:val="lowerLetter"/>
      <w:start w:val="34"/>
    </w:lvl>
    <w:lvl w:ilvl="2">
      <w:lvlJc w:val="left"/>
      <w:lvlText w:val="(%3)"/>
      <w:numFmt w:val="lowerLetter"/>
      <w:start w:val="1"/>
    </w:lvl>
  </w:abstractNum>
  <w:abstractNum w:abstractNumId="18">
    <w:nsid w:val="7C3DBD3D"/>
    <w:multiLevelType w:val="hybridMultilevel"/>
    <w:lvl w:ilvl="0">
      <w:lvlJc w:val="left"/>
      <w:lvlText w:val="(%1)"/>
      <w:numFmt w:val="lowerRoman"/>
      <w:start w:val="3"/>
    </w:lvl>
  </w:abstractNum>
  <w:abstractNum w:abstractNumId="19">
    <w:nsid w:val="737B8DDC"/>
    <w:multiLevelType w:val="hybridMultilevel"/>
    <w:lvl w:ilvl="0">
      <w:lvlJc w:val="left"/>
      <w:lvlText w:val="%1."/>
      <w:numFmt w:val="decimal"/>
      <w:start w:val="7"/>
    </w:lvl>
    <w:lvl w:ilvl="1">
      <w:lvlJc w:val="left"/>
      <w:lvlText w:val="%2."/>
      <w:numFmt w:val="lowerLetter"/>
      <w:start w:val="1"/>
    </w:lvl>
  </w:abstractNum>
  <w:abstractNum w:abstractNumId="20">
    <w:nsid w:val="6CEAF087"/>
    <w:multiLevelType w:val="hybridMultilevel"/>
    <w:lvl w:ilvl="0">
      <w:lvlJc w:val="left"/>
      <w:lvlText w:val="%1."/>
      <w:numFmt w:val="lowerLetter"/>
      <w:start w:val="3"/>
    </w:lvl>
  </w:abstractNum>
  <w:abstractNum w:abstractNumId="21">
    <w:nsid w:val="22221A70"/>
    <w:multiLevelType w:val="hybridMultilevel"/>
    <w:lvl w:ilvl="0">
      <w:lvlJc w:val="left"/>
      <w:lvlText w:val="%1."/>
      <w:numFmt w:val="lowerLetter"/>
      <w:start w:val="8"/>
    </w:lvl>
  </w:abstractNum>
  <w:abstractNum w:abstractNumId="22">
    <w:nsid w:val="4516DDE9"/>
    <w:multiLevelType w:val="hybridMultilevel"/>
    <w:lvl w:ilvl="0">
      <w:lvlJc w:val="left"/>
      <w:lvlText w:val="%1."/>
      <w:numFmt w:val="lowerLetter"/>
      <w:start w:val="12"/>
    </w:lvl>
    <w:lvl w:ilvl="1">
      <w:lvlJc w:val="left"/>
      <w:lvlText w:val="(%2)"/>
      <w:numFmt w:val="lowerRoman"/>
      <w:start w:val="1"/>
    </w:lvl>
  </w:abstractNum>
  <w:abstractNum w:abstractNumId="23">
    <w:nsid w:val="3006C83E"/>
    <w:multiLevelType w:val="hybridMultilevel"/>
    <w:lvl w:ilvl="0">
      <w:lvlJc w:val="left"/>
      <w:lvlText w:val="%1."/>
      <w:numFmt w:val="lowerLetter"/>
      <w:start w:val="13"/>
    </w:lvl>
  </w:abstractNum>
  <w:abstractNum w:abstractNumId="24">
    <w:nsid w:val="614FD4A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4"/>
    </w:lvl>
  </w:abstractNum>
  <w:abstractNum w:abstractNumId="25">
    <w:nsid w:val="419AC241"/>
    <w:multiLevelType w:val="hybridMultilevel"/>
    <w:lvl w:ilvl="0">
      <w:lvlJc w:val="left"/>
      <w:lvlText w:val="(%1)"/>
      <w:numFmt w:val="lowerRoman"/>
      <w:start w:val="3"/>
    </w:lvl>
    <w:lvl w:ilvl="1">
      <w:lvlJc w:val="left"/>
      <w:lvlText w:val="%2."/>
      <w:numFmt w:val="decimal"/>
      <w:start w:val="7"/>
    </w:lvl>
    <w:lvl w:ilvl="2">
      <w:lvlJc w:val="left"/>
      <w:lvlText w:val="%3."/>
      <w:numFmt w:val="lowerLetter"/>
      <w:start w:val="15"/>
    </w:lvl>
  </w:abstractNum>
  <w:abstractNum w:abstractNumId="26">
    <w:nsid w:val="5577F8E1"/>
    <w:multiLevelType w:val="hybridMultilevel"/>
    <w:lvl w:ilvl="0">
      <w:lvlJc w:val="left"/>
      <w:lvlText w:val="%1."/>
      <w:numFmt w:val="decimal"/>
      <w:start w:val="9"/>
    </w:lvl>
    <w:lvl w:ilvl="1">
      <w:lvlJc w:val="left"/>
      <w:lvlText w:val="%2."/>
      <w:numFmt w:val="lowerLetter"/>
      <w:start w:val="1"/>
    </w:lvl>
  </w:abstractNum>
  <w:abstractNum w:abstractNumId="27">
    <w:nsid w:val="440BADFC"/>
    <w:multiLevelType w:val="hybridMultilevel"/>
    <w:lvl w:ilvl="0">
      <w:lvlJc w:val="left"/>
      <w:lvlText w:val="%1."/>
      <w:numFmt w:val="lowerLetter"/>
      <w:start w:val="3"/>
    </w:lvl>
  </w:abstractNum>
  <w:abstractNum w:abstractNumId="28">
    <w:nsid w:val="5072367"/>
    <w:multiLevelType w:val="hybridMultilevel"/>
    <w:lvl w:ilvl="0">
      <w:lvlJc w:val="left"/>
      <w:lvlText w:val="%1"/>
      <w:numFmt w:val="decimal"/>
      <w:start w:val="1"/>
    </w:lvl>
    <w:lvl w:ilvl="1">
      <w:lvlJc w:val="left"/>
      <w:lvlText w:val="%2."/>
      <w:numFmt w:val="lowerLetter"/>
      <w:start w:val="11"/>
    </w:lvl>
  </w:abstractNum>
  <w:abstractNum w:abstractNumId="29">
    <w:nsid w:val="3804823E"/>
    <w:multiLevelType w:val="hybridMultilevel"/>
    <w:lvl w:ilvl="0">
      <w:lvlJc w:val="left"/>
      <w:lvlText w:val="%1."/>
      <w:numFmt w:val="decimal"/>
      <w:start w:val="11"/>
    </w:lvl>
    <w:lvl w:ilvl="1">
      <w:lvlJc w:val="left"/>
      <w:lvlText w:val="%2"/>
      <w:numFmt w:val="lowerLetter"/>
      <w:start w:val="1"/>
    </w:lvl>
  </w:abstractNum>
  <w:abstractNum w:abstractNumId="30">
    <w:nsid w:val="77465F01"/>
    <w:multiLevelType w:val="hybridMultilevel"/>
    <w:lvl w:ilvl="0">
      <w:lvlJc w:val="left"/>
      <w:lvlText w:val="(%1)"/>
      <w:numFmt w:val="lowerLetter"/>
      <w:start w:val="1"/>
    </w:lvl>
    <w:lvl w:ilvl="1">
      <w:lvlJc w:val="left"/>
      <w:lvlText w:val="(%2)"/>
      <w:numFmt w:val="lowerRoman"/>
      <w:start w:val="1"/>
    </w:lvl>
  </w:abstractNum>
  <w:abstractNum w:abstractNumId="31">
    <w:nsid w:val="7724C67E"/>
    <w:multiLevelType w:val="hybridMultilevel"/>
    <w:lvl w:ilvl="0">
      <w:lvlJc w:val="left"/>
      <w:lvlText w:val="(%1)"/>
      <w:numFmt w:val="lowerLetter"/>
      <w:start w:val="2"/>
    </w:lvl>
  </w:abstractNum>
  <w:abstractNum w:abstractNumId="32">
    <w:nsid w:val="5C482A97"/>
    <w:multiLevelType w:val="hybridMultilevel"/>
    <w:lvl w:ilvl="0">
      <w:lvlJc w:val="left"/>
      <w:lvlText w:val="(%1)"/>
      <w:numFmt w:val="lowerLetter"/>
      <w:start w:val="4"/>
    </w:lvl>
  </w:abstractNum>
  <w:abstractNum w:abstractNumId="33">
    <w:nsid w:val="2463B9EA"/>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34">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5">
    <w:nsid w:val="51EAD36B"/>
    <w:multiLevelType w:val="hybridMultilevel"/>
    <w:lvl w:ilvl="0">
      <w:lvlJc w:val="left"/>
      <w:lvlText w:val="(%1)"/>
      <w:numFmt w:val="decimal"/>
      <w:start w:val="6"/>
    </w:lvl>
    <w:lvl w:ilvl="1">
      <w:lvlJc w:val="left"/>
      <w:lvlText w:val="%2"/>
      <w:numFmt w:val="decimal"/>
      <w:start w:val="1"/>
    </w:lvl>
    <w:lvl w:ilvl="2">
      <w:lvlJc w:val="left"/>
      <w:lvlText w:val="%3."/>
      <w:numFmt w:val="lowerLetter"/>
      <w:start w:val="2"/>
    </w:lvl>
  </w:abstractNum>
  <w:abstractNum w:abstractNumId="36">
    <w:nsid w:val="2D517796"/>
    <w:multiLevelType w:val="hybridMultilevel"/>
    <w:lvl w:ilvl="0">
      <w:lvlJc w:val="left"/>
      <w:lvlText w:val="%1"/>
      <w:numFmt w:val="decimal"/>
      <w:start w:val="1"/>
    </w:lvl>
    <w:lvl w:ilvl="1">
      <w:lvlJc w:val="left"/>
      <w:lvlText w:val="%2."/>
      <w:numFmt w:val="lowerLetter"/>
      <w:start w:val="3"/>
    </w:lvl>
  </w:abstractNum>
  <w:abstractNum w:abstractNumId="37">
    <w:nsid w:val="580BD78F"/>
    <w:multiLevelType w:val="hybridMultilevel"/>
    <w:lvl w:ilvl="0">
      <w:lvlJc w:val="left"/>
      <w:lvlText w:val="%1."/>
      <w:numFmt w:val="decimal"/>
      <w:start w:val="14"/>
    </w:lvl>
    <w:lvl w:ilvl="1">
      <w:lvlJc w:val="left"/>
      <w:lvlText w:val="%2"/>
      <w:numFmt w:val="lowerLetter"/>
      <w:start w:val="1"/>
    </w:lvl>
  </w:abstractNum>
  <w:abstractNum w:abstractNumId="38">
    <w:nsid w:val="153EA438"/>
    <w:multiLevelType w:val="hybridMultilevel"/>
    <w:lvl w:ilvl="0">
      <w:lvlJc w:val="left"/>
      <w:lvlText w:val="%1."/>
      <w:numFmt w:val="decimal"/>
      <w:start w:val="15"/>
    </w:lvl>
    <w:lvl w:ilvl="1">
      <w:lvlJc w:val="left"/>
      <w:lvlText w:val="%2."/>
      <w:numFmt w:val="decimal"/>
      <w:start w:val="17"/>
    </w:lvl>
  </w:abstractNum>
  <w:abstractNum w:abstractNumId="39">
    <w:nsid w:val="3855585C"/>
    <w:multiLevelType w:val="hybridMultilevel"/>
    <w:lvl w:ilvl="0">
      <w:lvlJc w:val="left"/>
      <w:lvlText w:val="%1."/>
      <w:numFmt w:val="decimal"/>
      <w:start w:val="18"/>
    </w:lvl>
  </w:abstractNum>
  <w:abstractNum w:abstractNumId="40">
    <w:nsid w:val="70A64E2A"/>
    <w:multiLevelType w:val="hybridMultilevel"/>
    <w:lvl w:ilvl="0">
      <w:lvlJc w:val="left"/>
      <w:lvlText w:val="%1."/>
      <w:numFmt w:val="decimal"/>
      <w:start w:val="24"/>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2024-03-20T16:26:19Z</dcterms:created>
  <dcterms:modified xsi:type="dcterms:W3CDTF">2024-03-20T16:26:19Z</dcterms:modified>
</cp:coreProperties>
</file>