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FORM 8-K</w:t>
      </w:r>
    </w:p>
    <w:p>
      <w:pPr>
        <w:spacing w:after="0" w:line="2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36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May 1, 2020 (April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CUMBERLAND PHARMACEUTICALS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Tennessee</w:t>
            </w:r>
          </w:p>
        </w:tc>
        <w:tc>
          <w:tcPr>
            <w:tcW w:w="170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001-33637</w:t>
            </w:r>
          </w:p>
        </w:tc>
        <w:tc>
          <w:tcPr>
            <w:tcW w:w="1160" w:type="dxa"/>
            <w:vAlign w:val="bottom"/>
          </w:tcPr>
          <w:p>
            <w:pPr>
              <w:spacing w:after="0"/>
              <w:rPr>
                <w:sz w:val="17"/>
                <w:szCs w:val="17"/>
                <w:color w:val="auto"/>
              </w:rPr>
            </w:pPr>
          </w:p>
        </w:tc>
        <w:tc>
          <w:tcPr>
            <w:tcW w:w="2840" w:type="dxa"/>
            <w:vAlign w:val="bottom"/>
            <w:gridSpan w:val="3"/>
          </w:tcPr>
          <w:p>
            <w:pPr>
              <w:jc w:val="right"/>
              <w:ind w:right="600"/>
              <w:spacing w:after="0"/>
              <w:rPr>
                <w:sz w:val="20"/>
                <w:szCs w:val="20"/>
                <w:color w:val="auto"/>
              </w:rPr>
            </w:pPr>
            <w:r>
              <w:rPr>
                <w:rFonts w:ascii="Arial" w:cs="Arial" w:eastAsia="Arial" w:hAnsi="Arial"/>
                <w:sz w:val="18"/>
                <w:szCs w:val="18"/>
                <w:color w:val="auto"/>
              </w:rPr>
              <w:t>62-1765329</w:t>
            </w: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8"/>
        </w:trPr>
        <w:tc>
          <w:tcPr>
            <w:tcW w:w="3340" w:type="dxa"/>
            <w:vAlign w:val="bottom"/>
            <w:gridSpan w:val="3"/>
          </w:tcPr>
          <w:p>
            <w:pPr>
              <w:jc w:val="center"/>
              <w:ind w:right="820"/>
              <w:spacing w:after="0"/>
              <w:rPr>
                <w:sz w:val="20"/>
                <w:szCs w:val="20"/>
                <w:color w:val="auto"/>
              </w:rPr>
            </w:pPr>
            <w:r>
              <w:rPr>
                <w:rFonts w:ascii="Arial" w:cs="Arial" w:eastAsia="Arial" w:hAnsi="Arial"/>
                <w:sz w:val="14"/>
                <w:szCs w:val="14"/>
                <w:color w:val="auto"/>
                <w:w w:val="95"/>
              </w:rPr>
              <w:t>(State or other jurisdiction of incorporation)</w:t>
            </w:r>
          </w:p>
        </w:tc>
        <w:tc>
          <w:tcPr>
            <w:tcW w:w="3140" w:type="dxa"/>
            <w:vAlign w:val="bottom"/>
            <w:gridSpan w:val="3"/>
          </w:tcPr>
          <w:p>
            <w:pPr>
              <w:jc w:val="center"/>
              <w:spacing w:after="0"/>
              <w:rPr>
                <w:sz w:val="20"/>
                <w:szCs w:val="20"/>
                <w:color w:val="auto"/>
              </w:rPr>
            </w:pPr>
            <w:r>
              <w:rPr>
                <w:rFonts w:ascii="Arial" w:cs="Arial" w:eastAsia="Arial" w:hAnsi="Arial"/>
                <w:sz w:val="14"/>
                <w:szCs w:val="14"/>
                <w:color w:val="auto"/>
                <w:w w:val="94"/>
              </w:rPr>
              <w:t>(Commission File Number)</w:t>
            </w:r>
          </w:p>
        </w:tc>
        <w:tc>
          <w:tcPr>
            <w:tcW w:w="2840" w:type="dxa"/>
            <w:vAlign w:val="bottom"/>
            <w:gridSpan w:val="3"/>
          </w:tcPr>
          <w:p>
            <w:pPr>
              <w:jc w:val="center"/>
              <w:ind w:left="679"/>
              <w:spacing w:after="0"/>
              <w:rPr>
                <w:sz w:val="20"/>
                <w:szCs w:val="20"/>
                <w:color w:val="auto"/>
              </w:rPr>
            </w:pPr>
            <w:r>
              <w:rPr>
                <w:rFonts w:ascii="Arial" w:cs="Arial" w:eastAsia="Arial" w:hAnsi="Arial"/>
                <w:sz w:val="14"/>
                <w:szCs w:val="14"/>
                <w:color w:val="auto"/>
                <w:w w:val="96"/>
              </w:rPr>
              <w:t>(I.R.S. Employer Identification No.)</w:t>
            </w:r>
          </w:p>
        </w:tc>
      </w:tr>
    </w:tbl>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63"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(Address of principal executive offices) (Zip Code)</w:t>
      </w:r>
    </w:p>
    <w:p>
      <w:pPr>
        <w:spacing w:after="0" w:line="3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(615) 255-0068</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(Registrant’s telephone number, including area code)</w:t>
      </w:r>
    </w:p>
    <w:p>
      <w:pPr>
        <w:spacing w:after="0" w:line="27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w:t>
      </w:r>
    </w:p>
    <w:p>
      <w:pPr>
        <w:spacing w:after="0" w:line="21" w:lineRule="exact"/>
        <w:rPr>
          <w:sz w:val="24"/>
          <w:szCs w:val="24"/>
          <w:color w:val="auto"/>
        </w:rPr>
      </w:pPr>
    </w:p>
    <w:p>
      <w:pPr>
        <w:jc w:val="center"/>
        <w:ind w:left="500" w:right="18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3" w:lineRule="exact"/>
        <w:rPr>
          <w:sz w:val="24"/>
          <w:szCs w:val="24"/>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19" w:lineRule="exact"/>
        <w:rPr>
          <w:rFonts w:ascii="Arial" w:cs="Arial" w:eastAsia="Arial" w:hAnsi="Arial"/>
          <w:sz w:val="18"/>
          <w:szCs w:val="18"/>
          <w:color w:val="auto"/>
        </w:rPr>
      </w:pPr>
    </w:p>
    <w:p>
      <w:pPr>
        <w:ind w:right="2020" w:firstLine="568"/>
        <w:spacing w:after="0" w:line="434" w:lineRule="auto"/>
        <w:tabs>
          <w:tab w:leader="none" w:pos="1006"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96"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680" w:type="dxa"/>
            <w:vAlign w:val="bottom"/>
            <w:gridSpan w:val="2"/>
          </w:tcPr>
          <w:p>
            <w:pPr>
              <w:ind w:left="1580"/>
              <w:spacing w:after="0"/>
              <w:rPr>
                <w:sz w:val="20"/>
                <w:szCs w:val="20"/>
                <w:color w:val="auto"/>
              </w:rPr>
            </w:pPr>
            <w:r>
              <w:rPr>
                <w:rFonts w:ascii="Arial" w:cs="Arial" w:eastAsia="Arial" w:hAnsi="Arial"/>
                <w:sz w:val="18"/>
                <w:szCs w:val="18"/>
                <w:color w:val="auto"/>
              </w:rPr>
              <w:t>Class</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Trading Symbol</w:t>
            </w:r>
          </w:p>
        </w:tc>
        <w:tc>
          <w:tcPr>
            <w:tcW w:w="482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7"/>
        </w:trPr>
        <w:tc>
          <w:tcPr>
            <w:tcW w:w="3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6"/>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Common stock, no par value</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CPIX</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080"/>
          </w:cols>
          <w:pgMar w:left="320" w:top="663"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36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Audit Committee (the "Audit Committee") of the Board of Directors of Cumberland Pharmaceuticals Inc. (the "Company"), has completed a review of the appointment of the Company's independent registered public accounting firm for the fiscal year ending December 31, 2020.</w:t>
      </w:r>
    </w:p>
    <w:p>
      <w:pPr>
        <w:spacing w:after="0" w:line="6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a result of this review, on April 29, 2020, the Audit Committee informed BDO USA, LLP (“BDO”) of its decision to not retain BDO as the Company's independent registered public accounting firm, effective as of that date. In addition, on April 29, 2020, the Audit Committee informed BKD, LLP (“BKD”) that they were selected as the Company's independent registered public accounting firm for the fiscal year ending December 31, 2020. BKD had obtained provisional approval as of that date, with the formal engagement of BKD being subject to BKD completing its final client acceptance process.</w:t>
      </w:r>
    </w:p>
    <w:p>
      <w:pPr>
        <w:spacing w:after="0" w:line="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Company's fiscal years ended December 31, 2019 and 2018, and the subsequent interim period through April 29, 2020, there were (i) no disagreements between the Company and BDO on any matter of accounting principles or practices, financial statement disclosure, or auditing scope or procedures, which disagreements, if not resolved to BDO’s satisfaction, would have caused BDO to make reference to the subject matter of the disagreement in its report on the Company's consolidated financial statements for the relevant year, and (ii) no "reportable events" as that term is defined in Item 304(a)(1)(v) of Regulation S-K. The audit reports of BDO on the consolidated financial statements of the Company as of December 31, 2019 and 2018, contained no adverse opinion or disclaimer of opinion and were not qualified or modified as to uncertainty, audit scope or accounting principles.</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29, 2020, the Company provided BDO with a copy of the Auditor Current Report and requested BDO to, as promptly as possible, furnish the Company with a letter (the "BDO Letter") addressed to the SEC stating whether BDO agrees with the statements made by the Company in response to Item 304(a) of Regulation S-K and, if not, stating the respects in which it does not agree. BDO has furnished to the Company a letter addressed to the SEC. This letter is dated May 1, 2020 and is attached to this Amendment as Exhibit 16.1.</w:t>
      </w:r>
    </w:p>
    <w:p>
      <w:pPr>
        <w:spacing w:after="0" w:line="1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1, 2020, BKD completed its final client acceptance approval process and the Audit Committee formally engaged BKD, LLP as the Company's independent registered public accounting firm for the fiscal year ending December 31, 2020. During the Company's fiscal years ended December 31, 2019 and 2018, and the subsequent interim period through May 1, 2020, neither the Company, nor anyone on its behalf, consulted with BKD regarding the application of accounting principles to a specified transaction, either completed or proposed; or the type of audit opinion that might be rendered on the Company's consolidated financial statements.</w:t>
      </w:r>
    </w:p>
    <w:p>
      <w:pPr>
        <w:spacing w:after="0" w:line="23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78" w:lineRule="exact"/>
        <w:rPr>
          <w:sz w:val="20"/>
          <w:szCs w:val="20"/>
          <w:color w:val="auto"/>
        </w:rPr>
      </w:pPr>
    </w:p>
    <w:tbl>
      <w:tblPr>
        <w:tblLayout w:type="fixed"/>
        <w:tblInd w:w="1340" w:type="dxa"/>
        <w:tblCellMar>
          <w:top w:w="0" w:type="dxa"/>
          <w:left w:w="0" w:type="dxa"/>
          <w:bottom w:w="0" w:type="dxa"/>
          <w:right w:w="0" w:type="dxa"/>
        </w:tblCellMar>
      </w:tblPr>
      <w:tr>
        <w:trPr>
          <w:trHeight w:val="174"/>
        </w:trPr>
        <w:tc>
          <w:tcPr>
            <w:tcW w:w="284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576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r>
      <w:tr>
        <w:trPr>
          <w:trHeight w:val="513"/>
        </w:trPr>
        <w:tc>
          <w:tcPr>
            <w:tcW w:w="172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16.1</w:t>
              </w:r>
            </w:hyperlink>
          </w:p>
        </w:tc>
        <w:tc>
          <w:tcPr>
            <w:tcW w:w="1120" w:type="dxa"/>
            <w:vAlign w:val="bottom"/>
          </w:tcPr>
          <w:p>
            <w:pPr>
              <w:spacing w:after="0"/>
              <w:rPr>
                <w:sz w:val="24"/>
                <w:szCs w:val="24"/>
                <w:color w:val="auto"/>
              </w:rPr>
            </w:pPr>
          </w:p>
        </w:tc>
        <w:tc>
          <w:tcPr>
            <w:tcW w:w="5760" w:type="dxa"/>
            <w:vAlign w:val="bottom"/>
            <w:tcBorders>
              <w:top w:val="single" w:sz="8" w:color="auto"/>
            </w:tcBorders>
          </w:tcPr>
          <w:p>
            <w:pPr>
              <w:ind w:left="20"/>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Letter to the Securities and Exchange Commission from BDO USA, LLP</w:t>
              </w:r>
            </w:hyperlink>
          </w:p>
        </w:tc>
      </w:tr>
    </w:tbl>
    <w:p>
      <w:pPr>
        <w:sectPr>
          <w:pgSz w:w="11900" w:h="16838" w:orient="portrait"/>
          <w:cols w:equalWidth="0" w:num="1">
            <w:col w:w="11240"/>
          </w:cols>
          <w:pgMar w:left="320" w:top="60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Cumberland Pharmaceuticals Inc.</w:t>
      </w:r>
    </w:p>
    <w:p>
      <w:pPr>
        <w:spacing w:after="0" w:line="387" w:lineRule="exact"/>
        <w:rPr>
          <w:sz w:val="20"/>
          <w:szCs w:val="20"/>
          <w:color w:val="auto"/>
        </w:rPr>
      </w:pPr>
    </w:p>
    <w:p>
      <w:pPr>
        <w:ind w:left="40"/>
        <w:spacing w:after="0"/>
        <w:tabs>
          <w:tab w:leader="none" w:pos="7000" w:val="left"/>
          <w:tab w:leader="none" w:pos="8340" w:val="left"/>
        </w:tabs>
        <w:rPr>
          <w:sz w:val="20"/>
          <w:szCs w:val="20"/>
          <w:color w:val="auto"/>
        </w:rPr>
      </w:pPr>
      <w:r>
        <w:rPr>
          <w:rFonts w:ascii="Arial" w:cs="Arial" w:eastAsia="Arial" w:hAnsi="Arial"/>
          <w:sz w:val="18"/>
          <w:szCs w:val="18"/>
          <w:color w:val="auto"/>
        </w:rPr>
        <w:t>Dated: May 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31750</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Michael Bonner</w:t>
      </w:r>
    </w:p>
    <w:p>
      <w:pPr>
        <w:spacing w:after="0" w:line="6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756" w:right="379" w:bottom="1440" w:gutter="0" w:footer="0" w:header="0"/>
        </w:sectPr>
      </w:pPr>
    </w:p>
    <w:bookmarkStart w:id="3" w:name="page4"/>
    <w:bookmarkEnd w:id="3"/>
    <w:p>
      <w:pPr>
        <w:ind w:left="6100"/>
        <w:spacing w:after="0"/>
        <w:tabs>
          <w:tab w:leader="none" w:pos="8120" w:val="left"/>
        </w:tabs>
        <w:rPr>
          <w:sz w:val="20"/>
          <w:szCs w:val="20"/>
          <w:color w:val="auto"/>
        </w:rPr>
      </w:pPr>
      <w:r>
        <w:rPr>
          <w:rFonts w:ascii="Arial" w:cs="Arial" w:eastAsia="Arial" w:hAnsi="Arial"/>
          <w:sz w:val="18"/>
          <w:szCs w:val="18"/>
          <w:color w:val="auto"/>
        </w:rPr>
        <w:t>[BDO Letterhead]</w:t>
      </w:r>
      <w:r>
        <w:rPr>
          <w:sz w:val="20"/>
          <w:szCs w:val="20"/>
          <w:color w:val="auto"/>
        </w:rPr>
        <w:tab/>
      </w:r>
      <w:r>
        <w:rPr>
          <w:rFonts w:ascii="Arial" w:cs="Arial" w:eastAsia="Arial" w:hAnsi="Arial"/>
          <w:sz w:val="16"/>
          <w:szCs w:val="16"/>
          <w:color w:val="auto"/>
        </w:rPr>
        <w:t>Exhibit 16.1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May 1,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been furnished with a copy of the response to Item 4.01 of Form 8-K for the event that occurred on April 29, 2020, to be filed by our former client, Cumberland Pharmaceuticals Inc. We agree with the statements made in response to that Item insofar as they relate to our Firm.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sectPr>
      <w:pgSz w:w="11900" w:h="16838" w:orient="portrait"/>
      <w:cols w:equalWidth="0" w:num="1">
        <w:col w:w="10760"/>
      </w:cols>
      <w:pgMar w:left="320" w:top="692"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2020-05-01T16:18:10Z</dcterms:created>
  <dcterms:modified xsi:type="dcterms:W3CDTF">2020-05-01T16:18:10Z</dcterms:modified>
</cp:coreProperties>
</file>