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345"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spacing w:lineRule="auto" w:line="288" w:before="22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April 14, 2023 (April 14, 2023)</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Date of Report (date of earliest event reported)</w:t>
      </w:r>
    </w:p>
    <w:p>
      <w:pPr>
        <w:pStyle w:val="TextBody"/>
        <w:spacing w:before="0" w:after="0"/>
        <w:rPr/>
      </w:pPr>
      <w:r>
        <w:rPr/>
      </w:r>
    </w:p>
    <w:p>
      <w:pPr>
        <w:pStyle w:val="TextBody"/>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CUMBERLAND PHARMACEUTICALS INC. </w:t>
      </w:r>
    </w:p>
    <w:p>
      <w:pPr>
        <w:pStyle w:val="TextBody"/>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10205" w:type="dxa"/>
        <w:jc w:val="center"/>
        <w:tblInd w:w="0" w:type="dxa"/>
        <w:tblCellMar>
          <w:top w:w="28" w:type="dxa"/>
          <w:left w:w="28" w:type="dxa"/>
          <w:bottom w:w="28" w:type="dxa"/>
          <w:right w:w="28" w:type="dxa"/>
        </w:tblCellMar>
      </w:tblPr>
      <w:tblGrid>
        <w:gridCol w:w="1778"/>
        <w:gridCol w:w="1566"/>
        <w:gridCol w:w="1573"/>
        <w:gridCol w:w="378"/>
        <w:gridCol w:w="378"/>
        <w:gridCol w:w="378"/>
        <w:gridCol w:w="378"/>
        <w:gridCol w:w="378"/>
        <w:gridCol w:w="386"/>
        <w:gridCol w:w="877"/>
        <w:gridCol w:w="877"/>
        <w:gridCol w:w="1258"/>
      </w:tblGrid>
      <w:tr>
        <w:trPr/>
        <w:tc>
          <w:tcPr>
            <w:tcW w:w="1778"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r>
      <w:tr>
        <w:trPr/>
        <w:tc>
          <w:tcPr>
            <w:tcW w:w="4917"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Tennessee</w:t>
            </w:r>
          </w:p>
        </w:tc>
        <w:tc>
          <w:tcPr>
            <w:tcW w:w="2276" w:type="dxa"/>
            <w:gridSpan w:val="6"/>
            <w:tcBorders/>
            <w:shd w:fill="auto" w:val="clear"/>
            <w:tcMar>
              <w:top w:w="0" w:type="dxa"/>
              <w:left w:w="0" w:type="dxa"/>
              <w:bottom w:w="0" w:type="dxa"/>
              <w:right w:w="0" w:type="dxa"/>
            </w:tcMar>
            <w:vAlign w:val="center"/>
          </w:tcPr>
          <w:p>
            <w:pPr>
              <w:pStyle w:val="TableContents"/>
              <w:spacing w:lineRule="auto" w:line="345" w:before="0" w:after="283"/>
              <w:jc w:val="center"/>
              <w:rPr>
                <w:rFonts w:ascii="Times New Roman;sans-serif" w:hAnsi="Times New Roman;sans-serif"/>
                <w:b/>
                <w:color w:val="000000"/>
                <w:sz w:val="20"/>
              </w:rPr>
            </w:pPr>
            <w:r>
              <w:rPr>
                <w:rFonts w:ascii="Times New Roman;sans-serif" w:hAnsi="Times New Roman;sans-serif"/>
                <w:b/>
                <w:color w:val="000000"/>
                <w:sz w:val="20"/>
              </w:rPr>
              <w:t>001-33637</w:t>
            </w:r>
          </w:p>
        </w:tc>
        <w:tc>
          <w:tcPr>
            <w:tcW w:w="3012"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62-1765329</w:t>
            </w:r>
          </w:p>
        </w:tc>
      </w:tr>
      <w:tr>
        <w:trPr/>
        <w:tc>
          <w:tcPr>
            <w:tcW w:w="4917"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276" w:type="dxa"/>
            <w:gridSpan w:val="6"/>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12"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1600 West End Avenue, Suite 1300 Nashville, Tennessee 37203</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(615) 255-0068 </w:t>
      </w:r>
    </w:p>
    <w:p>
      <w:pPr>
        <w:pStyle w:val="TextBody"/>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rPr/>
      </w:pPr>
      <w:r>
        <w:rPr/>
      </w:r>
    </w:p>
    <w:p>
      <w:pPr>
        <w:pStyle w:val="TextBody"/>
        <w:spacing w:lineRule="auto" w:line="288" w:before="0" w:after="2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spacing w:before="0" w:after="20"/>
        <w:rPr/>
      </w:pPr>
      <w:r>
        <w:rPr/>
      </w:r>
    </w:p>
    <w:p>
      <w:pPr>
        <w:pStyle w:val="TextBody"/>
        <w:spacing w:lineRule="auto" w:line="288" w:before="0" w:after="20"/>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spacing w:before="0" w:after="0"/>
        <w:rPr/>
      </w:pPr>
      <w:r>
        <w:rPr/>
      </w:r>
    </w:p>
    <w:p>
      <w:pPr>
        <w:pStyle w:val="TextBody"/>
        <w:spacing w:lineRule="auto" w:line="288" w:before="0" w:after="20"/>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spacing w:before="0" w:after="0"/>
        <w:rPr/>
      </w:pPr>
      <w:r>
        <w:rPr/>
      </w:r>
    </w:p>
    <w:p>
      <w:pPr>
        <w:pStyle w:val="TextBody"/>
        <w:spacing w:lineRule="auto" w:line="288" w:before="0" w:after="20"/>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7798" w:type="dxa"/>
        <w:jc w:val="center"/>
        <w:tblInd w:w="0" w:type="dxa"/>
        <w:tblCellMar>
          <w:top w:w="28" w:type="dxa"/>
          <w:left w:w="28" w:type="dxa"/>
          <w:bottom w:w="28" w:type="dxa"/>
          <w:right w:w="28" w:type="dxa"/>
        </w:tblCellMar>
      </w:tblPr>
      <w:tblGrid>
        <w:gridCol w:w="896"/>
        <w:gridCol w:w="784"/>
        <w:gridCol w:w="794"/>
        <w:gridCol w:w="539"/>
        <w:gridCol w:w="539"/>
        <w:gridCol w:w="541"/>
        <w:gridCol w:w="1085"/>
        <w:gridCol w:w="1085"/>
        <w:gridCol w:w="1535"/>
      </w:tblGrid>
      <w:tr>
        <w:trPr/>
        <w:tc>
          <w:tcPr>
            <w:tcW w:w="89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CPIX</w:t>
            </w:r>
          </w:p>
        </w:tc>
        <w:tc>
          <w:tcPr>
            <w:tcW w:w="37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spacing w:lineRule="auto" w:line="288" w:before="160" w:after="283"/>
        <w:jc w:val="both"/>
        <w:rPr/>
      </w:pPr>
      <w:r>
        <w:rPr>
          <w:rFonts w:ascii="Times New Roman;sans-serif" w:hAnsi="Times New Roman;sans-serif"/>
          <w:b w:val="false"/>
          <w:color w:val="000000"/>
          <w:sz w:val="20"/>
        </w:rPr>
        <w:t>On April 14, 2023, Cumberland Pharmaceuticals Inc. (“Cumberland” or the “Company”) announced that it expects that its Caldolor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ibuprofen</w:t>
      </w:r>
      <w:r>
        <w:rPr>
          <w:rFonts w:ascii="Times New Roman;sans-serif" w:hAnsi="Times New Roman;sans-serif"/>
          <w:b w:val="false"/>
          <w:color w:val="000000"/>
          <w:sz w:val="20"/>
        </w:rPr>
        <w:t xml:space="preserve">) injection product should be eligible for special Medicare reimbursement under the </w:t>
      </w:r>
      <w:r>
        <w:rPr>
          <w:rFonts w:ascii="Times New Roman;sans-serif" w:hAnsi="Times New Roman;sans-serif"/>
          <w:b w:val="false"/>
          <w:i/>
          <w:color w:val="000000"/>
          <w:sz w:val="20"/>
        </w:rPr>
        <w:t>Non-Opioids Prevent Addiction in the Nation Act</w:t>
      </w:r>
      <w:r>
        <w:rPr>
          <w:color w:val="000000"/>
        </w:rPr>
        <w:t xml:space="preserve"> </w:t>
      </w:r>
      <w:r>
        <w:rPr>
          <w:rFonts w:ascii="Times New Roman;sans-serif" w:hAnsi="Times New Roman;sans-serif"/>
          <w:b w:val="false"/>
          <w:color w:val="000000"/>
          <w:sz w:val="20"/>
        </w:rPr>
        <w:t xml:space="preserve">(the “NOPAIN Act”), which was enacted as part of the Consolidated Appropriations Act of 2023.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NOPAIN Act requires Medicare to provide separate reimbursement for non-opioid products that are used to manage pain during surgeries conducted in outpatient hospital departments or in ambulatory surgical centers. The NOPAIN Act applies, in part, to products that are indicated to provide analgesia without acting upon the body’s opioid receptors. As a result, the Company expects that the NOPAIN Act will affect Medicare reimbursement for Caldolor, Cumberland’s non-opioid analgesic injection product.</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methodology for reimbursement for non-opioid pain alternatives under the NOPAIN Act will apply to those products that are furnished between January 1, 2025 and January 1, 2028. It is anticipated that in 2024, the Centers for Medicare &amp; Medicaid Services (CMS) will issue regulations implementing the NOPAIN Act and detailing the conditions for, and amount of, the separate reimbursement.</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Caldolor is approved by the U.S. Food and Drug Administration (FDA) for use in adults and pediatric patients six months and older, for the management of mild to moderate pain as a sole therapy, and for the management of moderate to severe pain as an adjunct to an opioid. A series of published clinical studies have demonstrated that Caldolor significantly reduces patient pain, while also significantly reducing patients’ need for opioids.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Full prescribing and safety information can be found at the brand’s website www.caldolor.com.</w:t>
      </w:r>
    </w:p>
    <w:p>
      <w:pPr>
        <w:pStyle w:val="TextBody"/>
        <w:spacing w:before="160" w:after="283"/>
        <w:jc w:val="both"/>
        <w:rPr/>
      </w:pPr>
      <w:r>
        <w:rPr/>
      </w:r>
    </w:p>
    <w:p>
      <w:pPr>
        <w:pStyle w:val="TextBody"/>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FORWARD-LOOKING STATEMENTS: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press release contains forward-looking statements, which are subject to certain risks and reflect the companies’ current views on future events based on what it believes are reasonable assumptions. No assurance can be given that these events will occur. As with any business, all phases of the companies’ operations are subject to factors outside of its control, and any one or combination of these factors could materially affect results of operations. There can be no assurance that anticipated results associated with the brand will be realized or that they will have the expected effects. Readers are cautioned not to place undue reliance on forward-looking statements, which speak only as of the date hereof. The companies do not undertake any obligation to publicly revise these statements to reflect events after the date hereof. Investors should refer to filings with the government securities agencies for more information, including the risk factors associated an investment in each company.</w:t>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16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25"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25"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786" w:type="dxa"/>
        <w:jc w:val="center"/>
        <w:tblInd w:w="0" w:type="dxa"/>
        <w:tblCellMar>
          <w:top w:w="28" w:type="dxa"/>
          <w:left w:w="28" w:type="dxa"/>
          <w:bottom w:w="28" w:type="dxa"/>
          <w:right w:w="28" w:type="dxa"/>
        </w:tblCellMar>
      </w:tblPr>
      <w:tblGrid>
        <w:gridCol w:w="683"/>
        <w:gridCol w:w="600"/>
        <w:gridCol w:w="606"/>
        <w:gridCol w:w="109"/>
        <w:gridCol w:w="109"/>
        <w:gridCol w:w="109"/>
        <w:gridCol w:w="109"/>
        <w:gridCol w:w="109"/>
        <w:gridCol w:w="109"/>
        <w:gridCol w:w="109"/>
        <w:gridCol w:w="109"/>
        <w:gridCol w:w="109"/>
        <w:gridCol w:w="303"/>
        <w:gridCol w:w="303"/>
        <w:gridCol w:w="303"/>
        <w:gridCol w:w="312"/>
        <w:gridCol w:w="312"/>
        <w:gridCol w:w="312"/>
        <w:gridCol w:w="312"/>
        <w:gridCol w:w="312"/>
        <w:gridCol w:w="447"/>
      </w:tblGrid>
      <w:tr>
        <w:trPr/>
        <w:tc>
          <w:tcPr>
            <w:tcW w:w="683"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16"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14,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7"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Hamm</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Hamm</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774</Words>
  <CharactersWithSpaces>5099</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