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9, 2022 (August 9,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On May 10, 2022, Cumberland Pharmaceuticals Inc. (the "Company") issued a press release which provided a company update and the financial results for the three months ended March 31, 2022. A copy of the press release is attached as </w:t>
      </w:r>
      <w:r>
        <w:rPr>
          <w:rFonts w:ascii="Times New Roman" w:cs="Times New Roman" w:eastAsia="Times New Roman" w:hAnsi="Times New Roman"/>
          <w:sz w:val="20"/>
          <w:szCs w:val="20"/>
          <w:u w:val="single" w:color="auto"/>
          <w:color w:val="0000FF"/>
        </w:rPr>
        <w:t>Exhibit 99.1</w:t>
      </w:r>
      <w:r>
        <w:rPr>
          <w:rFonts w:ascii="Times New Roman" w:cs="Times New Roman" w:eastAsia="Times New Roman" w:hAnsi="Times New Roman"/>
          <w:sz w:val="20"/>
          <w:szCs w:val="20"/>
          <w:color w:val="auto"/>
        </w:rPr>
        <w:t xml:space="preserve"> to this Current Report on Form 8-K and is incorporated by reference into this Item 2.02.</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August 9, 2022</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top w:val="single" w:sz="8" w:color="0000FF"/>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86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2022</w:t>
            </w:r>
          </w:p>
        </w:tc>
        <w:tc>
          <w:tcPr>
            <w:tcW w:w="40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3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89"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Reports 14% Revenue Growth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Expanding portfolio of FDA approved brands driving double digit growth</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NASHVILLE, TENNESSEE (Tuesday, August 9, 2022) - Cumberland Pharmaceuticals Inc. (NASDAQ: CPIX)</w:t>
      </w:r>
      <w:r>
        <w:rPr>
          <w:rFonts w:ascii="Times New Roman" w:cs="Times New Roman" w:eastAsia="Times New Roman" w:hAnsi="Times New Roman"/>
          <w:sz w:val="22"/>
          <w:szCs w:val="22"/>
          <w:color w:val="auto"/>
        </w:rPr>
        <w:t>, a specialty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company today announced that its product portfolio of FDA-approved brands delivered combined revenues of $10.3 million during the second quarter of 2022, - a 14% increase over the prior year period. Cumberland also reports a 10% increase in net revenues for the first half of the year compared to the same period in 2021.</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Year-to-date cash flow from operations were $2.2 million. The Company's financial position included $93 million in total assets, $53 million in total liabilities, and $40 million of shareholders’ equity at the end of the quarter.</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have had a strong first half of the year, especially following our exciting and significant acquisition of the oncology-supportive care medicine Sancuso,” said A.J. Kazimi, CEO of Cumberland Pharmaceuticals. “We look forward to building on this success throughout the remainder of the year, as we continue to fulfill our mission of providing innovative products to improve the quality of care for patients.”</w:t>
      </w:r>
    </w:p>
    <w:p>
      <w:pPr>
        <w:spacing w:after="0" w:line="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Cumberland will report its full second quarter 2022 financial results and provide a company update via a conference call today at 4:30 p.m. Eastern Time.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Call Participation</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To join, please register at https://register.vevent.com/register/BIcc5e9791aa7343d9927dca16dc4cf493. Once registered, participants can dial in from their phone using a dial-in and PIN number that will be provided. Alternatively, there is a “Call Me” option to have the system automatically call them at the start of the conference. A replay of the call will be available for one year and can be accessed via Cumberland’s website or by visiting https://edge.media-server.com/mmc/p/3qe9g6y5</w:t>
      </w:r>
      <w:r>
        <w:rPr>
          <w:rFonts w:ascii="Times New Roman" w:cs="Times New Roman" w:eastAsia="Times New Roman" w:hAnsi="Times New Roman"/>
          <w:sz w:val="22"/>
          <w:szCs w:val="22"/>
          <w:color w:val="0000FF"/>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Among the updates the company will share during today’s conference call 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b w:val="1"/>
          <w:bCs w:val="1"/>
          <w:color w:val="auto"/>
        </w:rPr>
        <w:t xml:space="preserve"> Promotion</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Following its January 2022 acquisition of oncology-supportive care medicine Sancuso, Cumberland entered into an agreement with Verity Pharmaceuticals International Limited for the national co-promotion of the product. A specialty pharmaceutical company, Verity will utilize its established oncology commercial organization and customer network to co-promote Sancuso throughout the United States. Verity launched its national co-promotion efforts in July 2022.</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2021 Sustainability Report</w:t>
      </w:r>
    </w:p>
    <w:p>
      <w:pPr>
        <w:spacing w:after="0" w:line="1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early August 2022, Cumberland announced the results of its 2021 Sustainability Report, outlining the company’s activities pertaining to environmental, social and governance matters.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Highlights from the report include:</w:t>
      </w:r>
    </w:p>
    <w:p>
      <w:pPr>
        <w:spacing w:after="0" w:line="13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Cumberland provided 2.43 million doses of its products for patients in 2021.</w:t>
      </w:r>
    </w:p>
    <w:p>
      <w:pPr>
        <w:spacing w:after="0" w:line="15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Cumberland also safely disposed of over 6,200 pounds of expired or damaged products in 2021.</w:t>
      </w:r>
    </w:p>
    <w:p>
      <w:pPr>
        <w:spacing w:after="0" w:line="151" w:lineRule="exact"/>
        <w:rPr>
          <w:rFonts w:ascii="Arial" w:cs="Arial" w:eastAsia="Arial" w:hAnsi="Arial"/>
          <w:sz w:val="22"/>
          <w:szCs w:val="22"/>
          <w:color w:val="auto"/>
        </w:rPr>
      </w:pPr>
    </w:p>
    <w:p>
      <w:pPr>
        <w:ind w:left="980" w:right="7880" w:hanging="648"/>
        <w:spacing w:after="0" w:line="397" w:lineRule="auto"/>
        <w:tabs>
          <w:tab w:leader="none" w:pos="651" w:val="left"/>
        </w:tabs>
        <w:numPr>
          <w:ilvl w:val="0"/>
          <w:numId w:val="2"/>
        </w:numPr>
        <w:rPr>
          <w:rFonts w:ascii="Arial" w:cs="Arial" w:eastAsia="Arial" w:hAnsi="Arial"/>
          <w:sz w:val="21"/>
          <w:szCs w:val="21"/>
          <w:color w:val="auto"/>
        </w:rPr>
      </w:pPr>
      <w:r>
        <w:rPr>
          <w:rFonts w:ascii="Times New Roman" w:cs="Times New Roman" w:eastAsia="Times New Roman" w:hAnsi="Times New Roman"/>
          <w:sz w:val="21"/>
          <w:szCs w:val="21"/>
          <w:color w:val="auto"/>
        </w:rPr>
        <w:t xml:space="preserve">During 2021, Cumberland had: </w:t>
      </w:r>
      <w:r>
        <w:rPr>
          <w:rFonts w:ascii="Arial" w:cs="Arial" w:eastAsia="Arial" w:hAnsi="Arial"/>
          <w:sz w:val="21"/>
          <w:szCs w:val="21"/>
          <w:color w:val="auto"/>
        </w:rPr>
        <w:t xml:space="preserve">* </w:t>
      </w:r>
      <w:r>
        <w:rPr>
          <w:rFonts w:ascii="Times New Roman" w:cs="Times New Roman" w:eastAsia="Times New Roman" w:hAnsi="Times New Roman"/>
          <w:sz w:val="21"/>
          <w:szCs w:val="21"/>
          <w:color w:val="auto"/>
        </w:rPr>
        <w:t>no products recalled,</w:t>
      </w:r>
    </w:p>
    <w:p>
      <w:pPr>
        <w:spacing w:after="0" w:line="4"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no company brands listed on FDA’s </w:t>
      </w:r>
      <w:r>
        <w:rPr>
          <w:rFonts w:ascii="Times New Roman" w:cs="Times New Roman" w:eastAsia="Times New Roman" w:hAnsi="Times New Roman"/>
          <w:sz w:val="22"/>
          <w:szCs w:val="22"/>
          <w:i w:val="1"/>
          <w:iCs w:val="1"/>
          <w:color w:val="auto"/>
        </w:rPr>
        <w:t>MedWatch Safety Alerts for Human Medical Products</w:t>
      </w:r>
      <w:r>
        <w:rPr>
          <w:rFonts w:ascii="Times New Roman" w:cs="Times New Roman" w:eastAsia="Times New Roman" w:hAnsi="Times New Roman"/>
          <w:sz w:val="22"/>
          <w:szCs w:val="22"/>
          <w:color w:val="auto"/>
        </w:rPr>
        <w:t>,</w:t>
      </w:r>
    </w:p>
    <w:p>
      <w:pPr>
        <w:spacing w:after="0" w:line="151"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no company product issues identified by FDA from their </w:t>
      </w:r>
      <w:r>
        <w:rPr>
          <w:rFonts w:ascii="Times New Roman" w:cs="Times New Roman" w:eastAsia="Times New Roman" w:hAnsi="Times New Roman"/>
          <w:sz w:val="22"/>
          <w:szCs w:val="22"/>
          <w:i w:val="1"/>
          <w:iCs w:val="1"/>
          <w:color w:val="auto"/>
        </w:rPr>
        <w:t>Adverse Event Reporting System</w:t>
      </w:r>
      <w:r>
        <w:rPr>
          <w:rFonts w:ascii="Times New Roman" w:cs="Times New Roman" w:eastAsia="Times New Roman" w:hAnsi="Times New Roman"/>
          <w:sz w:val="22"/>
          <w:szCs w:val="22"/>
          <w:color w:val="auto"/>
        </w:rPr>
        <w:t>,</w:t>
      </w:r>
    </w:p>
    <w:p>
      <w:pPr>
        <w:spacing w:after="0" w:line="141"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no clinical trials terminated due to failure to practice good clinical standards.</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2021 Sustainability Report also highlights Cumberland’s investment in its employees through its continuing education programs, employee development initiatives and employee recognition awards. Cumberland’s workforce is 44% women, and 15% of its employees are minorities.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Board Member</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July 2022, Cumberland welcomed Martin Brown Jr. to its board of directors. Brown’s experience includes 10 years on the board of directors of Brown-Forman Corporation, a large American spirits and wine company whose shares are listed on the New York Stock Exchange. Additionally, he has served since 2018 on the board of directors of the parent company of Aegis Sciences Corporation, a federally certified health care laboratory headquartered in Nashville.</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Brown is an attorney at Adams and Reese LLP. He has nearly 30 years of legal experience representing privately held businesses, counseling owners in complex business transactions, intellectual property licensing, international commerce, mergers and acquisitions, and estate planning. He has been listed since 2009 in the corporate law category of Best Lawyers</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rPr>
        <w:t>.</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Additionally, Brown has been an active board member for many community organizations, including the Land Trust for Tennessee, Nashville Public Radio, Montgomery Bell Academy, Nashville Public Television, Centerstone Mental Health Center, Cheekwood Estate and Gardens, and Tennessee chapter of the Nature Conservancy.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RediTrex</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b w:val="1"/>
          <w:bCs w:val="1"/>
          <w:color w:val="auto"/>
        </w:rPr>
        <w:t xml:space="preserve"> Arrangements with Nordic Pharma</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On July 12, 2022, Cumberland and Nordic Pharma entered into an amendment to their agreement, addressing the responsibilities and financial arrangements regarding Cumberland’s license to Nordic’s methotrexate line of products for the U.S., which is marketed under the brand name RediTrex.</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Based on the amendment, Cumberland has provided Nordic the opportunity to assume responsibility for commercializing the methotrexate products in the U.S. after March 31, 2023. Until then, Cumberland will continue to distribute and support the RediTrex product line. Following the return of the license, Nordic will provide Cumberland with a royalty on their future sales of the product through April 2035. The two companies will continue to collaborate on any transition and ongoing commercialization of the product line.</w:t>
      </w:r>
    </w:p>
    <w:p>
      <w:pPr>
        <w:sectPr>
          <w:pgSz w:w="11900" w:h="16838" w:orient="portrait"/>
          <w:cols w:equalWidth="0" w:num="1">
            <w:col w:w="11240"/>
          </w:cols>
          <w:pgMar w:left="320" w:top="10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Ifetroban Clinical Studies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Cumberland is currently sponsoring three Phase II clinical programs to evaluate its ifetroban product candidate in 1) Aspirin-Exacerbated Respiratory Disease (AERD), a severe form of asthma; 2) Systemic Sclerosis or scleroderma, a debilitating autoimmune disorder characterized by diffuse fibrosis of the skin and internal organs; and 3) patients with cardiomyopathy associated with Duchenne Muscular Dystrophy, a genetic neuromuscular disease that results in deterioration of the skeletal, heart and lung muscles. Cumberland is awaiting results from the studies underway before deciding on the best development path for the registration of ifetroban.</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is also designing a fourth Phase II program to evaluate the use of ifetroban to treat patients with Progressive Fibrosing Interstitial Lung Diseases and is currently preparing an application to the FDA to support the new program.</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addition to these Cumberland-sponsored studies, Harvard clinical investigators have led a Phase II trial in patients with AERD. Their study is designed to understand the mechanism of ifetroban in those patients and therefore complements the work Cumberland has underway. Their work has been supported by a $5 million grant from the NIH. Patient enrollment in the study is now closed, and the data analysis is underway.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Ifetroban Publication</w:t>
      </w:r>
    </w:p>
    <w:p>
      <w:pPr>
        <w:spacing w:after="0" w:line="1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In June 2022, the </w:t>
      </w:r>
      <w:r>
        <w:rPr>
          <w:rFonts w:ascii="Times New Roman" w:cs="Times New Roman" w:eastAsia="Times New Roman" w:hAnsi="Times New Roman"/>
          <w:sz w:val="22"/>
          <w:szCs w:val="22"/>
          <w:i w:val="1"/>
          <w:iCs w:val="1"/>
          <w:color w:val="auto"/>
        </w:rPr>
        <w:t>American Journal of Respiratory and Critical Care Medicine</w:t>
      </w:r>
      <w:r>
        <w:rPr>
          <w:rFonts w:ascii="Times New Roman" w:cs="Times New Roman" w:eastAsia="Times New Roman" w:hAnsi="Times New Roman"/>
          <w:sz w:val="22"/>
          <w:szCs w:val="22"/>
          <w:color w:val="auto"/>
        </w:rPr>
        <w:t xml:space="preserve"> published preclinical studies that support the use of ifetroban as a promising therapeutic for patients with pulmonary fibrosis associated with lung disease.</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Specifically, the researchers reported that ifetroban was used to block thromboxane receptor signaling in three preclinical models of lung fibrosis: bleomycin-induced lung fibrosis, Hermansky-Pudlak Syndrome mice and radiation-induced lung fibrosis. Ifetroban reduced pro-fibrotic signaling in the lungs and prevented lung fibrosis due to multiple causes (bleomycin, genetic and radiation).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r>
        <w:rPr>
          <w:rFonts w:ascii="Times New Roman" w:cs="Times New Roman" w:eastAsia="Times New Roman" w:hAnsi="Times New Roman"/>
          <w:sz w:val="22"/>
          <w:szCs w:val="22"/>
          <w:b w:val="1"/>
          <w:bCs w:val="1"/>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Net Revenue: </w:t>
      </w:r>
      <w:r>
        <w:rPr>
          <w:rFonts w:ascii="Times New Roman" w:cs="Times New Roman" w:eastAsia="Times New Roman" w:hAnsi="Times New Roman"/>
          <w:sz w:val="22"/>
          <w:szCs w:val="22"/>
          <w:color w:val="auto"/>
        </w:rPr>
        <w:t>For the three months ended June 30, 2022, net revenues from continuing operations were $10.3 million.</w:t>
      </w:r>
    </w:p>
    <w:p>
      <w:pPr>
        <w:spacing w:after="0" w:line="14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Net revenue by product for the second quarter of 2022, included $3.6 million for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$3.4 million for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$1.6 million for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$1.2 million for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Year-to-date 2022 net revenues were $21.5 million, compared to $19.6 million for the prior year period.</w:t>
      </w:r>
    </w:p>
    <w:p>
      <w:pPr>
        <w:spacing w:after="0" w:line="1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Year-to-date net revenues by product were $7.5 million for Kristalose, $6.8 million for Sancuso, $4.1 million for Vibativ and $2.2 million for Caldolor.</w:t>
      </w:r>
    </w:p>
    <w:p>
      <w:pPr>
        <w:spacing w:after="0" w:line="8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Total operating expenses for the second quarter were $12.1 million, compared to $10.5 million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year period.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Year-to-date 2022 operating expenses were $24.6 million, compared to $21.4 million for 2021.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Adjusted earnings for the second quarter of 2022 were $(0.3) million, or $(0.01) per share.</w:t>
      </w:r>
    </w:p>
    <w:p>
      <w:pPr>
        <w:sectPr>
          <w:pgSz w:w="11900" w:h="16838" w:orient="portrait"/>
          <w:cols w:equalWidth="0" w:num="1">
            <w:col w:w="11240"/>
          </w:cols>
          <w:pgMar w:left="320" w:top="1040" w:right="339" w:bottom="1440" w:gutter="0" w:footer="0" w:header="0"/>
        </w:sectPr>
      </w:pPr>
    </w:p>
    <w:bookmarkStart w:id="6" w:name="page7"/>
    <w:bookmarkEnd w:id="6"/>
    <w:p>
      <w:pPr>
        <w:jc w:val="both"/>
        <w:spacing w:after="0" w:line="257" w:lineRule="auto"/>
        <w:rPr>
          <w:sz w:val="20"/>
          <w:szCs w:val="20"/>
          <w:color w:val="auto"/>
        </w:rPr>
      </w:pPr>
      <w:r>
        <w:rPr>
          <w:rFonts w:ascii="Times New Roman" w:cs="Times New Roman" w:eastAsia="Times New Roman" w:hAnsi="Times New Roman"/>
          <w:sz w:val="22"/>
          <w:szCs w:val="22"/>
          <w:color w:val="auto"/>
        </w:rPr>
        <w:t>The adjusted earnings calculation does not include the benefit of the $0.3 million of Vibativ cost of goods, which were received with the product acquisition. It also does not include the benefit of the $0.4 million of Sancuso cost of goods, which were received with that product’s acquisition.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Cash Flow: </w:t>
      </w:r>
      <w:r>
        <w:rPr>
          <w:rFonts w:ascii="Times New Roman" w:cs="Times New Roman" w:eastAsia="Times New Roman" w:hAnsi="Times New Roman"/>
          <w:sz w:val="22"/>
          <w:szCs w:val="22"/>
          <w:color w:val="auto"/>
        </w:rPr>
        <w:t>Year-to-date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22"/>
          <w:szCs w:val="22"/>
          <w:color w:val="auto"/>
        </w:rPr>
        <w:t>ash flow from operations was $2.2 million.</w:t>
      </w:r>
    </w:p>
    <w:p>
      <w:pPr>
        <w:spacing w:after="0" w:line="152"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Balance Sheet: </w:t>
      </w:r>
      <w:r>
        <w:rPr>
          <w:rFonts w:ascii="Times New Roman" w:cs="Times New Roman" w:eastAsia="Times New Roman" w:hAnsi="Times New Roman"/>
          <w:sz w:val="22"/>
          <w:szCs w:val="22"/>
          <w:color w:val="auto"/>
        </w:rPr>
        <w:t>At June 30, 2022, Cumberland had $93 million in total assets including $18 million in cash and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Total liabilities were $53 million, including $19 million outstanding on the Company's revolving line of credit. Total shareholders' equity was $40 million.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PHARMACEUTICALS: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Cumberland Pharmaceuticals Inc. </w:t>
      </w:r>
      <w:r>
        <w:rPr>
          <w:rFonts w:ascii="Times New Roman" w:cs="Times New Roman" w:eastAsia="Times New Roman" w:hAnsi="Times New Roman"/>
          <w:sz w:val="21"/>
          <w:szCs w:val="21"/>
          <w:color w:val="auto"/>
        </w:rPr>
        <w:t>is the largest biopharmaceutical company founded and headquartered in the Mid-South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focused on the delivery of high-quality, prescription brands designed to improve patient care. The company develops, acquires, and commercializes products for the hospital acute care, gastroenterology, rheumatology and oncology market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portfolio of FDA-approved brands includes:</w:t>
      </w:r>
    </w:p>
    <w:p>
      <w:pPr>
        <w:spacing w:after="0" w:line="148" w:lineRule="exact"/>
        <w:rPr>
          <w:sz w:val="20"/>
          <w:szCs w:val="20"/>
          <w:color w:val="auto"/>
        </w:rPr>
      </w:pPr>
    </w:p>
    <w:p>
      <w:pPr>
        <w:ind w:left="580" w:hanging="329"/>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79" w:lineRule="exact"/>
        <w:rPr>
          <w:rFonts w:ascii="Times New Roman" w:cs="Times New Roman" w:eastAsia="Times New Roman" w:hAnsi="Times New Roman"/>
          <w:sz w:val="18"/>
          <w:szCs w:val="18"/>
          <w:b w:val="1"/>
          <w:bCs w:val="1"/>
          <w:color w:val="auto"/>
        </w:rPr>
      </w:pPr>
    </w:p>
    <w:p>
      <w:pPr>
        <w:ind w:left="560" w:hanging="309"/>
        <w:spacing w:after="0"/>
        <w:tabs>
          <w:tab w:leader="none" w:pos="5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83" w:lineRule="exact"/>
        <w:rPr>
          <w:rFonts w:ascii="Times New Roman" w:cs="Times New Roman" w:eastAsia="Times New Roman" w:hAnsi="Times New Roman"/>
          <w:sz w:val="22"/>
          <w:szCs w:val="22"/>
          <w:b w:val="1"/>
          <w:bCs w:val="1"/>
          <w:color w:val="auto"/>
        </w:rPr>
      </w:pPr>
    </w:p>
    <w:p>
      <w:pPr>
        <w:ind w:left="580" w:hanging="329"/>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83" w:lineRule="exact"/>
        <w:rPr>
          <w:rFonts w:ascii="Times New Roman" w:cs="Times New Roman" w:eastAsia="Times New Roman" w:hAnsi="Times New Roman"/>
          <w:sz w:val="18"/>
          <w:szCs w:val="18"/>
          <w:b w:val="1"/>
          <w:bCs w:val="1"/>
          <w:color w:val="auto"/>
        </w:rPr>
      </w:pPr>
    </w:p>
    <w:p>
      <w:pPr>
        <w:ind w:left="580" w:right="380" w:hanging="329"/>
        <w:spacing w:after="0" w:line="228" w:lineRule="auto"/>
        <w:tabs>
          <w:tab w:leader="none" w:pos="57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Omeclamox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-Pak</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omeprazole, clarithromycin, amoxicillin</w:t>
      </w:r>
      <w:r>
        <w:rPr>
          <w:rFonts w:ascii="Times New Roman" w:cs="Times New Roman" w:eastAsia="Times New Roman" w:hAnsi="Times New Roman"/>
          <w:sz w:val="22"/>
          <w:szCs w:val="22"/>
          <w:color w:val="auto"/>
        </w:rPr>
        <w:t>) oral, for the treatment of Helicobacter pylori (</w:t>
      </w:r>
      <w:r>
        <w:rPr>
          <w:rFonts w:ascii="Times New Roman" w:cs="Times New Roman" w:eastAsia="Times New Roman" w:hAnsi="Times New Roman"/>
          <w:sz w:val="22"/>
          <w:szCs w:val="22"/>
          <w:i w:val="1"/>
          <w:iCs w:val="1"/>
          <w:color w:val="auto"/>
        </w:rPr>
        <w:t>H. pylori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infection and related duodenal ulcer disease;</w:t>
      </w:r>
    </w:p>
    <w:p>
      <w:pPr>
        <w:spacing w:after="0" w:line="115" w:lineRule="exact"/>
        <w:rPr>
          <w:rFonts w:ascii="Times New Roman" w:cs="Times New Roman" w:eastAsia="Times New Roman" w:hAnsi="Times New Roman"/>
          <w:sz w:val="18"/>
          <w:szCs w:val="18"/>
          <w:b w:val="1"/>
          <w:bCs w:val="1"/>
          <w:color w:val="auto"/>
        </w:rPr>
      </w:pPr>
    </w:p>
    <w:p>
      <w:pPr>
        <w:ind w:left="580" w:right="360" w:hanging="329"/>
        <w:spacing w:after="0" w:line="228" w:lineRule="auto"/>
        <w:tabs>
          <w:tab w:leader="none" w:pos="57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RediTrex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(methotrexate)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injection, for the treatment of active rheumatoid, juvenile idiopathic and severe psoriatic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arthritis, as well as disabling psoriasis;</w:t>
      </w:r>
    </w:p>
    <w:p>
      <w:pPr>
        <w:spacing w:after="0" w:line="118" w:lineRule="exact"/>
        <w:rPr>
          <w:rFonts w:ascii="Times New Roman" w:cs="Times New Roman" w:eastAsia="Times New Roman" w:hAnsi="Times New Roman"/>
          <w:sz w:val="18"/>
          <w:szCs w:val="18"/>
          <w:b w:val="1"/>
          <w:bCs w:val="1"/>
          <w:color w:val="auto"/>
        </w:rPr>
      </w:pPr>
    </w:p>
    <w:p>
      <w:pPr>
        <w:ind w:left="580" w:right="20" w:hanging="329"/>
        <w:spacing w:after="0" w:line="274" w:lineRule="auto"/>
        <w:tabs>
          <w:tab w:leader="none" w:pos="57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79" w:lineRule="exact"/>
        <w:rPr>
          <w:rFonts w:ascii="Arial" w:cs="Arial" w:eastAsia="Arial" w:hAnsi="Arial"/>
          <w:sz w:val="22"/>
          <w:szCs w:val="22"/>
          <w:color w:val="auto"/>
        </w:rPr>
      </w:pPr>
    </w:p>
    <w:p>
      <w:pPr>
        <w:ind w:left="580" w:right="380" w:hanging="329"/>
        <w:spacing w:after="0" w:line="228" w:lineRule="auto"/>
        <w:tabs>
          <w:tab w:leader="none" w:pos="57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hypervolemic hyponatremia; and</w:t>
      </w:r>
    </w:p>
    <w:p>
      <w:pPr>
        <w:spacing w:after="0" w:line="115" w:lineRule="exact"/>
        <w:rPr>
          <w:rFonts w:ascii="Times New Roman" w:cs="Times New Roman" w:eastAsia="Times New Roman" w:hAnsi="Times New Roman"/>
          <w:sz w:val="18"/>
          <w:szCs w:val="18"/>
          <w:b w:val="1"/>
          <w:bCs w:val="1"/>
          <w:color w:val="auto"/>
        </w:rPr>
      </w:pPr>
    </w:p>
    <w:p>
      <w:pPr>
        <w:ind w:left="580" w:right="380" w:hanging="329"/>
        <w:spacing w:after="0" w:line="228" w:lineRule="auto"/>
        <w:tabs>
          <w:tab w:leader="none" w:pos="575"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ventilator-associated bacterial pneumonia, as well as complicated skin and skin structure infections;</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cardiomyopathy associated with Duchenne Muscular Dystrophy, Systemic Sclerosis, and Aspirin-Exacerbated Respiratory Disease.</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more information on Cumberland’s approved products, including full prescribing information, please visit links to the individual product websites, which can be found on the Company’s website www.cumberlandpharma.com.</w:t>
      </w:r>
    </w:p>
    <w:p>
      <w:pPr>
        <w:sectPr>
          <w:pgSz w:w="11900" w:h="16838" w:orient="portrait"/>
          <w:cols w:equalWidth="0" w:num="1">
            <w:col w:w="11240"/>
          </w:cols>
          <w:pgMar w:left="320" w:top="104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About 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(acetylcysteine) Injection</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www.acetadote.com.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www.kristalose.com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Omeclamox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-Pak (omeprazole, clarithromycin, amoxicillin)</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www.omeclamox.com.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RediTrex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(methotrexate) Injection</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www.reditrex.com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Sancuso</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granisetron) Transdermal System</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Sancuso is the only skin patch approved by the U.S. Food and Drug Administration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www.sancuso.com.</w:t>
      </w:r>
    </w:p>
    <w:p>
      <w:pPr>
        <w:sectPr>
          <w:pgSz w:w="11900" w:h="16838" w:orient="portrait"/>
          <w:cols w:equalWidth="0" w:num="1">
            <w:col w:w="11240"/>
          </w:cols>
          <w:pgMar w:left="320" w:top="103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www.vaprisol.com.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www.vibativ.com.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Cumberland Emerging Technologies (CET)</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Cumberland Emerging Technologies, Inc. (www.cet-fund.com)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03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10-Q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89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Shayla Simpson</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Molly Aggas</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Dalton Agency</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(615) 255-0068</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(704) 641-6641</w:t>
            </w:r>
          </w:p>
        </w:tc>
      </w:tr>
      <w:tr>
        <w:trPr>
          <w:trHeight w:val="586"/>
        </w:trPr>
        <w:tc>
          <w:tcPr>
            <w:tcW w:w="2880" w:type="dxa"/>
            <w:vAlign w:val="bottom"/>
          </w:tcPr>
          <w:p>
            <w:pPr>
              <w:spacing w:after="0"/>
              <w:rPr>
                <w:sz w:val="24"/>
                <w:szCs w:val="24"/>
                <w:color w:val="auto"/>
              </w:rPr>
            </w:pPr>
          </w:p>
        </w:tc>
        <w:tc>
          <w:tcPr>
            <w:tcW w:w="46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 MORE -</w:t>
            </w:r>
          </w:p>
        </w:tc>
      </w:tr>
    </w:tbl>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27,040,816</w:t>
            </w:r>
          </w:p>
        </w:tc>
      </w:tr>
      <w:tr>
        <w:trPr>
          <w:trHeight w:val="23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6,877,346</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8,429,882</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2,835,465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3,339,969</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43,748,498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45,688,013</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9,048,567</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442,635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32,975,117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23,954,475</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1,024,200</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2,536,500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3,419,908</w:t>
            </w:r>
          </w:p>
        </w:tc>
      </w:tr>
      <w:tr>
        <w:trPr>
          <w:trHeight w:val="223"/>
        </w:trPr>
        <w:tc>
          <w:tcPr>
            <w:tcW w:w="7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92,517,637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84,459,798</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9,640,980</w:t>
            </w:r>
          </w:p>
        </w:tc>
      </w:tr>
      <w:tr>
        <w:trPr>
          <w:trHeight w:val="23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969,677</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13,148,060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8,668,303</w:t>
            </w:r>
          </w:p>
        </w:tc>
      </w:tr>
      <w:tr>
        <w:trPr>
          <w:trHeight w:val="223"/>
        </w:trPr>
        <w:tc>
          <w:tcPr>
            <w:tcW w:w="7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24,251,969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19,278,960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90,016</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10,061,376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7,488,844</w:t>
            </w:r>
          </w:p>
        </w:tc>
      </w:tr>
      <w:tr>
        <w:trPr>
          <w:trHeight w:val="223"/>
        </w:trPr>
        <w:tc>
          <w:tcPr>
            <w:tcW w:w="7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53,313,345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41,857,820</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stock—no par value; 100,000,000 shares authorized; 14,649,693 and 14,742,754</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June 30, 2022 and December 31, 2021, respectively</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47,822,319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48,452,906</w:t>
            </w:r>
          </w:p>
        </w:tc>
      </w:tr>
      <w:tr>
        <w:trPr>
          <w:trHeight w:val="23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(8,359,473)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(5,638,600)</w:t>
            </w:r>
          </w:p>
        </w:tc>
      </w:tr>
      <w:tr>
        <w:trPr>
          <w:trHeight w:val="223"/>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39,462,846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42,814,306</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(212,328)</w:t>
            </w:r>
          </w:p>
        </w:tc>
      </w:tr>
      <w:tr>
        <w:trPr>
          <w:trHeight w:val="223"/>
        </w:trPr>
        <w:tc>
          <w:tcPr>
            <w:tcW w:w="7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39,204,292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42,601,978</w:t>
            </w: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92,517,637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84,459,798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4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10,299,152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9,055,483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19,592,642</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2,031,884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4,157,978</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4,556,685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4,121,817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7,909,157</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1,823,693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2,617,765</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2,203,975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4,327,639</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1,529,453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2,340,132</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12,145,690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10,491,212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24,612,734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21,352,671</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(1,760,029)</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2,187,140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gain on insurance proceeds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(50,276)</w:t>
            </w: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(1,357,766)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(2,753,299)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388,852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w:t>
            </w: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(1,364,666)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373,935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994,217</w:t>
            </w: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(1,364,666)</w:t>
            </w: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1,223,491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(2,767,099)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1,368,152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 subsidiary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w:t>
            </w: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(1,335,620)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1,228,560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(2,720,873)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1,395,388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Continuing operations - 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Discontinued operations - basic</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3"/>
        </w:trPr>
        <w:tc>
          <w:tcPr>
            <w:tcW w:w="52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0"/>
        </w:trPr>
        <w:tc>
          <w:tcPr>
            <w:tcW w:w="5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Continuing operations -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Discontinued operations - diluted</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3"/>
        </w:trPr>
        <w:tc>
          <w:tcPr>
            <w:tcW w:w="52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14,688,505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14,689,798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14,970,241</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14,688,505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15,109,246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14,689,798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15,171,589</w:t>
            </w:r>
          </w:p>
        </w:tc>
      </w:tr>
    </w:tbl>
    <w:p>
      <w:pPr>
        <w:sectPr>
          <w:pgSz w:w="11900" w:h="16838" w:orient="portrait"/>
          <w:cols w:equalWidth="0" w:num="1">
            <w:col w:w="11240"/>
          </w:cols>
          <w:pgMar w:left="320" w:top="887"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4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(2,767,099)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1,368,152</w:t>
            </w:r>
          </w:p>
        </w:tc>
      </w:tr>
      <w:tr>
        <w:trPr>
          <w:trHeight w:val="22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994,217</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(2,767,099)</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373,935</w:t>
            </w:r>
          </w:p>
        </w:tc>
      </w:tr>
      <w:tr>
        <w:trPr>
          <w:trHeight w:val="175"/>
        </w:trPr>
        <w:tc>
          <w:tcPr>
            <w:tcW w:w="74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from continuing operations to net cash provided by</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9"/>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3,272,085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2,455,576</w:t>
            </w:r>
          </w:p>
        </w:tc>
      </w:tr>
      <w:tr>
        <w:trPr>
          <w:trHeight w:val="23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354,914</w:t>
            </w:r>
          </w:p>
        </w:tc>
      </w:tr>
      <w:tr>
        <w:trPr>
          <w:trHeight w:val="229"/>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(180,110)</w:t>
            </w: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cash surrender value of life insurance policies over premiums paid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(226,897)</w:t>
            </w: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receivable of life insurance policy proceeds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27,666</w:t>
            </w: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forgiveness of debt</w:t>
            </w: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(2,187,140)</w:t>
            </w: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(5,527,690)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3,230,220</w:t>
            </w:r>
          </w:p>
        </w:tc>
      </w:tr>
      <w:tr>
        <w:trPr>
          <w:trHeight w:val="230"/>
        </w:trPr>
        <w:tc>
          <w:tcPr>
            <w:tcW w:w="7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2,309,914</w:t>
            </w:r>
          </w:p>
        </w:tc>
      </w:tr>
      <w:tr>
        <w:trPr>
          <w:trHeight w:val="229"/>
        </w:trPr>
        <w:tc>
          <w:tcPr>
            <w:tcW w:w="7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866,987</w:t>
            </w:r>
          </w:p>
        </w:tc>
      </w:tr>
      <w:tr>
        <w:trPr>
          <w:trHeight w:val="229"/>
        </w:trPr>
        <w:tc>
          <w:tcPr>
            <w:tcW w:w="7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(3,008,323)</w:t>
            </w:r>
          </w:p>
        </w:tc>
      </w:tr>
      <w:tr>
        <w:trPr>
          <w:trHeight w:val="230"/>
        </w:trPr>
        <w:tc>
          <w:tcPr>
            <w:tcW w:w="74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(526,189)</w:t>
            </w:r>
          </w:p>
        </w:tc>
      </w:tr>
      <w:tr>
        <w:trPr>
          <w:trHeight w:val="22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 from continuing operations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3,490,553</w:t>
            </w: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994,217</w:t>
            </w:r>
          </w:p>
        </w:tc>
      </w:tr>
      <w:tr>
        <w:trPr>
          <w:trHeight w:val="223"/>
        </w:trPr>
        <w:tc>
          <w:tcPr>
            <w:tcW w:w="7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2,180,038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4,484,770</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(34,531)</w:t>
            </w: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Note receivable investment funding</w:t>
            </w: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Additions to intangibles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(132,323)</w:t>
            </w:r>
          </w:p>
        </w:tc>
      </w:tr>
      <w:tr>
        <w:trPr>
          <w:trHeight w:val="22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(13,714,489)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(366,854)</w:t>
            </w: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29,000,000</w:t>
            </w: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r>
      <w:tr>
        <w:trPr>
          <w:trHeight w:val="23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payment of contingent consideration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(1,423,586)</w:t>
            </w:r>
          </w:p>
        </w:tc>
      </w:tr>
      <w:tr>
        <w:trPr>
          <w:trHeight w:val="229"/>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(777,664)</w:t>
            </w:r>
          </w:p>
        </w:tc>
      </w:tr>
      <w:tr>
        <w:trPr>
          <w:trHeight w:val="22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(3,201,250)</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(8,824,251)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916,666</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27,040,816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24,753,796</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18,216,565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25,670,462</w:t>
            </w: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887" w:right="379" w:bottom="1440" w:gutter="0" w:footer="0" w:header="0"/>
        </w:sectPr>
      </w:pPr>
    </w:p>
    <w:bookmarkStart w:id="13" w:name="page14"/>
    <w:bookmarkEnd w:id="13"/>
    <w:p>
      <w:pPr>
        <w:ind w:left="240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Reconciliation of Net Income (loss) Attributable to Common Shareholders to Adjusted Earnings (loss) and Adjusted Diluted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Earnings (loss) Per Share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120" w:type="dxa"/>
            <w:vAlign w:val="bottom"/>
          </w:tcPr>
          <w:p>
            <w:pPr>
              <w:spacing w:after="0"/>
              <w:rPr>
                <w:sz w:val="16"/>
                <w:szCs w:val="16"/>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impact</w:t>
            </w: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0" w:type="dxa"/>
            <w:vAlign w:val="bottom"/>
          </w:tcPr>
          <w:p>
            <w:pPr>
              <w:spacing w:after="0"/>
              <w:rPr>
                <w:sz w:val="1"/>
                <w:szCs w:val="1"/>
                <w:color w:val="auto"/>
              </w:rPr>
            </w:pPr>
          </w:p>
        </w:tc>
      </w:tr>
      <w:tr>
        <w:trPr>
          <w:trHeight w:val="140"/>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12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impact</w:t>
            </w:r>
          </w:p>
        </w:tc>
        <w:tc>
          <w:tcPr>
            <w:tcW w:w="0" w:type="dxa"/>
            <w:vAlign w:val="bottom"/>
          </w:tcPr>
          <w:p>
            <w:pPr>
              <w:spacing w:after="0"/>
              <w:rPr>
                <w:sz w:val="1"/>
                <w:szCs w:val="1"/>
                <w:color w:val="auto"/>
              </w:rPr>
            </w:pPr>
          </w:p>
        </w:tc>
      </w:tr>
      <w:tr>
        <w:trPr>
          <w:trHeight w:val="94"/>
        </w:trPr>
        <w:tc>
          <w:tcPr>
            <w:tcW w:w="5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84"/>
        </w:trPr>
        <w:tc>
          <w:tcPr>
            <w:tcW w:w="5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724,684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 (loss) from continuing operations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Gain on forgiveness of debt </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Gain on insurance proceeds </w:t>
            </w:r>
            <w:r>
              <w:rPr>
                <w:rFonts w:ascii="Times New Roman" w:cs="Times New Roman" w:eastAsia="Times New Roman" w:hAnsi="Times New Roman"/>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528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Adjusted Earnings (loss) from continuing operations and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Adjusted Diluted Earnings (loss) from continuing operations Per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(255,952)</w:t>
            </w:r>
          </w:p>
        </w:tc>
        <w:tc>
          <w:tcPr>
            <w:tcW w:w="120" w:type="dxa"/>
            <w:vAlign w:val="bottom"/>
          </w:tcPr>
          <w:p>
            <w:pPr>
              <w:spacing w:after="0"/>
              <w:rPr>
                <w:sz w:val="16"/>
                <w:szCs w:val="16"/>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2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14,688,505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14,976,034</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59" w:right="339" w:bottom="1440" w:gutter="0" w:footer="0" w:header="0"/>
        </w:sectPr>
      </w:pPr>
    </w:p>
    <w:bookmarkStart w:id="14" w:name="page15"/>
    <w:bookmarkEnd w:id="14"/>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8"/>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80"/>
        </w:trPr>
        <w:tc>
          <w:tcPr>
            <w:tcW w:w="5300" w:type="dxa"/>
            <w:vAlign w:val="bottom"/>
          </w:tcPr>
          <w:p>
            <w:pPr>
              <w:spacing w:after="0"/>
              <w:rPr>
                <w:sz w:val="15"/>
                <w:szCs w:val="15"/>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impact</w:t>
            </w:r>
          </w:p>
        </w:tc>
        <w:tc>
          <w:tcPr>
            <w:tcW w:w="1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180" w:type="dxa"/>
            <w:vAlign w:val="bottom"/>
          </w:tcPr>
          <w:p>
            <w:pPr>
              <w:spacing w:after="0"/>
              <w:rPr>
                <w:sz w:val="15"/>
                <w:szCs w:val="15"/>
                <w:color w:val="auto"/>
              </w:rPr>
            </w:pPr>
          </w:p>
        </w:tc>
        <w:tc>
          <w:tcPr>
            <w:tcW w:w="1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Earnings impact</w:t>
            </w:r>
          </w:p>
        </w:tc>
        <w:tc>
          <w:tcPr>
            <w:tcW w:w="1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1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0"/>
        </w:trPr>
        <w:tc>
          <w:tcPr>
            <w:tcW w:w="5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(2,720,873)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75"/>
        </w:trPr>
        <w:tc>
          <w:tcPr>
            <w:tcW w:w="5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373,935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 (loss) from continuing operations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2,455,576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Gain on forgiveness of debt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Gain on insurance proceeds </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3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Earnings (loss) from continuing operations and Adjusted</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265,696</w:t>
            </w:r>
          </w:p>
        </w:tc>
        <w:tc>
          <w:tcPr>
            <w:tcW w:w="10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1,050,461</w:t>
            </w:r>
          </w:p>
        </w:tc>
        <w:tc>
          <w:tcPr>
            <w:tcW w:w="12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from continuing operations Per Share</w:t>
            </w: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14,948,836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15,171,589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ectPr>
          <w:pgSz w:w="11900" w:h="16838" w:orient="portrait"/>
          <w:cols w:equalWidth="0" w:num="1">
            <w:col w:w="11240"/>
          </w:cols>
          <w:pgMar w:left="320" w:top="981" w:right="339" w:bottom="1440" w:gutter="0" w:footer="0" w:header="0"/>
        </w:sectPr>
      </w:pPr>
    </w:p>
    <w:bookmarkStart w:id="15" w:name="page16"/>
    <w:bookmarkEnd w:id="15"/>
    <w:p>
      <w:pPr>
        <w:jc w:val="both"/>
        <w:spacing w:after="0" w:line="247" w:lineRule="auto"/>
        <w:rPr>
          <w:sz w:val="20"/>
          <w:szCs w:val="20"/>
          <w:color w:val="auto"/>
        </w:rPr>
      </w:pPr>
      <w:r>
        <w:rPr>
          <w:rFonts w:ascii="Times New Roman" w:cs="Times New Roman" w:eastAsia="Times New Roman" w:hAnsi="Times New Roman"/>
          <w:sz w:val="22"/>
          <w:szCs w:val="22"/>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94" w:lineRule="exact"/>
        <w:rPr>
          <w:sz w:val="20"/>
          <w:szCs w:val="20"/>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Adjusted Earnings (loss): </w:t>
      </w:r>
      <w:r>
        <w:rPr>
          <w:rFonts w:ascii="Times New Roman" w:cs="Times New Roman" w:eastAsia="Times New Roman" w:hAnsi="Times New Roman"/>
          <w:sz w:val="22"/>
          <w:szCs w:val="22"/>
          <w:color w:val="auto"/>
        </w:rPr>
        <w:t>net income (loss) adjusted for the impact of discontinued operations, income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depreciation and amortization expense, share-based compensation, nonrecurring gains and interest income and interest expense.</w:t>
      </w:r>
    </w:p>
    <w:p>
      <w:pPr>
        <w:spacing w:after="0" w:line="197" w:lineRule="exact"/>
        <w:rPr>
          <w:rFonts w:ascii="Times New Roman" w:cs="Times New Roman" w:eastAsia="Times New Roman" w:hAnsi="Times New Roman"/>
          <w:sz w:val="22"/>
          <w:szCs w:val="22"/>
          <w:color w:val="auto"/>
        </w:rPr>
      </w:pPr>
    </w:p>
    <w:p>
      <w:pPr>
        <w:ind w:left="1160" w:hanging="288"/>
        <w:spacing w:after="0"/>
        <w:tabs>
          <w:tab w:leader="none" w:pos="11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15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forgiveness of the PPP Loan by the Small Business Administration.</w:t>
      </w:r>
    </w:p>
    <w:p>
      <w:pPr>
        <w:spacing w:after="0" w:line="15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gain in insurance proceeds.</w:t>
      </w:r>
    </w:p>
    <w:p>
      <w:pPr>
        <w:spacing w:after="0" w:line="256" w:lineRule="exact"/>
        <w:rPr>
          <w:rFonts w:ascii="Times New Roman" w:cs="Times New Roman" w:eastAsia="Times New Roman" w:hAnsi="Times New Roman"/>
          <w:sz w:val="22"/>
          <w:szCs w:val="22"/>
          <w:color w:val="auto"/>
        </w:rPr>
      </w:pPr>
    </w:p>
    <w:p>
      <w:pPr>
        <w:ind w:left="660" w:hanging="328"/>
        <w:spacing w:after="0" w:line="287" w:lineRule="auto"/>
        <w:tabs>
          <w:tab w:leader="none" w:pos="65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Adjusted Diluted Earnings (loss) Per Share: </w:t>
      </w:r>
      <w:r>
        <w:rPr>
          <w:rFonts w:ascii="Times New Roman" w:cs="Times New Roman" w:eastAsia="Times New Roman" w:hAnsi="Times New Roman"/>
          <w:sz w:val="22"/>
          <w:szCs w:val="22"/>
          <w:color w:val="auto"/>
        </w:rPr>
        <w:t>Adjusted Earnings (loss) divided by diluted weighted-average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outstanding.</w:t>
      </w:r>
    </w:p>
    <w:sectPr>
      <w:pgSz w:w="11900" w:h="16838" w:orient="portrait"/>
      <w:cols w:equalWidth="0" w:num="1">
        <w:col w:w="11240"/>
      </w:cols>
      <w:pgMar w:left="320" w:top="9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2022-08-09T18:54:58Z</dcterms:created>
  <dcterms:modified xsi:type="dcterms:W3CDTF">2022-08-09T18:54:58Z</dcterms:modified>
</cp:coreProperties>
</file>