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700" w:hanging="674"/>
        <w:spacing w:after="0" w:line="180" w:lineRule="auto"/>
        <w:tabs>
          <w:tab w:leader="none" w:pos="70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700" w:hanging="674"/>
        <w:spacing w:after="0" w:line="180" w:lineRule="auto"/>
        <w:tabs>
          <w:tab w:leader="none" w:pos="7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TRANSITION REPORT PURSUANT TO SECTION 13 OR 15(d) OF THE SECURITIES EXCHANGE ACT OF 1934</w:t>
      </w:r>
    </w:p>
    <w:p>
      <w:pPr>
        <w:spacing w:after="0" w:line="155" w:lineRule="exact"/>
        <w:rPr>
          <w:sz w:val="24"/>
          <w:szCs w:val="24"/>
          <w:color w:val="auto"/>
        </w:rPr>
      </w:pPr>
    </w:p>
    <w:p>
      <w:pPr>
        <w:ind w:left="3780"/>
        <w:spacing w:after="0"/>
        <w:tabs>
          <w:tab w:leader="none" w:pos="666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001-33637</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Cumberland Pharmaceuticals Inc.</w:t>
      </w:r>
    </w:p>
    <w:p>
      <w:pPr>
        <w:spacing w:after="0" w:line="45" w:lineRule="exact"/>
        <w:rPr>
          <w:sz w:val="24"/>
          <w:szCs w:val="24"/>
          <w:color w:val="auto"/>
        </w:rPr>
      </w:pPr>
    </w:p>
    <w:tbl>
      <w:tblPr>
        <w:tblLayout w:type="fixed"/>
        <w:tblInd w:w="1480" w:type="dxa"/>
        <w:tblCellMar>
          <w:top w:w="0" w:type="dxa"/>
          <w:left w:w="0" w:type="dxa"/>
          <w:bottom w:w="0" w:type="dxa"/>
          <w:right w:w="0" w:type="dxa"/>
        </w:tblCellMar>
      </w:tblPr>
      <w:tr>
        <w:trPr>
          <w:trHeight w:val="234"/>
        </w:trPr>
        <w:tc>
          <w:tcPr>
            <w:tcW w:w="6360" w:type="dxa"/>
            <w:vAlign w:val="bottom"/>
          </w:tcPr>
          <w:p>
            <w:pPr>
              <w:jc w:val="center"/>
              <w:ind w:left="1858"/>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1"/>
              </w:rPr>
              <w:t>Tennessee</w:t>
            </w:r>
          </w:p>
        </w:tc>
        <w:tc>
          <w:tcPr>
            <w:tcW w:w="1260" w:type="dxa"/>
            <w:vAlign w:val="bottom"/>
          </w:tcPr>
          <w:p>
            <w:pPr>
              <w:jc w:val="right"/>
              <w:ind w:right="61"/>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44"/>
        </w:trPr>
        <w:tc>
          <w:tcPr>
            <w:tcW w:w="6360" w:type="dxa"/>
            <w:vAlign w:val="bottom"/>
          </w:tcPr>
          <w:p>
            <w:pPr>
              <w:jc w:val="center"/>
              <w:ind w:right="3698"/>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3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5"/>
              </w:rPr>
              <w:t>Incorporation or Organization)</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46"/>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9"/>
              </w:rPr>
              <w:t>2525 West End Avenue, Suite 950,</w:t>
            </w:r>
          </w:p>
        </w:tc>
        <w:tc>
          <w:tcPr>
            <w:tcW w:w="126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37203</w:t>
            </w:r>
          </w:p>
        </w:tc>
        <w:tc>
          <w:tcPr>
            <w:tcW w:w="0" w:type="dxa"/>
            <w:vAlign w:val="bottom"/>
          </w:tcPr>
          <w:p>
            <w:pPr>
              <w:spacing w:after="0"/>
              <w:rPr>
                <w:sz w:val="1"/>
                <w:szCs w:val="1"/>
                <w:color w:val="auto"/>
              </w:rPr>
            </w:pPr>
          </w:p>
        </w:tc>
      </w:tr>
      <w:tr>
        <w:trPr>
          <w:trHeight w:val="220"/>
        </w:trPr>
        <w:tc>
          <w:tcPr>
            <w:tcW w:w="6360" w:type="dxa"/>
            <w:vAlign w:val="bottom"/>
          </w:tcPr>
          <w:p>
            <w:pPr>
              <w:jc w:val="center"/>
              <w:ind w:right="3678"/>
              <w:spacing w:after="0"/>
              <w:rPr>
                <w:sz w:val="20"/>
                <w:szCs w:val="20"/>
                <w:color w:val="auto"/>
              </w:rPr>
            </w:pPr>
            <w:r>
              <w:rPr>
                <w:rFonts w:ascii="Arial" w:cs="Arial" w:eastAsia="Arial" w:hAnsi="Arial"/>
                <w:sz w:val="18"/>
                <w:szCs w:val="18"/>
                <w:b w:val="1"/>
                <w:bCs w:val="1"/>
                <w:color w:val="auto"/>
                <w:w w:val="85"/>
              </w:rPr>
              <w:t>Nashville, Tennessee</w:t>
            </w: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6360" w:type="dxa"/>
            <w:vAlign w:val="bottom"/>
          </w:tcPr>
          <w:p>
            <w:pPr>
              <w:jc w:val="center"/>
              <w:ind w:right="369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60" w:type="dxa"/>
            <w:vAlign w:val="bottom"/>
          </w:tcPr>
          <w:p>
            <w:pPr>
              <w:jc w:val="center"/>
              <w:ind w:left="4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6360" w:type="dxa"/>
            <w:vAlign w:val="bottom"/>
          </w:tcPr>
          <w:p>
            <w:pPr>
              <w:jc w:val="center"/>
              <w:ind w:left="1838"/>
              <w:spacing w:after="0"/>
              <w:rPr>
                <w:sz w:val="20"/>
                <w:szCs w:val="20"/>
                <w:color w:val="auto"/>
              </w:rPr>
            </w:pPr>
            <w:r>
              <w:rPr>
                <w:rFonts w:ascii="Arial" w:cs="Arial" w:eastAsia="Arial" w:hAnsi="Arial"/>
                <w:sz w:val="18"/>
                <w:szCs w:val="18"/>
                <w:b w:val="1"/>
                <w:bCs w:val="1"/>
                <w:color w:val="auto"/>
                <w:w w:val="90"/>
              </w:rPr>
              <w:t>(615) 255-0068</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360" w:type="dxa"/>
            <w:vAlign w:val="bottom"/>
          </w:tcPr>
          <w:p>
            <w:pPr>
              <w:jc w:val="center"/>
              <w:ind w:left="183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3" w:lineRule="exact"/>
        <w:rPr>
          <w:sz w:val="24"/>
          <w:szCs w:val="24"/>
          <w:color w:val="auto"/>
        </w:rPr>
      </w:pPr>
    </w:p>
    <w:p>
      <w:pPr>
        <w:jc w:val="both"/>
        <w:spacing w:after="0" w:line="28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4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80"/>
              <w:spacing w:after="0"/>
              <w:rPr>
                <w:sz w:val="20"/>
                <w:szCs w:val="20"/>
                <w:color w:val="auto"/>
              </w:rPr>
            </w:pPr>
            <w:r>
              <w:rPr>
                <w:rFonts w:ascii="Arial" w:cs="Arial" w:eastAsia="Arial" w:hAnsi="Arial"/>
                <w:sz w:val="17"/>
                <w:szCs w:val="17"/>
                <w:color w:val="auto"/>
              </w:rPr>
              <w:t>Accelerated filer</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57"/>
        </w:trPr>
        <w:tc>
          <w:tcPr>
            <w:tcW w:w="24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ind w:left="2480"/>
              <w:spacing w:after="0"/>
              <w:rPr>
                <w:sz w:val="20"/>
                <w:szCs w:val="20"/>
                <w:color w:val="auto"/>
              </w:rPr>
            </w:pPr>
            <w:r>
              <w:rPr>
                <w:rFonts w:ascii="Arial" w:cs="Arial" w:eastAsia="Arial" w:hAnsi="Arial"/>
                <w:sz w:val="17"/>
                <w:szCs w:val="17"/>
                <w:color w:val="auto"/>
              </w:rPr>
              <w:t>Smaller reporting company</w:t>
            </w:r>
          </w:p>
        </w:tc>
        <w:tc>
          <w:tcPr>
            <w:tcW w:w="66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9"/>
        </w:trPr>
        <w:tc>
          <w:tcPr>
            <w:tcW w:w="24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4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486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142"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ind w:right="2560"/>
        <w:spacing w:after="0" w:line="326" w:lineRule="exact"/>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 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800" w:type="dxa"/>
            <w:vAlign w:val="bottom"/>
            <w:gridSpan w:val="2"/>
          </w:tcPr>
          <w:p>
            <w:pPr>
              <w:ind w:left="1160"/>
              <w:spacing w:after="0"/>
              <w:rPr>
                <w:sz w:val="20"/>
                <w:szCs w:val="20"/>
                <w:color w:val="auto"/>
              </w:rPr>
            </w:pPr>
            <w:r>
              <w:rPr>
                <w:rFonts w:ascii="Arial" w:cs="Arial" w:eastAsia="Arial" w:hAnsi="Arial"/>
                <w:sz w:val="18"/>
                <w:szCs w:val="18"/>
                <w:color w:val="auto"/>
              </w:rPr>
              <w:t>Class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Trading Symbol</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Name of exchanged on which registered</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 at July 21, 2020</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Common stock, no par value</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CPIX</w:t>
            </w:r>
          </w:p>
        </w:tc>
        <w:tc>
          <w:tcPr>
            <w:tcW w:w="39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NASDAQ Global Select Market</w:t>
            </w: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15,160,270</w:t>
            </w:r>
          </w:p>
        </w:tc>
        <w:tc>
          <w:tcPr>
            <w:tcW w:w="100" w:type="dxa"/>
            <w:vAlign w:val="bottom"/>
          </w:tcPr>
          <w:p>
            <w:pPr>
              <w:spacing w:after="0"/>
              <w:rPr>
                <w:sz w:val="20"/>
                <w:szCs w:val="20"/>
                <w:color w:val="auto"/>
              </w:rPr>
            </w:pPr>
          </w:p>
        </w:tc>
      </w:tr>
      <w:tr>
        <w:trPr>
          <w:trHeight w:val="1060"/>
        </w:trPr>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1" w:name="page2"/>
    <w:bookmarkEnd w:id="1"/>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This Amendment No. 1 on Form 10-Q/A (the “Amendment”) is being filed to amend the quarterly report on Form 10-Q for the quarter ended March 31, 2020 (the “Quarterly Report”) filed by Cumberland Pharmaceuticals Inc. (the “Company”) on May 22, 2020. The Company is filing this Amendment solely to add disclosure that, in originally filing the Quarterly Report, the Company relied on the order of the U.S. Securities and Exchange Commission (the “SEC”) issued under Section 36 of the Securities Exchange Act of 1934, as amended (the “Exchange Act”), dated March 4, 2020 (Release No. 34-88318), as modified and superseded by the SEC order issued on March 25, 2020 (Release No. 34-88465) (collectively, the “Order”), for an extension of the original due date of May 15, 2020 for the Quarterly Report. The Company made the original filing on May 22, 2020, within 45 days of the original due date, as permitted under the Order. The disclosure under the heading “Reliance on SEC Order” below is hereby added as an explanatory note at the beginning of Part I.</w:t>
      </w:r>
    </w:p>
    <w:p>
      <w:pPr>
        <w:spacing w:after="0" w:line="21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addition, as required by Rule 12b-15 under the Exchange Act, new certifications by the Company’s principal executive officer and principal financial officer are filed herewith as exhibits to this Amendment, under Item 6 hereof, pursuant to Rule 13a-14(a) or 15d-14(a) of the Exchange Act. Since no financial statements have been included in this Amendment and this Amendment does not contain or amend any disclosure with respect to Items 307 and 308 of Regulation S-K, paragraphs 3, 4 and 5 of the certifications have been omitted. The Company is also not including the certifications required under Section 1350 of Chapter 63 of Title 18 of the United States Code (18 U.S.C. 1350) (Section 906 of the Sarbanes-Oxley Act of 2002), as no financial statements are being filed with this Amendment.</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Other than as expressly set forth herein, this Amendment does not, and does not purport to, amend, update or restate the information in the original filing of the Quarterly Report or reflect any events that have occurred after the original filing was made. Information not affected by this Amendment remains unchanged and reflects the disclosures made at the time as of which the original filing was made. No changes have been made to the financial statements of the Company as contained in the original filing of the Quarterly Report. Accordingly, this Amendment should be read together with the original filing of the Quarterly Report and the Company’s other filings with the SEC.</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RELIANCE ON SEC ORDER</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Company hereby notes that it has relied on the Order in delaying the filing of its Quarterly Report until May 22, 2020. On May 8, 2020, the Company filed a Current Report on Form 8-K (the “Form 8-K) to indicate its intention to rely on the order issued by the United States Securities and Exchange Commission (the “SEC”) on March 25, 2020 (the “Order”) to delay the filing of its Quarterly Report on Form 10-Q due to circumstances related to the COVID-19 pandemic. As described in the Form 8-K, as a result of the COVID-19 pandemic, the Company has been following the recommendations of health authorities to minimize exposure risk for the Company's employees, including allowing employees to work remotely to the extent possible. This impacted the normal interactions and collaborations among the Company’s accounting and financial reporting personnel involved with the completion of the quarterly review and preparation of the Quarterly Report. This impacted the timing of the review, preparation and completion of the Company's financial statements for the first quarter of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81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540"/>
        </w:trPr>
        <w:tc>
          <w:tcPr>
            <w:tcW w:w="1420" w:type="dxa"/>
            <w:vAlign w:val="bottom"/>
          </w:tcPr>
          <w:p>
            <w:pPr>
              <w:ind w:left="20"/>
              <w:spacing w:after="0"/>
              <w:rPr>
                <w:sz w:val="20"/>
                <w:szCs w:val="20"/>
                <w:color w:val="auto"/>
              </w:rPr>
            </w:pPr>
            <w:r>
              <w:rPr>
                <w:rFonts w:ascii="Arial" w:cs="Arial" w:eastAsia="Arial" w:hAnsi="Arial"/>
                <w:sz w:val="18"/>
                <w:szCs w:val="18"/>
                <w:color w:val="auto"/>
              </w:rPr>
              <w:t>No.</w:t>
            </w:r>
          </w:p>
        </w:tc>
        <w:tc>
          <w:tcPr>
            <w:tcW w:w="8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445"/>
        </w:trPr>
        <w:tc>
          <w:tcPr>
            <w:tcW w:w="1420" w:type="dxa"/>
            <w:vAlign w:val="bottom"/>
          </w:tcPr>
          <w:p>
            <w:pPr>
              <w:ind w:left="20"/>
              <w:spacing w:after="0"/>
              <w:rPr>
                <w:sz w:val="20"/>
                <w:szCs w:val="20"/>
                <w:color w:val="auto"/>
              </w:rPr>
            </w:pPr>
            <w:r>
              <w:rPr>
                <w:rFonts w:ascii="Arial" w:cs="Arial" w:eastAsia="Arial" w:hAnsi="Arial"/>
                <w:sz w:val="18"/>
                <w:szCs w:val="18"/>
                <w:color w:val="auto"/>
              </w:rPr>
              <w:t>10.1</w:t>
            </w:r>
          </w:p>
        </w:tc>
        <w:tc>
          <w:tcPr>
            <w:tcW w:w="8320" w:type="dxa"/>
            <w:vAlign w:val="bottom"/>
            <w:gridSpan w:val="2"/>
          </w:tcPr>
          <w:p>
            <w:pPr>
              <w:spacing w:after="0"/>
              <w:rPr>
                <w:rFonts w:ascii="Arial" w:cs="Arial" w:eastAsia="Arial" w:hAnsi="Arial"/>
                <w:sz w:val="18"/>
                <w:szCs w:val="18"/>
                <w:color w:val="0000FF"/>
                <w:w w:val="92"/>
              </w:rPr>
            </w:pPr>
            <w:hyperlink r:id="rId11">
              <w:r>
                <w:rPr>
                  <w:rFonts w:ascii="Arial" w:cs="Arial" w:eastAsia="Arial" w:hAnsi="Arial"/>
                  <w:sz w:val="18"/>
                  <w:szCs w:val="18"/>
                  <w:color w:val="0000FF"/>
                  <w:w w:val="92"/>
                </w:rPr>
                <w:t>Employment Agreement dated March 16, 2020, effective as of January 1, 2020, by and between A.J. Kazimi and</w:t>
              </w:r>
            </w:hyperlink>
          </w:p>
        </w:tc>
      </w:tr>
      <w:tr>
        <w:trPr>
          <w:trHeight w:val="20"/>
        </w:trPr>
        <w:tc>
          <w:tcPr>
            <w:tcW w:w="1420" w:type="dxa"/>
            <w:vAlign w:val="bottom"/>
          </w:tcPr>
          <w:p>
            <w:pPr>
              <w:spacing w:after="0" w:line="20" w:lineRule="exact"/>
              <w:rPr>
                <w:sz w:val="1"/>
                <w:szCs w:val="1"/>
                <w:color w:val="auto"/>
              </w:rPr>
            </w:pPr>
          </w:p>
        </w:tc>
        <w:tc>
          <w:tcPr>
            <w:tcW w:w="8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55"/>
        </w:trPr>
        <w:tc>
          <w:tcPr>
            <w:tcW w:w="1420" w:type="dxa"/>
            <w:vAlign w:val="bottom"/>
          </w:tcPr>
          <w:p>
            <w:pPr>
              <w:spacing w:after="0"/>
              <w:rPr>
                <w:sz w:val="13"/>
                <w:szCs w:val="13"/>
                <w:color w:val="auto"/>
              </w:rPr>
            </w:pPr>
          </w:p>
        </w:tc>
        <w:tc>
          <w:tcPr>
            <w:tcW w:w="8320" w:type="dxa"/>
            <w:vAlign w:val="bottom"/>
            <w:tcBorders>
              <w:bottom w:val="single" w:sz="8" w:color="0000FF"/>
            </w:tcBorders>
            <w:gridSpan w:val="2"/>
          </w:tcPr>
          <w:p>
            <w:pPr>
              <w:spacing w:after="0" w:line="156" w:lineRule="exact"/>
              <w:rPr>
                <w:rFonts w:ascii="Arial" w:cs="Arial" w:eastAsia="Arial" w:hAnsi="Arial"/>
                <w:sz w:val="18"/>
                <w:szCs w:val="18"/>
                <w:color w:val="0000FF"/>
                <w:w w:val="91"/>
              </w:rPr>
            </w:pPr>
            <w:hyperlink r:id="rId11">
              <w:r>
                <w:rPr>
                  <w:rFonts w:ascii="Arial" w:cs="Arial" w:eastAsia="Arial" w:hAnsi="Arial"/>
                  <w:sz w:val="18"/>
                  <w:szCs w:val="18"/>
                  <w:color w:val="0000FF"/>
                  <w:w w:val="91"/>
                </w:rPr>
                <w:t>Cumberland Pharmaceuticals Inc., filed as Exhibit 10.11 to the Form 10-K of the Company filed with the Securities</w:t>
              </w:r>
            </w:hyperlink>
          </w:p>
        </w:tc>
      </w:tr>
      <w:tr>
        <w:trPr>
          <w:trHeight w:val="224"/>
        </w:trPr>
        <w:tc>
          <w:tcPr>
            <w:tcW w:w="1420" w:type="dxa"/>
            <w:vAlign w:val="bottom"/>
          </w:tcPr>
          <w:p>
            <w:pPr>
              <w:spacing w:after="0"/>
              <w:rPr>
                <w:sz w:val="19"/>
                <w:szCs w:val="19"/>
                <w:color w:val="auto"/>
              </w:rPr>
            </w:pPr>
          </w:p>
        </w:tc>
        <w:tc>
          <w:tcPr>
            <w:tcW w:w="8320" w:type="dxa"/>
            <w:vAlign w:val="bottom"/>
            <w:gridSpan w:val="2"/>
          </w:tcPr>
          <w:p>
            <w:pPr>
              <w:spacing w:after="0"/>
              <w:rPr>
                <w:rFonts w:ascii="Arial" w:cs="Arial" w:eastAsia="Arial" w:hAnsi="Arial"/>
                <w:sz w:val="18"/>
                <w:szCs w:val="18"/>
                <w:u w:val="single" w:color="auto"/>
                <w:color w:val="0000FF"/>
                <w:w w:val="97"/>
              </w:rPr>
            </w:pPr>
            <w:hyperlink r:id="rId11">
              <w:r>
                <w:rPr>
                  <w:rFonts w:ascii="Arial" w:cs="Arial" w:eastAsia="Arial" w:hAnsi="Arial"/>
                  <w:sz w:val="18"/>
                  <w:szCs w:val="18"/>
                  <w:u w:val="single" w:color="auto"/>
                  <w:color w:val="0000FF"/>
                  <w:w w:val="97"/>
                </w:rPr>
                <w:t>and Exchange Commission on March 20, 2020 (File No. 001-33637) and incorporated herein by reference.</w:t>
              </w:r>
            </w:hyperlink>
          </w:p>
        </w:tc>
      </w:tr>
    </w:tbl>
    <w:p>
      <w:pPr>
        <w:spacing w:after="0" w:line="200" w:lineRule="exact"/>
        <w:rPr>
          <w:sz w:val="20"/>
          <w:szCs w:val="20"/>
          <w:color w:val="auto"/>
        </w:rPr>
      </w:pPr>
    </w:p>
    <w:p>
      <w:pPr>
        <w:sectPr>
          <w:pgSz w:w="11900" w:h="16838" w:orient="portrait"/>
          <w:cols w:equalWidth="0" w:num="1">
            <w:col w:w="11240"/>
          </w:cols>
          <w:pgMar w:left="320" w:top="1363"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br w:type="column"/>
      </w:r>
    </w:p>
    <w:p>
      <w:pPr>
        <w:ind w:right="1580"/>
        <w:spacing w:after="0" w:line="219"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Employment Agreement dated March 16, 2020, effective as of January 1, 2020, by and between Martin E. Cearnal</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and Cumberland Pharmaceuticals Inc., filed as Exhibit 10.12 to the Form 10-K of the Company filed with the</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Securities and Exchange Commission on March 20, 2020 (File No. 001-33637) and incorporated herein by</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jc w:val="both"/>
        <w:ind w:right="1480"/>
        <w:spacing w:after="0" w:line="259" w:lineRule="auto"/>
        <w:rPr>
          <w:rFonts w:ascii="Arial" w:cs="Arial" w:eastAsia="Arial" w:hAnsi="Arial"/>
          <w:sz w:val="16"/>
          <w:szCs w:val="16"/>
          <w:u w:val="single" w:color="auto"/>
          <w:color w:val="0000FF"/>
        </w:rPr>
      </w:pPr>
      <w:hyperlink r:id="rId13">
        <w:r>
          <w:rPr>
            <w:rFonts w:ascii="Arial" w:cs="Arial" w:eastAsia="Arial" w:hAnsi="Arial"/>
            <w:sz w:val="16"/>
            <w:szCs w:val="16"/>
            <w:u w:val="single" w:color="auto"/>
            <w:color w:val="0000FF"/>
          </w:rPr>
          <w:t>Employment Agreement dated March 16, 2020, effective as of January 1, 2020, by and between Leo B. Pavliv and</w:t>
        </w:r>
      </w:hyperlink>
      <w:r>
        <w:rPr>
          <w:rFonts w:ascii="Arial" w:cs="Arial" w:eastAsia="Arial" w:hAnsi="Arial"/>
          <w:sz w:val="16"/>
          <w:szCs w:val="16"/>
          <w:u w:val="single" w:color="auto"/>
          <w:color w:val="0000FF"/>
        </w:rPr>
        <w:t xml:space="preserve"> </w:t>
      </w:r>
      <w:hyperlink r:id="rId13">
        <w:r>
          <w:rPr>
            <w:rFonts w:ascii="Arial" w:cs="Arial" w:eastAsia="Arial" w:hAnsi="Arial"/>
            <w:sz w:val="16"/>
            <w:szCs w:val="16"/>
            <w:u w:val="single" w:color="auto"/>
            <w:color w:val="0000FF"/>
          </w:rPr>
          <w:t>Cumberland Pharmaceuticals Inc., filed as Exhibit 10.13 to the Form 10-K of the Company filed with the Securities</w:t>
        </w:r>
      </w:hyperlink>
      <w:r>
        <w:rPr>
          <w:rFonts w:ascii="Arial" w:cs="Arial" w:eastAsia="Arial" w:hAnsi="Arial"/>
          <w:sz w:val="16"/>
          <w:szCs w:val="16"/>
          <w:u w:val="single" w:color="auto"/>
          <w:color w:val="0000FF"/>
        </w:rPr>
        <w:t xml:space="preserve"> </w:t>
      </w:r>
      <w:hyperlink r:id="rId13">
        <w:r>
          <w:rPr>
            <w:rFonts w:ascii="Arial" w:cs="Arial" w:eastAsia="Arial" w:hAnsi="Arial"/>
            <w:sz w:val="16"/>
            <w:szCs w:val="16"/>
            <w:u w:val="single" w:color="auto"/>
            <w:color w:val="0000FF"/>
          </w:rPr>
          <w:t>and Exchange Commission on March 20, 2020 (File No. 001-33637) and incorporated herein by reference.</w:t>
        </w:r>
      </w:hyperlink>
    </w:p>
    <w:p>
      <w:pPr>
        <w:spacing w:after="0" w:line="214" w:lineRule="exact"/>
        <w:rPr>
          <w:rFonts w:ascii="Arial" w:cs="Arial" w:eastAsia="Arial" w:hAnsi="Arial"/>
          <w:sz w:val="16"/>
          <w:szCs w:val="16"/>
          <w:u w:val="single" w:color="auto"/>
          <w:color w:val="0000FF"/>
        </w:rPr>
      </w:pPr>
    </w:p>
    <w:p>
      <w:pPr>
        <w:ind w:right="1540"/>
        <w:spacing w:after="0" w:line="219"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Employment Agreement dated March 16, 2020, effective as of January 1, 2020, by and between Michael P. Bonner</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and Cumberland Pharmaceuticals Inc., filed as Exhibit 10.14 to the Form 10-K of the Company filed with the</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Securities and Exchange Commission on March 20, 2020 (File No. 001-33637) and incorporated herein by</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reference.</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700" w:space="720"/>
            <w:col w:w="9820"/>
          </w:cols>
          <w:pgMar w:left="320" w:top="1363" w:right="339" w:bottom="1440" w:gutter="0" w:footer="0" w:header="0"/>
          <w:type w:val="continuous"/>
        </w:sectPr>
      </w:pPr>
    </w:p>
    <w:p>
      <w:pPr>
        <w:spacing w:after="0" w:line="44"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10.5</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9"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9"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4"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31.3*</w:t>
      </w: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31.4*</w:t>
      </w: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rFonts w:ascii="Arial" w:cs="Arial" w:eastAsia="Arial" w:hAnsi="Arial"/>
          <w:sz w:val="18"/>
          <w:szCs w:val="18"/>
          <w:u w:val="single" w:color="auto"/>
          <w:color w:val="0000FF"/>
        </w:rPr>
      </w:pPr>
    </w:p>
    <w:p>
      <w:pPr>
        <w:spacing w:after="0" w:line="22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101.INS*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0" w:lineRule="exact"/>
        <w:rPr>
          <w:rFonts w:ascii="Arial" w:cs="Arial" w:eastAsia="Arial" w:hAnsi="Arial"/>
          <w:sz w:val="18"/>
          <w:szCs w:val="18"/>
          <w:u w:val="single" w:color="auto"/>
          <w:color w:val="0000FF"/>
        </w:rPr>
      </w:pPr>
    </w:p>
    <w:p>
      <w:pPr>
        <w:ind w:right="1600"/>
        <w:spacing w:after="0" w:line="219"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Employment Agreement dated March 16, 2020, effective as of January 1, 2020, by and between James L. Herman</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and Cumberland Pharmaceuticals Inc., filed as Exhibit 10.15 to the Form 10-K of the Company filed with the</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Securities and Exchange Commission on March 20, 2020 (File No. 001-33637) and incorporated herein by</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reference.</w:t>
        </w:r>
      </w:hyperlink>
    </w:p>
    <w:p>
      <w:pPr>
        <w:spacing w:after="0" w:line="230" w:lineRule="exact"/>
        <w:rPr>
          <w:rFonts w:ascii="Arial" w:cs="Arial" w:eastAsia="Arial" w:hAnsi="Arial"/>
          <w:sz w:val="18"/>
          <w:szCs w:val="18"/>
          <w:u w:val="single" w:color="auto"/>
          <w:color w:val="0000FF"/>
        </w:rPr>
      </w:pPr>
    </w:p>
    <w:p>
      <w:pPr>
        <w:jc w:val="both"/>
        <w:ind w:right="1960"/>
        <w:spacing w:after="0" w:line="249" w:lineRule="auto"/>
        <w:rPr>
          <w:rFonts w:ascii="Arial" w:cs="Arial" w:eastAsia="Arial" w:hAnsi="Arial"/>
          <w:sz w:val="16"/>
          <w:szCs w:val="16"/>
          <w:u w:val="single" w:color="auto"/>
          <w:color w:val="0000FF"/>
        </w:rPr>
      </w:pPr>
      <w:hyperlink r:id="rId16">
        <w:r>
          <w:rPr>
            <w:rFonts w:ascii="Arial" w:cs="Arial" w:eastAsia="Arial" w:hAnsi="Arial"/>
            <w:sz w:val="16"/>
            <w:szCs w:val="16"/>
            <w:u w:val="single" w:color="auto"/>
            <w:color w:val="0000FF"/>
          </w:rPr>
          <w:t>Certification of Chief Executive Officer Pursuant to Rule 13-14(a) of the Securities Exchange Act of 1934 as</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Adopted Pursuant to Section 302 of the Sarbanes-Oxley Act of 2002, filed as Exhibit 31.1 to the registrant’s</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Quarterly Report on Form 10-Q for the quarter ended March 31, 2020 filed with the Securities and Exchange</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Commission on May 22, 2020 (File No. 001-33637) and incorporated herein by reference.</w:t>
        </w:r>
      </w:hyperlink>
    </w:p>
    <w:p>
      <w:pPr>
        <w:spacing w:after="0" w:line="222" w:lineRule="exact"/>
        <w:rPr>
          <w:rFonts w:ascii="Arial" w:cs="Arial" w:eastAsia="Arial" w:hAnsi="Arial"/>
          <w:sz w:val="16"/>
          <w:szCs w:val="16"/>
          <w:u w:val="single" w:color="auto"/>
          <w:color w:val="0000FF"/>
        </w:rPr>
      </w:pPr>
    </w:p>
    <w:p>
      <w:pPr>
        <w:jc w:val="both"/>
        <w:ind w:right="1960"/>
        <w:spacing w:after="0" w:line="249" w:lineRule="auto"/>
        <w:rPr>
          <w:rFonts w:ascii="Arial" w:cs="Arial" w:eastAsia="Arial" w:hAnsi="Arial"/>
          <w:sz w:val="16"/>
          <w:szCs w:val="16"/>
          <w:u w:val="single" w:color="auto"/>
          <w:color w:val="0000FF"/>
        </w:rPr>
      </w:pPr>
      <w:hyperlink r:id="rId17">
        <w:r>
          <w:rPr>
            <w:rFonts w:ascii="Arial" w:cs="Arial" w:eastAsia="Arial" w:hAnsi="Arial"/>
            <w:sz w:val="16"/>
            <w:szCs w:val="16"/>
            <w:u w:val="single" w:color="auto"/>
            <w:color w:val="0000FF"/>
          </w:rPr>
          <w:t>Certification of Chief Financial Officer Pursuant to Rule 13-14(a) of the Securities Exchange Act of 1934 as</w:t>
        </w:r>
      </w:hyperlink>
      <w:r>
        <w:rPr>
          <w:rFonts w:ascii="Arial" w:cs="Arial" w:eastAsia="Arial" w:hAnsi="Arial"/>
          <w:sz w:val="16"/>
          <w:szCs w:val="16"/>
          <w:u w:val="single" w:color="auto"/>
          <w:color w:val="0000FF"/>
        </w:rPr>
        <w:t xml:space="preserve"> </w:t>
      </w:r>
      <w:hyperlink r:id="rId17">
        <w:r>
          <w:rPr>
            <w:rFonts w:ascii="Arial" w:cs="Arial" w:eastAsia="Arial" w:hAnsi="Arial"/>
            <w:sz w:val="16"/>
            <w:szCs w:val="16"/>
            <w:u w:val="single" w:color="auto"/>
            <w:color w:val="0000FF"/>
          </w:rPr>
          <w:t>Adopted Pursuant to Section 302 of the Sarbanes-Oxley Act of 2002, filed as Exhibit 31.2 to the registrant’s</w:t>
        </w:r>
      </w:hyperlink>
      <w:r>
        <w:rPr>
          <w:rFonts w:ascii="Arial" w:cs="Arial" w:eastAsia="Arial" w:hAnsi="Arial"/>
          <w:sz w:val="16"/>
          <w:szCs w:val="16"/>
          <w:u w:val="single" w:color="auto"/>
          <w:color w:val="0000FF"/>
        </w:rPr>
        <w:t xml:space="preserve"> </w:t>
      </w:r>
      <w:hyperlink r:id="rId17">
        <w:r>
          <w:rPr>
            <w:rFonts w:ascii="Arial" w:cs="Arial" w:eastAsia="Arial" w:hAnsi="Arial"/>
            <w:sz w:val="16"/>
            <w:szCs w:val="16"/>
            <w:u w:val="single" w:color="auto"/>
            <w:color w:val="0000FF"/>
          </w:rPr>
          <w:t>Quarterly Report on Form 10-Q for the quarter ended March 31, 2020 filed with the Securities and Exchange</w:t>
        </w:r>
      </w:hyperlink>
      <w:r>
        <w:rPr>
          <w:rFonts w:ascii="Arial" w:cs="Arial" w:eastAsia="Arial" w:hAnsi="Arial"/>
          <w:sz w:val="16"/>
          <w:szCs w:val="16"/>
          <w:u w:val="single" w:color="auto"/>
          <w:color w:val="0000FF"/>
        </w:rPr>
        <w:t xml:space="preserve"> </w:t>
      </w:r>
      <w:hyperlink r:id="rId17">
        <w:r>
          <w:rPr>
            <w:rFonts w:ascii="Arial" w:cs="Arial" w:eastAsia="Arial" w:hAnsi="Arial"/>
            <w:sz w:val="16"/>
            <w:szCs w:val="16"/>
            <w:u w:val="single" w:color="auto"/>
            <w:color w:val="0000FF"/>
          </w:rPr>
          <w:t>Commission on May 22, 2020 (File No. 001-33637) and incorporated herein by reference.</w:t>
        </w:r>
      </w:hyperlink>
    </w:p>
    <w:p>
      <w:pPr>
        <w:spacing w:after="0" w:line="222" w:lineRule="exact"/>
        <w:rPr>
          <w:rFonts w:ascii="Arial" w:cs="Arial" w:eastAsia="Arial" w:hAnsi="Arial"/>
          <w:sz w:val="16"/>
          <w:szCs w:val="16"/>
          <w:u w:val="single" w:color="auto"/>
          <w:color w:val="0000FF"/>
        </w:rPr>
      </w:pPr>
    </w:p>
    <w:p>
      <w:pPr>
        <w:jc w:val="both"/>
        <w:ind w:right="1980"/>
        <w:spacing w:after="0" w:line="235" w:lineRule="auto"/>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Certification of Chief Executive Officer Pursuant to Rule 13-14(a) of the Securities Exchange Act of 1934 as</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Adopted Pursuant to Section 302 of the Sarbanes-Oxley Act of 2002.</w:t>
        </w:r>
      </w:hyperlink>
    </w:p>
    <w:p>
      <w:pPr>
        <w:spacing w:after="0" w:line="229" w:lineRule="exact"/>
        <w:rPr>
          <w:sz w:val="20"/>
          <w:szCs w:val="20"/>
          <w:color w:val="auto"/>
        </w:rPr>
      </w:pPr>
    </w:p>
    <w:p>
      <w:pPr>
        <w:ind w:right="2020"/>
        <w:spacing w:after="0" w:line="235" w:lineRule="auto"/>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Certification of Chief Financial Officer Pursuant to Rule 13-14(a) of the Securities Exchange Act of 1934 as</w:t>
        </w:r>
      </w:hyperlink>
      <w:r>
        <w:rPr>
          <w:rFonts w:ascii="Arial" w:cs="Arial" w:eastAsia="Arial" w:hAnsi="Arial"/>
          <w:sz w:val="18"/>
          <w:szCs w:val="18"/>
          <w:u w:val="single" w:color="auto"/>
          <w:color w:val="0000FF"/>
        </w:rPr>
        <w:t xml:space="preserve"> </w:t>
      </w:r>
      <w:hyperlink w:anchor="page6">
        <w:r>
          <w:rPr>
            <w:rFonts w:ascii="Arial" w:cs="Arial" w:eastAsia="Arial" w:hAnsi="Arial"/>
            <w:sz w:val="18"/>
            <w:szCs w:val="18"/>
            <w:u w:val="single" w:color="auto"/>
            <w:color w:val="0000FF"/>
          </w:rPr>
          <w:t>Adopted Pursuant to Section 302 of the Sarbanes-Oxley Act of 2002.</w:t>
        </w:r>
      </w:hyperlink>
    </w:p>
    <w:p>
      <w:pPr>
        <w:spacing w:after="0" w:line="229" w:lineRule="exact"/>
        <w:rPr>
          <w:sz w:val="20"/>
          <w:szCs w:val="20"/>
          <w:color w:val="auto"/>
        </w:rPr>
      </w:pPr>
    </w:p>
    <w:p>
      <w:pPr>
        <w:ind w:right="1720"/>
        <w:spacing w:after="0" w:line="235"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Certification of Chief Executive and Principal Financial Officer Pursuant to 18 U.S.C. Section 1350, as Adopted</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Pursuant to Section 906 of the Sarbanes-Oxley Act of 2002.</w:t>
        </w:r>
      </w:hyperlink>
    </w:p>
    <w:p>
      <w:pPr>
        <w:spacing w:after="0" w:line="243" w:lineRule="exact"/>
        <w:rPr>
          <w:sz w:val="20"/>
          <w:szCs w:val="20"/>
          <w:color w:val="auto"/>
        </w:rPr>
      </w:pPr>
    </w:p>
    <w:p>
      <w:pPr>
        <w:ind w:right="1780"/>
        <w:spacing w:after="0" w:line="263"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ectPr>
          <w:pgSz w:w="11900" w:h="16838" w:orient="portrait"/>
          <w:cols w:equalWidth="0" w:num="2">
            <w:col w:w="720" w:space="700"/>
            <w:col w:w="9820"/>
          </w:cols>
          <w:pgMar w:left="320" w:top="1363" w:right="3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ind w:left="20"/>
              <w:spacing w:after="0"/>
              <w:rPr>
                <w:sz w:val="20"/>
                <w:szCs w:val="20"/>
                <w:color w:val="auto"/>
              </w:rPr>
            </w:pPr>
            <w:r>
              <w:rPr>
                <w:rFonts w:ascii="Arial" w:cs="Arial" w:eastAsia="Arial" w:hAnsi="Arial"/>
                <w:sz w:val="18"/>
                <w:szCs w:val="18"/>
                <w:color w:val="auto"/>
              </w:rPr>
              <w:t>101.SCH*</w:t>
            </w:r>
          </w:p>
        </w:tc>
        <w:tc>
          <w:tcPr>
            <w:tcW w:w="1014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500"/>
        </w:trPr>
        <w:tc>
          <w:tcPr>
            <w:tcW w:w="1100" w:type="dxa"/>
            <w:vAlign w:val="bottom"/>
          </w:tcPr>
          <w:p>
            <w:pPr>
              <w:ind w:left="20"/>
              <w:spacing w:after="0"/>
              <w:rPr>
                <w:sz w:val="20"/>
                <w:szCs w:val="20"/>
                <w:color w:val="auto"/>
              </w:rPr>
            </w:pPr>
            <w:r>
              <w:rPr>
                <w:rFonts w:ascii="Arial" w:cs="Arial" w:eastAsia="Arial" w:hAnsi="Arial"/>
                <w:sz w:val="18"/>
                <w:szCs w:val="18"/>
                <w:color w:val="auto"/>
              </w:rPr>
              <w:t>101.CAL*</w:t>
            </w:r>
          </w:p>
        </w:tc>
        <w:tc>
          <w:tcPr>
            <w:tcW w:w="10140" w:type="dxa"/>
            <w:vAlign w:val="bottom"/>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1289"/>
        </w:trPr>
        <w:tc>
          <w:tcPr>
            <w:tcW w:w="1100" w:type="dxa"/>
            <w:vAlign w:val="bottom"/>
            <w:tcBorders>
              <w:bottom w:val="single" w:sz="8" w:color="9A9A9A"/>
            </w:tcBorders>
          </w:tcPr>
          <w:p>
            <w:pPr>
              <w:spacing w:after="0"/>
              <w:rPr>
                <w:sz w:val="24"/>
                <w:szCs w:val="24"/>
                <w:color w:val="auto"/>
              </w:rPr>
            </w:pPr>
          </w:p>
        </w:tc>
        <w:tc>
          <w:tcPr>
            <w:tcW w:w="10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3" w:name="page4"/>
    <w:bookmarkEnd w:id="3"/>
    <w:p>
      <w:pPr>
        <w:ind w:left="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XBRL TAXONOMY EXTENSION DEFINITION LINKBASE DOCUMENT</w:t>
      </w:r>
    </w:p>
    <w:p>
      <w:pPr>
        <w:spacing w:after="0" w:line="200" w:lineRule="exact"/>
        <w:rPr>
          <w:sz w:val="20"/>
          <w:szCs w:val="20"/>
          <w:color w:val="auto"/>
        </w:rPr>
      </w:pPr>
    </w:p>
    <w:p>
      <w:pPr>
        <w:sectPr>
          <w:pgSz w:w="11900" w:h="16838" w:orient="portrait"/>
          <w:cols w:equalWidth="0" w:num="2">
            <w:col w:w="780" w:space="640"/>
            <w:col w:w="9780"/>
          </w:cols>
          <w:pgMar w:left="320" w:top="1205" w:right="37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620"/>
            <w:col w:w="9780"/>
          </w:cols>
          <w:pgMar w:left="320" w:top="1205" w:right="379" w:bottom="1440" w:gutter="0" w:footer="0" w:header="0"/>
          <w:type w:val="continuous"/>
        </w:sectPr>
      </w:pP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60" w:space="660"/>
            <w:col w:w="9780"/>
          </w:cols>
          <w:pgMar w:left="320" w:top="1205" w:right="379" w:bottom="1440" w:gutter="0" w:footer="0" w:header="0"/>
          <w:type w:val="continuous"/>
        </w:sectPr>
      </w:pPr>
    </w:p>
    <w:p>
      <w:pPr>
        <w:spacing w:after="0" w:line="104" w:lineRule="exact"/>
        <w:rPr>
          <w:sz w:val="20"/>
          <w:szCs w:val="20"/>
          <w:color w:val="auto"/>
        </w:rPr>
      </w:pPr>
    </w:p>
    <w:p>
      <w:pPr>
        <w:ind w:left="1420" w:hanging="395"/>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7"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6860" w:type="dxa"/>
            <w:vAlign w:val="bottom"/>
            <w:gridSpan w:val="2"/>
          </w:tcPr>
          <w:p>
            <w:pPr>
              <w:ind w:left="2120"/>
              <w:spacing w:after="0"/>
              <w:rPr>
                <w:sz w:val="20"/>
                <w:szCs w:val="20"/>
                <w:color w:val="auto"/>
              </w:rPr>
            </w:pPr>
            <w:r>
              <w:rPr>
                <w:rFonts w:ascii="Arial" w:cs="Arial" w:eastAsia="Arial" w:hAnsi="Arial"/>
                <w:sz w:val="18"/>
                <w:szCs w:val="18"/>
                <w:color w:val="auto"/>
              </w:rPr>
              <w:t>Cumberland Pharmaceuticals Inc.</w:t>
            </w:r>
          </w:p>
        </w:tc>
      </w:tr>
      <w:tr>
        <w:trPr>
          <w:trHeight w:val="540"/>
        </w:trPr>
        <w:tc>
          <w:tcPr>
            <w:tcW w:w="3540" w:type="dxa"/>
            <w:vAlign w:val="bottom"/>
          </w:tcPr>
          <w:p>
            <w:pPr>
              <w:spacing w:after="0"/>
              <w:rPr>
                <w:sz w:val="20"/>
                <w:szCs w:val="20"/>
                <w:color w:val="auto"/>
              </w:rPr>
            </w:pPr>
            <w:r>
              <w:rPr>
                <w:rFonts w:ascii="Arial" w:cs="Arial" w:eastAsia="Arial" w:hAnsi="Arial"/>
                <w:sz w:val="18"/>
                <w:szCs w:val="18"/>
                <w:color w:val="auto"/>
              </w:rPr>
              <w:t>Date: July 24, 2020</w:t>
            </w:r>
          </w:p>
        </w:tc>
        <w:tc>
          <w:tcPr>
            <w:tcW w:w="2540" w:type="dxa"/>
            <w:vAlign w:val="bottom"/>
          </w:tcPr>
          <w:p>
            <w:pPr>
              <w:ind w:left="2120"/>
              <w:spacing w:after="0"/>
              <w:rPr>
                <w:sz w:val="20"/>
                <w:szCs w:val="20"/>
                <w:color w:val="auto"/>
              </w:rPr>
            </w:pPr>
            <w:r>
              <w:rPr>
                <w:rFonts w:ascii="Arial" w:cs="Arial" w:eastAsia="Arial" w:hAnsi="Arial"/>
                <w:sz w:val="18"/>
                <w:szCs w:val="18"/>
                <w:color w:val="auto"/>
              </w:rPr>
              <w:t>By:</w:t>
            </w:r>
          </w:p>
        </w:tc>
        <w:tc>
          <w:tcPr>
            <w:tcW w:w="4320" w:type="dxa"/>
            <w:vAlign w:val="bottom"/>
          </w:tcPr>
          <w:p>
            <w:pPr>
              <w:ind w:left="300"/>
              <w:spacing w:after="0"/>
              <w:rPr>
                <w:sz w:val="20"/>
                <w:szCs w:val="20"/>
                <w:color w:val="auto"/>
              </w:rPr>
            </w:pPr>
            <w:r>
              <w:rPr>
                <w:rFonts w:ascii="Arial" w:cs="Arial" w:eastAsia="Arial" w:hAnsi="Arial"/>
                <w:sz w:val="18"/>
                <w:szCs w:val="18"/>
                <w:color w:val="auto"/>
              </w:rPr>
              <w:t>/s/ Michael Bonner</w:t>
            </w:r>
          </w:p>
        </w:tc>
      </w:tr>
      <w:tr>
        <w:trPr>
          <w:trHeight w:val="27"/>
        </w:trPr>
        <w:tc>
          <w:tcPr>
            <w:tcW w:w="3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20" w:type="dxa"/>
            <w:vAlign w:val="bottom"/>
          </w:tcPr>
          <w:p>
            <w:pPr>
              <w:ind w:left="300"/>
              <w:spacing w:after="0"/>
              <w:rPr>
                <w:sz w:val="20"/>
                <w:szCs w:val="20"/>
                <w:color w:val="auto"/>
              </w:rPr>
            </w:pPr>
            <w:r>
              <w:rPr>
                <w:rFonts w:ascii="Arial" w:cs="Arial" w:eastAsia="Arial" w:hAnsi="Arial"/>
                <w:sz w:val="18"/>
                <w:szCs w:val="18"/>
                <w:color w:val="auto"/>
              </w:rPr>
              <w:t>Michael Bonner</w:t>
            </w:r>
          </w:p>
        </w:tc>
      </w:tr>
      <w:tr>
        <w:trPr>
          <w:trHeight w:val="270"/>
        </w:trPr>
        <w:tc>
          <w:tcPr>
            <w:tcW w:w="35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320" w:type="dxa"/>
            <w:vAlign w:val="bottom"/>
          </w:tcPr>
          <w:p>
            <w:pPr>
              <w:ind w:left="3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00"/>
          </w:cols>
          <w:pgMar w:left="320" w:top="1205" w:right="37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w:t>
      </w:r>
    </w:p>
    <w:p>
      <w:pPr>
        <w:jc w:val="center"/>
        <w:spacing w:after="0" w:line="230" w:lineRule="auto"/>
        <w:rPr>
          <w:sz w:val="20"/>
          <w:szCs w:val="20"/>
          <w:color w:val="auto"/>
        </w:rPr>
      </w:pPr>
      <w:r>
        <w:rPr>
          <w:rFonts w:ascii="Arial" w:cs="Arial" w:eastAsia="Arial" w:hAnsi="Arial"/>
          <w:sz w:val="22"/>
          <w:szCs w:val="22"/>
          <w:b w:val="1"/>
          <w:bCs w:val="1"/>
          <w:color w:val="auto"/>
        </w:rPr>
        <w:t>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A.J. Kazimi, certify that:</w:t>
      </w:r>
    </w:p>
    <w:p>
      <w:pPr>
        <w:spacing w:after="0" w:line="22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2"/>
          <w:szCs w:val="22"/>
          <w:color w:val="auto"/>
        </w:rPr>
        <w:t>I have reviewed this Amendment No. 1 on Form 10-Q/A of Cumberland Pharmaceuticals Inc.;</w:t>
      </w:r>
    </w:p>
    <w:p>
      <w:pPr>
        <w:spacing w:after="0" w:line="219" w:lineRule="exact"/>
        <w:rPr>
          <w:rFonts w:ascii="Arial" w:cs="Arial" w:eastAsia="Arial" w:hAnsi="Arial"/>
          <w:sz w:val="20"/>
          <w:szCs w:val="20"/>
          <w:color w:val="auto"/>
        </w:rPr>
      </w:pPr>
    </w:p>
    <w:p>
      <w:pPr>
        <w:jc w:val="both"/>
        <w:ind w:left="660" w:right="340" w:hanging="328"/>
        <w:spacing w:after="0" w:line="231"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sz w:val="20"/>
          <w:szCs w:val="20"/>
          <w:color w:val="auto"/>
        </w:rPr>
      </w:pPr>
    </w:p>
    <w:p>
      <w:pPr>
        <w:ind w:left="1320"/>
        <w:spacing w:after="0"/>
        <w:tabs>
          <w:tab w:leader="none" w:pos="5740" w:val="left"/>
          <w:tab w:leader="none" w:pos="658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22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A.J. Kazimi</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3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34" w:lineRule="auto"/>
        <w:rPr>
          <w:sz w:val="20"/>
          <w:szCs w:val="20"/>
          <w:color w:val="auto"/>
        </w:rPr>
      </w:pPr>
      <w:r>
        <w:rPr>
          <w:rFonts w:ascii="Arial" w:cs="Arial" w:eastAsia="Arial" w:hAnsi="Arial"/>
          <w:sz w:val="18"/>
          <w:szCs w:val="18"/>
          <w:b w:val="1"/>
          <w:bCs w:val="1"/>
          <w:color w:val="auto"/>
        </w:rPr>
        <w:t>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Michael Bonner, certify that:</w:t>
      </w:r>
    </w:p>
    <w:p>
      <w:pPr>
        <w:spacing w:after="0" w:line="22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2"/>
          <w:szCs w:val="22"/>
          <w:color w:val="auto"/>
        </w:rPr>
        <w:t>I have reviewed this Amendment No. 1 on Form 10-Q/A of Cumberland Pharmaceuticals Inc.;</w:t>
      </w:r>
    </w:p>
    <w:p>
      <w:pPr>
        <w:spacing w:after="0" w:line="219" w:lineRule="exact"/>
        <w:rPr>
          <w:rFonts w:ascii="Arial" w:cs="Arial" w:eastAsia="Arial" w:hAnsi="Arial"/>
          <w:sz w:val="20"/>
          <w:szCs w:val="20"/>
          <w:color w:val="auto"/>
        </w:rPr>
      </w:pPr>
    </w:p>
    <w:p>
      <w:pPr>
        <w:jc w:val="both"/>
        <w:ind w:left="660" w:right="340" w:hanging="328"/>
        <w:spacing w:after="0" w:line="231"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sz w:val="20"/>
          <w:szCs w:val="20"/>
          <w:color w:val="auto"/>
        </w:rPr>
      </w:pPr>
    </w:p>
    <w:p>
      <w:pPr>
        <w:ind w:left="20"/>
        <w:spacing w:after="0"/>
        <w:tabs>
          <w:tab w:leader="none" w:pos="5800" w:val="left"/>
          <w:tab w:leader="none" w:pos="6580" w:val="left"/>
        </w:tabs>
        <w:rPr>
          <w:sz w:val="20"/>
          <w:szCs w:val="20"/>
          <w:color w:val="auto"/>
        </w:rPr>
      </w:pPr>
      <w:r>
        <w:rPr>
          <w:rFonts w:ascii="Arial" w:cs="Arial" w:eastAsia="Arial" w:hAnsi="Arial"/>
          <w:sz w:val="18"/>
          <w:szCs w:val="18"/>
          <w:color w:val="auto"/>
        </w:rPr>
        <w:t>July 24,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Bonner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922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Michael Bonner</w:t>
      </w:r>
    </w:p>
    <w:p>
      <w:pPr>
        <w:spacing w:after="0" w:line="63"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11" Type="http://schemas.openxmlformats.org/officeDocument/2006/relationships/hyperlink" Target="http://www.sec.gov/Archives/edgar/data/1087294/000162828020003880/a2019-10kxexhibit1011a.htm" TargetMode="External"/><Relationship Id="rId12" Type="http://schemas.openxmlformats.org/officeDocument/2006/relationships/hyperlink" Target="http://www.sec.gov/Archives/edgar/data/1087294/000162828020003880/a2019-10kxexhibit1012m.htm" TargetMode="External"/><Relationship Id="rId13" Type="http://schemas.openxmlformats.org/officeDocument/2006/relationships/hyperlink" Target="http://www.sec.gov/Archives/edgar/data/1087294/000162828020003880/a2019-10kxexhibit1013l.htm" TargetMode="External"/><Relationship Id="rId14" Type="http://schemas.openxmlformats.org/officeDocument/2006/relationships/hyperlink" Target="http://www.sec.gov/Archives/edgar/data/1087294/000162828020003880/a2019-10kxexhibit1014m.htm" TargetMode="External"/><Relationship Id="rId15" Type="http://schemas.openxmlformats.org/officeDocument/2006/relationships/hyperlink" Target="http://www.sec.gov/Archives/edgar/data/1087294/000162828020003880/a2019-10kxexhibit1015j.htm" TargetMode="External"/><Relationship Id="rId16" Type="http://schemas.openxmlformats.org/officeDocument/2006/relationships/hyperlink" Target="http://www.sec.gov/Archives/edgar/data/1087294/000162828020008312/a2020q1-exhibit311.htm" TargetMode="External"/><Relationship Id="rId17" Type="http://schemas.openxmlformats.org/officeDocument/2006/relationships/hyperlink" Target="http://www.sec.gov/Archives/edgar/data/1087294/000162828020008312/a2020q1-exhibit312.htm" TargetMode="External"/><Relationship Id="rId18" Type="http://schemas.openxmlformats.org/officeDocument/2006/relationships/hyperlink" Target="http://www.sec.gov/Archives/edgar/data/1087294/000162828020008312/a2020q1-exhibit3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2020-07-24T16:18:06Z</dcterms:created>
  <dcterms:modified xsi:type="dcterms:W3CDTF">2020-07-24T16:18:06Z</dcterms:modified>
</cp:coreProperties>
</file>