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29, 2020 (May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00"/>
        <w:spacing w:after="0" w:line="216" w:lineRule="auto"/>
        <w:rPr>
          <w:sz w:val="20"/>
          <w:szCs w:val="20"/>
          <w:color w:val="auto"/>
        </w:rPr>
      </w:pPr>
      <w:r>
        <w:rPr>
          <w:rFonts w:ascii="Arial" w:cs="Arial" w:eastAsia="Arial" w:hAnsi="Arial"/>
          <w:sz w:val="18"/>
          <w:szCs w:val="18"/>
          <w:color w:val="auto"/>
        </w:rPr>
        <w:t xml:space="preserve">On May 26, 2020, Cumberland announced a new publication in </w:t>
      </w:r>
      <w:r>
        <w:rPr>
          <w:rFonts w:ascii="Arial" w:cs="Arial" w:eastAsia="Arial" w:hAnsi="Arial"/>
          <w:sz w:val="18"/>
          <w:szCs w:val="18"/>
          <w:i w:val="1"/>
          <w:iCs w:val="1"/>
          <w:color w:val="auto"/>
        </w:rPr>
        <w:t>Drugs - Real World Outcomes</w:t>
      </w:r>
      <w:r>
        <w:rPr>
          <w:rFonts w:ascii="Arial" w:cs="Arial" w:eastAsia="Arial" w:hAnsi="Arial"/>
          <w:sz w:val="18"/>
          <w:szCs w:val="18"/>
          <w:color w:val="auto"/>
        </w:rPr>
        <w:t>, detailing the positive clinical outcomes with Vibativ</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treating patients with bacteremia or endocarditis.</w:t>
      </w: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Telavancin Observational Use Registry (TOUR™) was conducted to record population characteristics, prescription information, and real-world clinical outcomes of patients with Gram-positive infections treated with Vibativ. This publication assessed 151 patients in TOUR™ with endocarditis and/or bacteremia with a known or unknown primary source.</w:t>
      </w:r>
    </w:p>
    <w:p>
      <w:pPr>
        <w:spacing w:after="0" w:line="18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 copy of the press release is furnished as </w:t>
      </w: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auto"/>
        </w:rPr>
        <w:t>.</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May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340" w:type="dxa"/>
        <w:tblCellMar>
          <w:top w:w="0" w:type="dxa"/>
          <w:left w:w="0" w:type="dxa"/>
          <w:bottom w:w="0" w:type="dxa"/>
          <w:right w:w="0" w:type="dxa"/>
        </w:tblCellMar>
      </w:tblPr>
      <w:tr>
        <w:trPr>
          <w:trHeight w:val="256"/>
        </w:trPr>
        <w:tc>
          <w:tcPr>
            <w:tcW w:w="284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5760" w:type="dxa"/>
            <w:vAlign w:val="bottom"/>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17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524"/>
        </w:trPr>
        <w:tc>
          <w:tcPr>
            <w:tcW w:w="1720" w:type="dxa"/>
            <w:vAlign w:val="bottom"/>
          </w:tcPr>
          <w:p>
            <w:pPr>
              <w:ind w:left="20"/>
              <w:spacing w:after="0"/>
              <w:rPr>
                <w:sz w:val="20"/>
                <w:szCs w:val="20"/>
                <w:color w:val="auto"/>
              </w:rPr>
            </w:pPr>
            <w:r>
              <w:rPr>
                <w:rFonts w:ascii="Arial" w:cs="Arial" w:eastAsia="Arial" w:hAnsi="Arial"/>
                <w:sz w:val="20"/>
                <w:szCs w:val="20"/>
                <w:color w:val="auto"/>
              </w:rPr>
              <w:t>99.1</w:t>
            </w:r>
          </w:p>
        </w:tc>
        <w:tc>
          <w:tcPr>
            <w:tcW w:w="1120" w:type="dxa"/>
            <w:vAlign w:val="bottom"/>
          </w:tcPr>
          <w:p>
            <w:pPr>
              <w:spacing w:after="0"/>
              <w:rPr>
                <w:sz w:val="24"/>
                <w:szCs w:val="24"/>
                <w:color w:val="auto"/>
              </w:rPr>
            </w:pPr>
          </w:p>
        </w:tc>
        <w:tc>
          <w:tcPr>
            <w:tcW w:w="5760" w:type="dxa"/>
            <w:vAlign w:val="bottom"/>
          </w:tcPr>
          <w:p>
            <w:pPr>
              <w:ind w:left="2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Press Release dated May 26, 2020</w:t>
              </w:r>
            </w:hyperlink>
          </w:p>
        </w:tc>
      </w:tr>
    </w:tbl>
    <w:p>
      <w:pPr>
        <w:sectPr>
          <w:pgSz w:w="11900" w:h="16838" w:orient="portrait"/>
          <w:cols w:equalWidth="0" w:num="1">
            <w:col w:w="11200"/>
          </w:cols>
          <w:pgMar w:left="320" w:top="756"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PUBLICATION REVEALS REAL-WORLD USAGE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IN PATIENTS WITH</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BACTEREMIA OR ENDOCARDITIS</w:t>
      </w:r>
    </w:p>
    <w:p>
      <w:pPr>
        <w:spacing w:after="0" w:line="200" w:lineRule="exact"/>
        <w:rPr>
          <w:sz w:val="20"/>
          <w:szCs w:val="20"/>
          <w:color w:val="auto"/>
        </w:rPr>
      </w:pP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b w:val="1"/>
          <w:bCs w:val="1"/>
          <w:color w:val="auto"/>
        </w:rPr>
        <w:t xml:space="preserve">NASHVILLE, Tenn. (Tuesday, May 26 2020) </w:t>
      </w:r>
      <w:r>
        <w:rPr>
          <w:rFonts w:ascii="Arial" w:cs="Arial" w:eastAsia="Arial" w:hAnsi="Arial"/>
          <w:sz w:val="22"/>
          <w:szCs w:val="22"/>
          <w:color w:val="auto"/>
        </w:rPr>
        <w:t>-</w:t>
      </w:r>
      <w:r>
        <w:rPr>
          <w:rFonts w:ascii="Arial" w:cs="Arial" w:eastAsia="Arial" w:hAnsi="Arial"/>
          <w:sz w:val="22"/>
          <w:szCs w:val="22"/>
          <w:b w:val="1"/>
          <w:bCs w:val="1"/>
          <w:color w:val="auto"/>
        </w:rPr>
        <w:t xml:space="preserve"> Cumberland Pharmaceuticals Inc. (NASDAQ: CPIX)</w:t>
      </w:r>
      <w:r>
        <w:rPr>
          <w:rFonts w:ascii="Arial" w:cs="Arial" w:eastAsia="Arial" w:hAnsi="Arial"/>
          <w:sz w:val="22"/>
          <w:szCs w:val="22"/>
          <w:color w:val="auto"/>
        </w:rPr>
        <w:t>, a U.S. specialty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pharmaceutical company, announces a new publication in </w:t>
      </w:r>
      <w:r>
        <w:rPr>
          <w:rFonts w:ascii="Arial" w:cs="Arial" w:eastAsia="Arial" w:hAnsi="Arial"/>
          <w:sz w:val="22"/>
          <w:szCs w:val="22"/>
          <w:i w:val="1"/>
          <w:iCs w:val="1"/>
          <w:color w:val="auto"/>
        </w:rPr>
        <w:t>Drugs - Real World Outcomes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 detailing the positive clinical outcomes with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in treating patients with bacteremia or endocarditis.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(telavancin) is a potent, FDA-approved anti-infective for the treatment of serious bacterial infections, including hospital-acquired and ventilator-associated bacterial pneumonia. It is also approved for complicated skin and skin structure infections. It addresses a range of Gram-positive bacterial pathogens, including those that are considered difficult-to-treat and multidrug-resistant.</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Telavancin Observational Use Registry (TOUR™) was conducted to record population characteristics, prescription information, and real-world clinical outcomes of patients with Gram-positive infections treated with Vibativ. This publication assessed 151 patients in TOUR™ with endocarditis and/or bacteremia with a known or unknown primary source.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132 patients with an available assessment at the end of telavancin therapy, a positive clinical response was achieved in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74.2%, while 10.6% failed therapy and 15.2% had an indeterminant outcome. There was no change in creatinine clearance for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75.3% patients with values recorded at the beginning and the end of telavancin therapy.</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This sub analysis suggests telavancin is a promising and viable option for patients with bacteremia or endocarditis, including those with MRSA or another </w:t>
      </w:r>
      <w:r>
        <w:rPr>
          <w:rFonts w:ascii="Arial" w:cs="Arial" w:eastAsia="Arial" w:hAnsi="Arial"/>
          <w:sz w:val="22"/>
          <w:szCs w:val="22"/>
          <w:i w:val="1"/>
          <w:iCs w:val="1"/>
          <w:color w:val="auto"/>
        </w:rPr>
        <w:t>S. aureus</w:t>
      </w:r>
      <w:r>
        <w:rPr>
          <w:rFonts w:ascii="Arial" w:cs="Arial" w:eastAsia="Arial" w:hAnsi="Arial"/>
          <w:sz w:val="22"/>
          <w:szCs w:val="22"/>
          <w:color w:val="auto"/>
        </w:rPr>
        <w:t xml:space="preserve"> pathogen.</w:t>
      </w:r>
    </w:p>
    <w:p>
      <w:pPr>
        <w:spacing w:after="0" w:line="67" w:lineRule="exact"/>
        <w:rPr>
          <w:sz w:val="20"/>
          <w:szCs w:val="20"/>
          <w:color w:val="auto"/>
        </w:rPr>
      </w:pPr>
    </w:p>
    <w:p>
      <w:pPr>
        <w:ind w:left="400" w:right="60" w:hanging="1"/>
        <w:spacing w:after="0" w:line="253" w:lineRule="auto"/>
        <w:tabs>
          <w:tab w:leader="none" w:pos="616" w:val="left"/>
        </w:tabs>
        <w:numPr>
          <w:ilvl w:val="0"/>
          <w:numId w:val="2"/>
        </w:numPr>
        <w:rPr>
          <w:rFonts w:ascii="Arial" w:cs="Arial" w:eastAsia="Arial" w:hAnsi="Arial"/>
          <w:sz w:val="22"/>
          <w:szCs w:val="22"/>
          <w:color w:val="auto"/>
        </w:rPr>
      </w:pPr>
      <w:r>
        <w:rPr>
          <w:rFonts w:ascii="Arial" w:cs="Arial" w:eastAsia="Arial" w:hAnsi="Arial"/>
          <w:sz w:val="22"/>
          <w:szCs w:val="22"/>
          <w:color w:val="212121"/>
        </w:rPr>
        <w:t>Reilly, Joseph et al. “Clinical Experience with Telavancin for the Treatment of Patients with Bacteremia and Endocarditis: Real-World Results from the Telavancin Observational Use Registry (TOUR™).” Drugs - real world outcomes, 10.1007/s40801-020-00191-x. 5 May. 2020, doi:10.1007/s40801-020-00191-x</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2"/>
          <w:szCs w:val="22"/>
          <w:u w:val="single" w:color="auto"/>
          <w:color w:val="0070C0"/>
        </w:rPr>
        <w:t>https://link.springer.com/article/10.1007%2Fs40801-020-00191-x</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Vibativ</w:t>
      </w:r>
      <w:r>
        <w:rPr>
          <w:rFonts w:ascii="Arial" w:cs="Arial" w:eastAsia="Arial" w:hAnsi="Arial"/>
          <w:sz w:val="28"/>
          <w:szCs w:val="28"/>
          <w:b w:val="1"/>
          <w:bCs w:val="1"/>
          <w:color w:val="auto"/>
          <w:vertAlign w:val="superscript"/>
        </w:rPr>
        <w:t>®</w:t>
      </w:r>
    </w:p>
    <w:p>
      <w:pPr>
        <w:spacing w:after="0" w:line="5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Vibativ is a once-daily, injectable lipoglycopeptide antibiotic with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potency, bactericidal activity within six hours, and penetration into target infection sites. The drug is approved in the U.S. for the treatment of adult patients with hospital-acquired and ventilator-associated bacterial pneumonia (HABP/VABP) caused by susceptible isolates of </w:t>
      </w:r>
      <w:r>
        <w:rPr>
          <w:rFonts w:ascii="Arial" w:cs="Arial" w:eastAsia="Arial" w:hAnsi="Arial"/>
          <w:sz w:val="22"/>
          <w:szCs w:val="22"/>
          <w:i w:val="1"/>
          <w:iCs w:val="1"/>
          <w:color w:val="auto"/>
        </w:rPr>
        <w:t>S. aureus</w:t>
      </w:r>
      <w:r>
        <w:rPr>
          <w:rFonts w:ascii="Arial" w:cs="Arial" w:eastAsia="Arial" w:hAnsi="Arial"/>
          <w:sz w:val="22"/>
          <w:szCs w:val="22"/>
          <w:color w:val="auto"/>
        </w:rPr>
        <w:t xml:space="preserve"> when alternative treatments are not suitable.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In addition, Vibativ is approved in the U.S. for the treatment of adult patients with complicated skin &amp; skin structure infections (cSSSI) caused by susceptible isolates of Gram-positive bacteria, including </w:t>
      </w:r>
      <w:r>
        <w:rPr>
          <w:rFonts w:ascii="Arial" w:cs="Arial" w:eastAsia="Arial" w:hAnsi="Arial"/>
          <w:sz w:val="22"/>
          <w:szCs w:val="22"/>
          <w:i w:val="1"/>
          <w:iCs w:val="1"/>
          <w:color w:val="auto"/>
        </w:rPr>
        <w:t>S. aureus</w:t>
      </w: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19"/>
          <w:szCs w:val="19"/>
          <w:color w:val="auto"/>
        </w:rPr>
        <w:t xml:space="preserve">both methicillin-susceptible (MSSA) and methicillin-resistant (MRSA) strains. The product labeling also describes the use of Vibativ in treating patients whose pneumonia or skin infection is complicated by concurrent bacteremia. The product's proven efficacy against difficult-to-treat Gram-positive infections has been demonstrated in several large, multinational registrational studies, which involved one of the largest cohorts of patients with </w:t>
      </w:r>
      <w:r>
        <w:rPr>
          <w:rFonts w:ascii="Arial" w:cs="Arial" w:eastAsia="Arial" w:hAnsi="Arial"/>
          <w:sz w:val="19"/>
          <w:szCs w:val="19"/>
          <w:i w:val="1"/>
          <w:iCs w:val="1"/>
          <w:color w:val="auto"/>
        </w:rPr>
        <w:t>S. aureus</w:t>
      </w:r>
      <w:r>
        <w:rPr>
          <w:rFonts w:ascii="Arial" w:cs="Arial" w:eastAsia="Arial" w:hAnsi="Arial"/>
          <w:sz w:val="19"/>
          <w:szCs w:val="19"/>
          <w:color w:val="auto"/>
        </w:rPr>
        <w:t xml:space="preserve"> infections studied to date. Importantly, these studies demonstrated significantly higher cure rates for Vibativ as compared to vancomycin in HABP/VABP due to any single Gram-positive pathogen or </w:t>
      </w:r>
      <w:r>
        <w:rPr>
          <w:rFonts w:ascii="Arial" w:cs="Arial" w:eastAsia="Arial" w:hAnsi="Arial"/>
          <w:sz w:val="19"/>
          <w:szCs w:val="19"/>
          <w:i w:val="1"/>
          <w:iCs w:val="1"/>
          <w:color w:val="auto"/>
        </w:rPr>
        <w:t>S. aureus</w:t>
      </w:r>
      <w:r>
        <w:rPr>
          <w:rFonts w:ascii="Arial" w:cs="Arial" w:eastAsia="Arial" w:hAnsi="Arial"/>
          <w:sz w:val="19"/>
          <w:szCs w:val="19"/>
          <w:color w:val="auto"/>
        </w:rPr>
        <w:t xml:space="preserve"> with vancomycin MIC ≥1 µg/mL. Additionally, there is extensive and well-documented evidence of the drug's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potency and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activity against a broad collection of Gram-positive bacterial pathogens, including those that are considered difficult-to-treat and multidrug-resistant. For full prescribing information, visit </w:t>
      </w:r>
      <w:r>
        <w:rPr>
          <w:rFonts w:ascii="Arial" w:cs="Arial" w:eastAsia="Arial" w:hAnsi="Arial"/>
          <w:sz w:val="19"/>
          <w:szCs w:val="19"/>
          <w:u w:val="single" w:color="auto"/>
          <w:color w:val="0000FF"/>
        </w:rPr>
        <w:t>www.vibativ.com</w:t>
      </w:r>
      <w:r>
        <w:rPr>
          <w:rFonts w:ascii="Arial" w:cs="Arial" w:eastAsia="Arial" w:hAnsi="Arial"/>
          <w:sz w:val="19"/>
          <w:szCs w:val="19"/>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Cumberland Pharmaceuticals Inc. is a specialty pharmaceutical company focused on the delivery of high-quality prescription brands to improve patient care. The Company develops, acquires, and commercializes brands for the hospital acute care and gastroenterology market segments. The Company's portfolio of FDA approved brands includes:</w:t>
      </w:r>
    </w:p>
    <w:p>
      <w:pPr>
        <w:spacing w:after="0" w:line="26" w:lineRule="exact"/>
        <w:rPr>
          <w:sz w:val="20"/>
          <w:szCs w:val="20"/>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Acetadote</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84" w:lineRule="exact"/>
        <w:rPr>
          <w:rFonts w:ascii="Arial" w:cs="Arial" w:eastAsia="Arial" w:hAnsi="Arial"/>
          <w:sz w:val="18"/>
          <w:szCs w:val="18"/>
          <w:color w:val="auto"/>
        </w:rPr>
      </w:pPr>
    </w:p>
    <w:p>
      <w:pPr>
        <w:ind w:left="1360" w:hanging="704"/>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Caldolor</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4" w:lineRule="exact"/>
        <w:rPr>
          <w:rFonts w:ascii="Arial" w:cs="Arial" w:eastAsia="Arial" w:hAnsi="Arial"/>
          <w:sz w:val="18"/>
          <w:szCs w:val="18"/>
          <w:color w:val="auto"/>
        </w:rPr>
      </w:pPr>
    </w:p>
    <w:p>
      <w:pPr>
        <w:ind w:left="660" w:right="940" w:hanging="4"/>
        <w:spacing w:after="0" w:line="243" w:lineRule="auto"/>
        <w:tabs>
          <w:tab w:leader="none" w:pos="1371"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Kristalose</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for Oral Solution, a prescription laxative, for the treatment of chronic and acute</w:t>
      </w:r>
      <w:r>
        <w:rPr>
          <w:rFonts w:ascii="Arial" w:cs="Arial" w:eastAsia="Arial" w:hAnsi="Arial"/>
          <w:sz w:val="22"/>
          <w:szCs w:val="22"/>
          <w:b w:val="1"/>
          <w:bCs w:val="1"/>
          <w:color w:val="auto"/>
        </w:rPr>
        <w:t xml:space="preserve"> </w:t>
      </w:r>
      <w:r>
        <w:rPr>
          <w:rFonts w:ascii="Arial" w:cs="Arial" w:eastAsia="Arial" w:hAnsi="Arial"/>
          <w:sz w:val="22"/>
          <w:szCs w:val="22"/>
          <w:color w:val="auto"/>
        </w:rPr>
        <w:t>constipation;</w:t>
      </w:r>
    </w:p>
    <w:p>
      <w:pPr>
        <w:spacing w:after="0" w:line="41" w:lineRule="exact"/>
        <w:rPr>
          <w:rFonts w:ascii="Arial" w:cs="Arial" w:eastAsia="Arial" w:hAnsi="Arial"/>
          <w:sz w:val="18"/>
          <w:szCs w:val="18"/>
          <w:color w:val="auto"/>
        </w:rPr>
      </w:pPr>
    </w:p>
    <w:p>
      <w:pPr>
        <w:ind w:left="660" w:right="80" w:hanging="4"/>
        <w:spacing w:after="0" w:line="243" w:lineRule="auto"/>
        <w:tabs>
          <w:tab w:leader="none" w:pos="1371"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Omeclamox</w:t>
      </w:r>
      <w:r>
        <w:rPr>
          <w:rFonts w:ascii="Arial" w:cs="Arial" w:eastAsia="Arial" w:hAnsi="Arial"/>
          <w:sz w:val="14"/>
          <w:szCs w:val="14"/>
          <w:b w:val="1"/>
          <w:bCs w:val="1"/>
          <w:color w:val="auto"/>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41" w:lineRule="exact"/>
        <w:rPr>
          <w:rFonts w:ascii="Arial" w:cs="Arial" w:eastAsia="Arial" w:hAnsi="Arial"/>
          <w:sz w:val="18"/>
          <w:szCs w:val="18"/>
          <w:color w:val="auto"/>
        </w:rPr>
      </w:pPr>
    </w:p>
    <w:p>
      <w:pPr>
        <w:ind w:left="660" w:right="640" w:hanging="4"/>
        <w:spacing w:after="0" w:line="243" w:lineRule="auto"/>
        <w:tabs>
          <w:tab w:leader="none" w:pos="1371"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Vaprisol</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w:t>
      </w:r>
    </w:p>
    <w:p>
      <w:pPr>
        <w:spacing w:after="0" w:line="41" w:lineRule="exact"/>
        <w:rPr>
          <w:rFonts w:ascii="Arial" w:cs="Arial" w:eastAsia="Arial" w:hAnsi="Arial"/>
          <w:sz w:val="18"/>
          <w:szCs w:val="18"/>
          <w:color w:val="auto"/>
        </w:rPr>
      </w:pPr>
    </w:p>
    <w:p>
      <w:pPr>
        <w:ind w:left="660" w:right="700" w:hanging="4"/>
        <w:spacing w:after="0" w:line="303" w:lineRule="auto"/>
        <w:tabs>
          <w:tab w:leader="none" w:pos="1371" w:val="left"/>
        </w:tabs>
        <w:numPr>
          <w:ilvl w:val="0"/>
          <w:numId w:val="3"/>
        </w:numPr>
        <w:rPr>
          <w:rFonts w:ascii="Arial" w:cs="Arial" w:eastAsia="Arial" w:hAnsi="Arial"/>
          <w:sz w:val="16"/>
          <w:szCs w:val="16"/>
          <w:color w:val="auto"/>
        </w:rPr>
      </w:pPr>
      <w:r>
        <w:rPr>
          <w:rFonts w:ascii="Arial" w:cs="Arial" w:eastAsia="Arial" w:hAnsi="Arial"/>
          <w:sz w:val="19"/>
          <w:szCs w:val="19"/>
          <w:b w:val="1"/>
          <w:bCs w:val="1"/>
          <w:color w:val="auto"/>
        </w:rPr>
        <w:t>Vibativ</w:t>
      </w:r>
      <w:r>
        <w:rPr>
          <w:rFonts w:ascii="Arial" w:cs="Arial" w:eastAsia="Arial" w:hAnsi="Arial"/>
          <w:sz w:val="13"/>
          <w:szCs w:val="13"/>
          <w:b w:val="1"/>
          <w:b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telavancin</w:t>
      </w:r>
      <w:r>
        <w:rPr>
          <w:rFonts w:ascii="Arial" w:cs="Arial" w:eastAsia="Arial" w:hAnsi="Arial"/>
          <w:sz w:val="19"/>
          <w:szCs w:val="19"/>
          <w:color w:val="auto"/>
        </w:rPr>
        <w:t>) Injection, for the treatment of certain serious bacterial infections including hospital-acquired and ventilator-associated bacterial pneumonia, as well as complicated skin and skin structure infections;</w:t>
      </w:r>
    </w:p>
    <w:p>
      <w:pPr>
        <w:spacing w:after="0" w:line="1" w:lineRule="exact"/>
        <w:rPr>
          <w:rFonts w:ascii="Arial" w:cs="Arial" w:eastAsia="Arial" w:hAnsi="Arial"/>
          <w:sz w:val="16"/>
          <w:szCs w:val="16"/>
          <w:color w:val="auto"/>
        </w:rPr>
      </w:pPr>
    </w:p>
    <w:p>
      <w:pPr>
        <w:ind w:left="660" w:right="680" w:hanging="4"/>
        <w:spacing w:after="0" w:line="243" w:lineRule="auto"/>
        <w:tabs>
          <w:tab w:leader="none" w:pos="1371"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RediTrex</w:t>
      </w:r>
      <w:r>
        <w:rPr>
          <w:rFonts w:ascii="Arial" w:cs="Arial" w:eastAsia="Arial" w:hAnsi="Arial"/>
          <w:sz w:val="14"/>
          <w:szCs w:val="14"/>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w:t>
      </w:r>
      <w:r>
        <w:rPr>
          <w:rFonts w:ascii="Arial" w:cs="Arial" w:eastAsia="Arial" w:hAnsi="Arial"/>
          <w:sz w:val="22"/>
          <w:szCs w:val="22"/>
          <w:b w:val="1"/>
          <w:bCs w:val="1"/>
          <w:color w:val="auto"/>
        </w:rPr>
        <w:t xml:space="preserve"> </w:t>
      </w:r>
      <w:r>
        <w:rPr>
          <w:rFonts w:ascii="Arial" w:cs="Arial" w:eastAsia="Arial" w:hAnsi="Arial"/>
          <w:sz w:val="22"/>
          <w:szCs w:val="22"/>
          <w:color w:val="auto"/>
        </w:rPr>
        <w:t>psoriatic arthritis, as well as disabling psoriasis.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the individual product websites, links to which can be found on the Company's website </w:t>
      </w:r>
      <w:r>
        <w:rPr>
          <w:rFonts w:ascii="Arial" w:cs="Arial" w:eastAsia="Arial" w:hAnsi="Arial"/>
          <w:sz w:val="22"/>
          <w:szCs w:val="22"/>
          <w:u w:val="single" w:color="auto"/>
          <w:color w:val="0563C1"/>
        </w:rPr>
        <w:t>www.cumberlandpharma.com</w:t>
      </w:r>
      <w:r>
        <w:rPr>
          <w:rFonts w:ascii="Arial" w:cs="Arial" w:eastAsia="Arial" w:hAnsi="Arial"/>
          <w:sz w:val="22"/>
          <w:szCs w:val="22"/>
          <w:color w:val="auto"/>
        </w:rPr>
        <w:t>.</w:t>
      </w:r>
    </w:p>
    <w:p>
      <w:pPr>
        <w:spacing w:after="0" w:line="39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Company also has a series of Phase II clinical programs underway evaluating its ifetroban product candidates in patients with cardiomyopathy associated with Duchenne Muscular Dystrophy ("DMD"), Systemic Sclerosis ("SSc"), and Aspirin-Exacerbated Respiratory Disease ("AERD"), Hepatorenal Syndrome ("HRS") and Portal Hypertension ("PH").</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w:t>
      </w:r>
    </w:p>
    <w:p>
      <w:pPr>
        <w:sectPr>
          <w:pgSz w:w="11900" w:h="16838" w:orient="portrait"/>
          <w:cols w:equalWidth="0" w:num="1">
            <w:col w:w="11240"/>
          </w:cols>
          <w:pgMar w:left="320" w:top="564" w:right="339" w:bottom="1440" w:gutter="0" w:footer="0" w:header="0"/>
        </w:sectPr>
      </w:pPr>
    </w:p>
    <w:bookmarkStart w:id="5" w:name="page6"/>
    <w:bookmarkEnd w:id="5"/>
    <w:p>
      <w:pPr>
        <w:jc w:val="both"/>
        <w:spacing w:after="0" w:line="261" w:lineRule="auto"/>
        <w:rPr>
          <w:sz w:val="20"/>
          <w:szCs w:val="20"/>
          <w:color w:val="auto"/>
        </w:rPr>
      </w:pPr>
      <w:r>
        <w:rPr>
          <w:rFonts w:ascii="Arial" w:cs="Arial" w:eastAsia="Arial" w:hAnsi="Arial"/>
          <w:sz w:val="21"/>
          <w:szCs w:val="21"/>
          <w:color w:val="auto"/>
        </w:rPr>
        <w:t>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SOURCE: Cumberland Pharmaceuticals Inc.</w:t>
      </w:r>
    </w:p>
    <w:p>
      <w:pPr>
        <w:spacing w:after="0" w:line="200" w:lineRule="exact"/>
        <w:rPr>
          <w:sz w:val="20"/>
          <w:szCs w:val="20"/>
          <w:color w:val="auto"/>
        </w:rPr>
      </w:pPr>
    </w:p>
    <w:p>
      <w:pPr>
        <w:spacing w:after="0" w:line="39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4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Media Contacts:</w:t>
            </w: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Erin Gull</w:t>
            </w:r>
          </w:p>
        </w:tc>
        <w:tc>
          <w:tcPr>
            <w:tcW w:w="3420" w:type="dxa"/>
            <w:vAlign w:val="bottom"/>
            <w:gridSpan w:val="2"/>
          </w:tcPr>
          <w:p>
            <w:pPr>
              <w:ind w:left="1160"/>
              <w:spacing w:after="0"/>
              <w:rPr>
                <w:sz w:val="20"/>
                <w:szCs w:val="20"/>
                <w:color w:val="auto"/>
              </w:rPr>
            </w:pPr>
            <w:r>
              <w:rPr>
                <w:rFonts w:ascii="Arial" w:cs="Arial" w:eastAsia="Arial" w:hAnsi="Arial"/>
                <w:sz w:val="18"/>
                <w:szCs w:val="18"/>
                <w:color w:val="auto"/>
              </w:rPr>
              <w:t>Jeff Bradford</w:t>
            </w: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Molly Aggas</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Corporate Relations</w:t>
            </w:r>
          </w:p>
        </w:tc>
        <w:tc>
          <w:tcPr>
            <w:tcW w:w="3420" w:type="dxa"/>
            <w:vAlign w:val="bottom"/>
            <w:gridSpan w:val="2"/>
          </w:tcPr>
          <w:p>
            <w:pPr>
              <w:ind w:left="1160"/>
              <w:spacing w:after="0"/>
              <w:rPr>
                <w:sz w:val="20"/>
                <w:szCs w:val="20"/>
                <w:color w:val="auto"/>
              </w:rPr>
            </w:pPr>
            <w:r>
              <w:rPr>
                <w:rFonts w:ascii="Arial" w:cs="Arial" w:eastAsia="Arial" w:hAnsi="Arial"/>
                <w:sz w:val="18"/>
                <w:szCs w:val="18"/>
                <w:color w:val="auto"/>
              </w:rPr>
              <w:t>the Bradford Group</w:t>
            </w: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The Bradford Group</w:t>
            </w: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(615) 255-0068</w:t>
            </w:r>
          </w:p>
        </w:tc>
        <w:tc>
          <w:tcPr>
            <w:tcW w:w="1580" w:type="dxa"/>
            <w:vAlign w:val="bottom"/>
          </w:tcPr>
          <w:p>
            <w:pPr>
              <w:ind w:left="116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515-4880 office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(615)</w:t>
            </w:r>
          </w:p>
        </w:tc>
        <w:tc>
          <w:tcPr>
            <w:tcW w:w="1260" w:type="dxa"/>
            <w:vAlign w:val="bottom"/>
          </w:tcPr>
          <w:p>
            <w:pPr>
              <w:ind w:left="20"/>
              <w:spacing w:after="0"/>
              <w:rPr>
                <w:sz w:val="20"/>
                <w:szCs w:val="20"/>
                <w:color w:val="auto"/>
              </w:rPr>
            </w:pPr>
            <w:r>
              <w:rPr>
                <w:rFonts w:ascii="Arial" w:cs="Arial" w:eastAsia="Arial" w:hAnsi="Arial"/>
                <w:sz w:val="18"/>
                <w:szCs w:val="18"/>
                <w:color w:val="auto"/>
                <w:w w:val="98"/>
              </w:rPr>
              <w:t>515-4882 office</w:t>
            </w:r>
          </w:p>
        </w:tc>
      </w:tr>
      <w:tr>
        <w:trPr>
          <w:trHeight w:val="270"/>
        </w:trPr>
        <w:tc>
          <w:tcPr>
            <w:tcW w:w="2580" w:type="dxa"/>
            <w:vAlign w:val="bottom"/>
          </w:tcPr>
          <w:p>
            <w:pPr>
              <w:spacing w:after="0"/>
              <w:rPr>
                <w:sz w:val="23"/>
                <w:szCs w:val="23"/>
                <w:color w:val="auto"/>
              </w:rPr>
            </w:pPr>
          </w:p>
        </w:tc>
        <w:tc>
          <w:tcPr>
            <w:tcW w:w="1580" w:type="dxa"/>
            <w:vAlign w:val="bottom"/>
          </w:tcPr>
          <w:p>
            <w:pPr>
              <w:ind w:left="1160"/>
              <w:spacing w:after="0"/>
              <w:rPr>
                <w:sz w:val="20"/>
                <w:szCs w:val="20"/>
                <w:color w:val="auto"/>
              </w:rPr>
            </w:pPr>
            <w:r>
              <w:rPr>
                <w:rFonts w:ascii="Arial" w:cs="Arial" w:eastAsia="Arial" w:hAnsi="Arial"/>
                <w:sz w:val="18"/>
                <w:szCs w:val="18"/>
                <w:color w:val="auto"/>
                <w:w w:val="95"/>
              </w:rPr>
              <w:t>(615)</w:t>
            </w:r>
          </w:p>
        </w:tc>
        <w:tc>
          <w:tcPr>
            <w:tcW w:w="1840" w:type="dxa"/>
            <w:vAlign w:val="bottom"/>
          </w:tcPr>
          <w:p>
            <w:pPr>
              <w:ind w:left="20"/>
              <w:spacing w:after="0"/>
              <w:rPr>
                <w:sz w:val="20"/>
                <w:szCs w:val="20"/>
                <w:color w:val="auto"/>
              </w:rPr>
            </w:pPr>
            <w:r>
              <w:rPr>
                <w:rFonts w:ascii="Arial" w:cs="Arial" w:eastAsia="Arial" w:hAnsi="Arial"/>
                <w:sz w:val="18"/>
                <w:szCs w:val="18"/>
                <w:color w:val="auto"/>
              </w:rPr>
              <w:t>337-0964 mobile</w:t>
            </w:r>
          </w:p>
        </w:tc>
        <w:tc>
          <w:tcPr>
            <w:tcW w:w="1000" w:type="dxa"/>
            <w:vAlign w:val="bottom"/>
          </w:tcPr>
          <w:p>
            <w:pPr>
              <w:ind w:left="600"/>
              <w:spacing w:after="0"/>
              <w:rPr>
                <w:sz w:val="20"/>
                <w:szCs w:val="20"/>
                <w:color w:val="auto"/>
              </w:rPr>
            </w:pPr>
            <w:r>
              <w:rPr>
                <w:rFonts w:ascii="Arial" w:cs="Arial" w:eastAsia="Arial" w:hAnsi="Arial"/>
                <w:sz w:val="18"/>
                <w:szCs w:val="18"/>
                <w:color w:val="auto"/>
                <w:w w:val="90"/>
              </w:rPr>
              <w:t>(704)</w:t>
            </w:r>
          </w:p>
        </w:tc>
        <w:tc>
          <w:tcPr>
            <w:tcW w:w="1260" w:type="dxa"/>
            <w:vAlign w:val="bottom"/>
          </w:tcPr>
          <w:p>
            <w:pPr>
              <w:ind w:left="20"/>
              <w:spacing w:after="0"/>
              <w:rPr>
                <w:sz w:val="20"/>
                <w:szCs w:val="20"/>
                <w:color w:val="auto"/>
              </w:rPr>
            </w:pPr>
            <w:r>
              <w:rPr>
                <w:rFonts w:ascii="Arial" w:cs="Arial" w:eastAsia="Arial" w:hAnsi="Arial"/>
                <w:sz w:val="18"/>
                <w:szCs w:val="18"/>
                <w:color w:val="auto"/>
                <w:w w:val="90"/>
              </w:rPr>
              <w:t>641-6641 mobile</w:t>
            </w:r>
          </w:p>
        </w:tc>
      </w:tr>
    </w:tbl>
    <w:p>
      <w:pPr>
        <w:spacing w:after="0" w:line="1" w:lineRule="exact"/>
        <w:rPr>
          <w:sz w:val="20"/>
          <w:szCs w:val="20"/>
          <w:color w:val="auto"/>
        </w:rPr>
      </w:pPr>
    </w:p>
    <w:sectPr>
      <w:pgSz w:w="11900" w:h="16838" w:orient="portrait"/>
      <w:cols w:equalWidth="0" w:num="1">
        <w:col w:w="11240"/>
      </w:cols>
      <w:pgMar w:left="320" w:top="5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2020-05-29T16:25:25Z</dcterms:created>
  <dcterms:modified xsi:type="dcterms:W3CDTF">2020-05-29T16:25:25Z</dcterms:modified>
</cp:coreProperties>
</file>