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7"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700" w:hanging="660"/>
        <w:spacing w:after="0"/>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0" w:lineRule="exact"/>
        <w:rPr>
          <w:sz w:val="24"/>
          <w:szCs w:val="24"/>
          <w:color w:val="auto"/>
        </w:rPr>
      </w:pPr>
    </w:p>
    <w:tbl>
      <w:tblPr>
        <w:tblLayout w:type="fixed"/>
        <w:tblInd w:w="147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For the transition period from</w:t>
            </w:r>
          </w:p>
        </w:tc>
        <w:tc>
          <w:tcPr>
            <w:tcW w:w="480" w:type="dxa"/>
            <w:vAlign w:val="bottom"/>
          </w:tcPr>
          <w:p>
            <w:pPr>
              <w:ind w:left="200"/>
              <w:spacing w:after="0"/>
              <w:rPr>
                <w:sz w:val="20"/>
                <w:szCs w:val="20"/>
                <w:color w:val="auto"/>
              </w:rPr>
            </w:pPr>
            <w:r>
              <w:rPr>
                <w:rFonts w:ascii="Arial" w:cs="Arial" w:eastAsia="Arial" w:hAnsi="Arial"/>
                <w:sz w:val="14"/>
                <w:szCs w:val="14"/>
                <w:b w:val="1"/>
                <w:bCs w:val="1"/>
                <w:color w:val="auto"/>
              </w:rPr>
              <w:t>to</w:t>
            </w:r>
          </w:p>
        </w:tc>
        <w:tc>
          <w:tcPr>
            <w:tcW w:w="3080" w:type="dxa"/>
            <w:vAlign w:val="bottom"/>
          </w:tcPr>
          <w:p>
            <w:pPr>
              <w:jc w:val="right"/>
              <w:ind w:right="26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center"/>
              <w:ind w:left="153"/>
              <w:spacing w:after="0"/>
              <w:rPr>
                <w:sz w:val="20"/>
                <w:szCs w:val="20"/>
                <w:color w:val="auto"/>
              </w:rPr>
            </w:pPr>
            <w:r>
              <w:rPr>
                <w:rFonts w:ascii="Arial" w:cs="Arial" w:eastAsia="Arial" w:hAnsi="Arial"/>
                <w:sz w:val="14"/>
                <w:szCs w:val="14"/>
                <w:b w:val="1"/>
                <w:bCs w:val="1"/>
                <w:color w:val="auto"/>
                <w:w w:val="91"/>
              </w:rPr>
              <w:t>Commission file number: 001-33637</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380" w:type="dxa"/>
            <w:vAlign w:val="bottom"/>
            <w:gridSpan w:val="8"/>
          </w:tcPr>
          <w:p>
            <w:pPr>
              <w:jc w:val="center"/>
              <w:spacing w:after="0"/>
              <w:rPr>
                <w:sz w:val="20"/>
                <w:szCs w:val="20"/>
                <w:color w:val="auto"/>
              </w:rPr>
            </w:pPr>
            <w:r>
              <w:rPr>
                <w:rFonts w:ascii="Arial" w:cs="Arial" w:eastAsia="Arial" w:hAnsi="Arial"/>
                <w:sz w:val="28"/>
                <w:szCs w:val="28"/>
                <w:b w:val="1"/>
                <w:bCs w:val="1"/>
                <w:color w:val="auto"/>
                <w:w w:val="92"/>
              </w:rPr>
              <w:t>Cumberland Pharmaceuticals Inc.</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5920" w:type="dxa"/>
            <w:vAlign w:val="bottom"/>
            <w:gridSpan w:val="7"/>
          </w:tcPr>
          <w:p>
            <w:pPr>
              <w:jc w:val="center"/>
              <w:ind w:right="2415"/>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195"/>
        </w:trPr>
        <w:tc>
          <w:tcPr>
            <w:tcW w:w="2460" w:type="dxa"/>
            <w:vAlign w:val="bottom"/>
          </w:tcPr>
          <w:p>
            <w:pPr>
              <w:jc w:val="center"/>
              <w:ind w:left="186"/>
              <w:spacing w:after="0"/>
              <w:rPr>
                <w:sz w:val="20"/>
                <w:szCs w:val="20"/>
                <w:color w:val="auto"/>
              </w:rPr>
            </w:pPr>
            <w:r>
              <w:rPr>
                <w:rFonts w:ascii="Arial" w:cs="Arial" w:eastAsia="Arial" w:hAnsi="Arial"/>
                <w:sz w:val="14"/>
                <w:szCs w:val="14"/>
                <w:b w:val="1"/>
                <w:bCs w:val="1"/>
                <w:color w:val="auto"/>
                <w:w w:val="82"/>
              </w:rPr>
              <w:t>Tennessee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80" w:type="dxa"/>
            <w:vAlign w:val="bottom"/>
          </w:tcPr>
          <w:p>
            <w:pPr>
              <w:jc w:val="right"/>
              <w:ind w:right="855"/>
              <w:spacing w:after="0"/>
              <w:rPr>
                <w:sz w:val="20"/>
                <w:szCs w:val="20"/>
                <w:color w:val="auto"/>
              </w:rPr>
            </w:pPr>
            <w:r>
              <w:rPr>
                <w:rFonts w:ascii="Arial" w:cs="Arial" w:eastAsia="Arial" w:hAnsi="Arial"/>
                <w:sz w:val="14"/>
                <w:szCs w:val="14"/>
                <w:b w:val="1"/>
                <w:bCs w:val="1"/>
                <w:color w:val="auto"/>
              </w:rPr>
              <w:t>62-1765329</w:t>
            </w:r>
          </w:p>
        </w:tc>
        <w:tc>
          <w:tcPr>
            <w:tcW w:w="0" w:type="dxa"/>
            <w:vAlign w:val="bottom"/>
          </w:tcPr>
          <w:p>
            <w:pPr>
              <w:spacing w:after="0"/>
              <w:rPr>
                <w:sz w:val="1"/>
                <w:szCs w:val="1"/>
                <w:color w:val="auto"/>
              </w:rPr>
            </w:pPr>
          </w:p>
        </w:tc>
      </w:tr>
      <w:tr>
        <w:trPr>
          <w:trHeight w:val="113"/>
        </w:trPr>
        <w:tc>
          <w:tcPr>
            <w:tcW w:w="2460" w:type="dxa"/>
            <w:vAlign w:val="bottom"/>
          </w:tcPr>
          <w:p>
            <w:pPr>
              <w:jc w:val="center"/>
              <w:ind w:left="166"/>
              <w:spacing w:after="0" w:line="113" w:lineRule="exact"/>
              <w:rPr>
                <w:sz w:val="20"/>
                <w:szCs w:val="20"/>
                <w:color w:val="auto"/>
              </w:rPr>
            </w:pPr>
            <w:r>
              <w:rPr>
                <w:rFonts w:ascii="Arial" w:cs="Arial" w:eastAsia="Arial" w:hAnsi="Arial"/>
                <w:sz w:val="11"/>
                <w:szCs w:val="11"/>
                <w:b w:val="1"/>
                <w:bCs w:val="1"/>
                <w:color w:val="auto"/>
                <w:w w:val="93"/>
              </w:rPr>
              <w:t>(State or Other Jurisdiction of</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80" w:type="dxa"/>
            <w:vAlign w:val="bottom"/>
          </w:tcPr>
          <w:p>
            <w:pPr>
              <w:jc w:val="center"/>
              <w:ind w:left="475"/>
              <w:spacing w:after="0" w:line="113" w:lineRule="exact"/>
              <w:rPr>
                <w:sz w:val="20"/>
                <w:szCs w:val="20"/>
                <w:color w:val="auto"/>
              </w:rPr>
            </w:pPr>
            <w:r>
              <w:rPr>
                <w:rFonts w:ascii="Arial" w:cs="Arial" w:eastAsia="Arial" w:hAnsi="Arial"/>
                <w:sz w:val="11"/>
                <w:szCs w:val="11"/>
                <w:b w:val="1"/>
                <w:bCs w:val="1"/>
                <w:color w:val="auto"/>
                <w:w w:val="97"/>
              </w:rPr>
              <w:t>(I.R.S. Employer</w:t>
            </w:r>
          </w:p>
        </w:tc>
        <w:tc>
          <w:tcPr>
            <w:tcW w:w="0" w:type="dxa"/>
            <w:vAlign w:val="bottom"/>
          </w:tcPr>
          <w:p>
            <w:pPr>
              <w:spacing w:after="0"/>
              <w:rPr>
                <w:sz w:val="1"/>
                <w:szCs w:val="1"/>
                <w:color w:val="auto"/>
              </w:rPr>
            </w:pPr>
          </w:p>
        </w:tc>
      </w:tr>
      <w:tr>
        <w:trPr>
          <w:trHeight w:val="147"/>
        </w:trPr>
        <w:tc>
          <w:tcPr>
            <w:tcW w:w="2460" w:type="dxa"/>
            <w:vAlign w:val="bottom"/>
          </w:tcPr>
          <w:p>
            <w:pPr>
              <w:jc w:val="center"/>
              <w:ind w:left="186"/>
              <w:spacing w:after="0"/>
              <w:rPr>
                <w:sz w:val="20"/>
                <w:szCs w:val="20"/>
                <w:color w:val="auto"/>
              </w:rPr>
            </w:pPr>
            <w:r>
              <w:rPr>
                <w:rFonts w:ascii="Arial" w:cs="Arial" w:eastAsia="Arial" w:hAnsi="Arial"/>
                <w:sz w:val="11"/>
                <w:szCs w:val="11"/>
                <w:b w:val="1"/>
                <w:bCs w:val="1"/>
                <w:color w:val="auto"/>
                <w:w w:val="95"/>
              </w:rPr>
              <w:t>Incorporation or Organization)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80" w:type="dxa"/>
            <w:vAlign w:val="bottom"/>
          </w:tcPr>
          <w:p>
            <w:pPr>
              <w:jc w:val="center"/>
              <w:ind w:left="495"/>
              <w:spacing w:after="0"/>
              <w:rPr>
                <w:sz w:val="20"/>
                <w:szCs w:val="20"/>
                <w:color w:val="auto"/>
              </w:rPr>
            </w:pPr>
            <w:r>
              <w:rPr>
                <w:rFonts w:ascii="Arial" w:cs="Arial" w:eastAsia="Arial" w:hAnsi="Arial"/>
                <w:sz w:val="11"/>
                <w:szCs w:val="11"/>
                <w:b w:val="1"/>
                <w:bCs w:val="1"/>
                <w:color w:val="auto"/>
                <w:w w:val="94"/>
              </w:rPr>
              <w:t>Identification No.)</w:t>
            </w:r>
          </w:p>
        </w:tc>
        <w:tc>
          <w:tcPr>
            <w:tcW w:w="0" w:type="dxa"/>
            <w:vAlign w:val="bottom"/>
          </w:tcPr>
          <w:p>
            <w:pPr>
              <w:spacing w:after="0"/>
              <w:rPr>
                <w:sz w:val="1"/>
                <w:szCs w:val="1"/>
                <w:color w:val="auto"/>
              </w:rPr>
            </w:pPr>
          </w:p>
        </w:tc>
      </w:tr>
      <w:tr>
        <w:trPr>
          <w:trHeight w:val="193"/>
        </w:trPr>
        <w:tc>
          <w:tcPr>
            <w:tcW w:w="2460" w:type="dxa"/>
            <w:vAlign w:val="bottom"/>
          </w:tcPr>
          <w:p>
            <w:pPr>
              <w:jc w:val="center"/>
              <w:ind w:left="166"/>
              <w:spacing w:after="0"/>
              <w:rPr>
                <w:sz w:val="20"/>
                <w:szCs w:val="20"/>
                <w:color w:val="auto"/>
              </w:rPr>
            </w:pPr>
            <w:r>
              <w:rPr>
                <w:rFonts w:ascii="Arial" w:cs="Arial" w:eastAsia="Arial" w:hAnsi="Arial"/>
                <w:sz w:val="14"/>
                <w:szCs w:val="14"/>
                <w:b w:val="1"/>
                <w:bCs w:val="1"/>
                <w:color w:val="auto"/>
                <w:w w:val="90"/>
              </w:rPr>
              <w:t>2525 West End Avenue, Suite 950,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80" w:type="dxa"/>
            <w:vAlign w:val="bottom"/>
            <w:vMerge w:val="restart"/>
          </w:tcPr>
          <w:p>
            <w:pPr>
              <w:jc w:val="right"/>
              <w:ind w:right="1015"/>
              <w:spacing w:after="0"/>
              <w:rPr>
                <w:sz w:val="20"/>
                <w:szCs w:val="20"/>
                <w:color w:val="auto"/>
              </w:rPr>
            </w:pPr>
            <w:r>
              <w:rPr>
                <w:rFonts w:ascii="Arial" w:cs="Arial" w:eastAsia="Arial" w:hAnsi="Arial"/>
                <w:sz w:val="14"/>
                <w:szCs w:val="14"/>
                <w:b w:val="1"/>
                <w:bCs w:val="1"/>
                <w:color w:val="auto"/>
              </w:rPr>
              <w:t>37203</w:t>
            </w:r>
          </w:p>
        </w:tc>
        <w:tc>
          <w:tcPr>
            <w:tcW w:w="0" w:type="dxa"/>
            <w:vAlign w:val="bottom"/>
          </w:tcPr>
          <w:p>
            <w:pPr>
              <w:spacing w:after="0"/>
              <w:rPr>
                <w:sz w:val="1"/>
                <w:szCs w:val="1"/>
                <w:color w:val="auto"/>
              </w:rPr>
            </w:pPr>
          </w:p>
        </w:tc>
      </w:tr>
      <w:tr>
        <w:trPr>
          <w:trHeight w:val="174"/>
        </w:trPr>
        <w:tc>
          <w:tcPr>
            <w:tcW w:w="2460" w:type="dxa"/>
            <w:vAlign w:val="bottom"/>
          </w:tcPr>
          <w:p>
            <w:pPr>
              <w:jc w:val="center"/>
              <w:ind w:left="166"/>
              <w:spacing w:after="0"/>
              <w:rPr>
                <w:sz w:val="20"/>
                <w:szCs w:val="20"/>
                <w:color w:val="auto"/>
              </w:rPr>
            </w:pPr>
            <w:r>
              <w:rPr>
                <w:rFonts w:ascii="Arial" w:cs="Arial" w:eastAsia="Arial" w:hAnsi="Arial"/>
                <w:sz w:val="14"/>
                <w:szCs w:val="14"/>
                <w:b w:val="1"/>
                <w:bCs w:val="1"/>
                <w:color w:val="auto"/>
                <w:w w:val="86"/>
              </w:rPr>
              <w:t>Nashville, Tennessee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460" w:type="dxa"/>
            <w:vAlign w:val="bottom"/>
          </w:tcPr>
          <w:p>
            <w:pPr>
              <w:jc w:val="center"/>
              <w:ind w:left="166"/>
              <w:spacing w:after="0"/>
              <w:rPr>
                <w:sz w:val="20"/>
                <w:szCs w:val="20"/>
                <w:color w:val="auto"/>
              </w:rPr>
            </w:pPr>
            <w:r>
              <w:rPr>
                <w:rFonts w:ascii="Arial" w:cs="Arial" w:eastAsia="Arial" w:hAnsi="Arial"/>
                <w:sz w:val="11"/>
                <w:szCs w:val="11"/>
                <w:b w:val="1"/>
                <w:bCs w:val="1"/>
                <w:color w:val="auto"/>
                <w:w w:val="92"/>
              </w:rPr>
              <w:t>(Address of Principal Executive Offices)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80" w:type="dxa"/>
            <w:vAlign w:val="bottom"/>
          </w:tcPr>
          <w:p>
            <w:pPr>
              <w:jc w:val="center"/>
              <w:ind w:left="495"/>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362"/>
        </w:trPr>
        <w:tc>
          <w:tcPr>
            <w:tcW w:w="2460" w:type="dxa"/>
            <w:vAlign w:val="bottom"/>
          </w:tcPr>
          <w:p>
            <w:pPr>
              <w:spacing w:after="0"/>
              <w:rPr>
                <w:sz w:val="24"/>
                <w:szCs w:val="24"/>
                <w:color w:val="auto"/>
              </w:rPr>
            </w:pPr>
          </w:p>
        </w:tc>
        <w:tc>
          <w:tcPr>
            <w:tcW w:w="2360" w:type="dxa"/>
            <w:vAlign w:val="bottom"/>
            <w:gridSpan w:val="5"/>
          </w:tcPr>
          <w:p>
            <w:pPr>
              <w:jc w:val="center"/>
              <w:ind w:left="1009"/>
              <w:spacing w:after="0"/>
              <w:rPr>
                <w:sz w:val="20"/>
                <w:szCs w:val="20"/>
                <w:color w:val="auto"/>
              </w:rPr>
            </w:pPr>
            <w:r>
              <w:rPr>
                <w:rFonts w:ascii="Arial" w:cs="Arial" w:eastAsia="Arial" w:hAnsi="Arial"/>
                <w:sz w:val="14"/>
                <w:szCs w:val="14"/>
                <w:b w:val="1"/>
                <w:bCs w:val="1"/>
                <w:color w:val="auto"/>
                <w:w w:val="91"/>
              </w:rPr>
              <w:t>(615) 255-0068</w:t>
            </w:r>
          </w:p>
        </w:tc>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60" w:type="dxa"/>
            <w:vAlign w:val="bottom"/>
            <w:gridSpan w:val="5"/>
          </w:tcPr>
          <w:p>
            <w:pPr>
              <w:jc w:val="center"/>
              <w:ind w:right="2755"/>
              <w:spacing w:after="0"/>
              <w:rPr>
                <w:sz w:val="20"/>
                <w:szCs w:val="20"/>
                <w:color w:val="auto"/>
              </w:rPr>
            </w:pPr>
            <w:r>
              <w:rPr>
                <w:rFonts w:ascii="Arial" w:cs="Arial" w:eastAsia="Arial" w:hAnsi="Arial"/>
                <w:sz w:val="11"/>
                <w:szCs w:val="11"/>
                <w:b w:val="1"/>
                <w:bCs w:val="1"/>
                <w:color w:val="auto"/>
                <w:w w:val="92"/>
              </w:rPr>
              <w:t>(Registrant’s Telephone Number, Including Area Code)</w:t>
            </w:r>
          </w:p>
        </w:tc>
        <w:tc>
          <w:tcPr>
            <w:tcW w:w="0" w:type="dxa"/>
            <w:vAlign w:val="bottom"/>
          </w:tcPr>
          <w:p>
            <w:pPr>
              <w:spacing w:after="0"/>
              <w:rPr>
                <w:sz w:val="1"/>
                <w:szCs w:val="1"/>
                <w:color w:val="auto"/>
              </w:rPr>
            </w:pPr>
          </w:p>
        </w:tc>
      </w:tr>
      <w:tr>
        <w:trPr>
          <w:trHeight w:val="146"/>
        </w:trPr>
        <w:tc>
          <w:tcPr>
            <w:tcW w:w="2460" w:type="dxa"/>
            <w:vAlign w:val="bottom"/>
            <w:tcBorders>
              <w:bottom w:val="single" w:sz="8" w:color="auto"/>
            </w:tcBorders>
          </w:tcPr>
          <w:p>
            <w:pPr>
              <w:spacing w:after="0"/>
              <w:rPr>
                <w:sz w:val="12"/>
                <w:szCs w:val="12"/>
                <w:color w:val="auto"/>
              </w:rPr>
            </w:pPr>
          </w:p>
        </w:tc>
        <w:tc>
          <w:tcPr>
            <w:tcW w:w="5920" w:type="dxa"/>
            <w:vAlign w:val="bottom"/>
            <w:tcBorders>
              <w:bottom w:val="single" w:sz="8" w:color="auto"/>
            </w:tcBorders>
            <w:gridSpan w:val="7"/>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gridSpan w:val="7"/>
          </w:tcPr>
          <w:p>
            <w:pPr>
              <w:jc w:val="center"/>
              <w:ind w:right="2395"/>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0" w:type="dxa"/>
            <w:vAlign w:val="bottom"/>
          </w:tcPr>
          <w:p>
            <w:pPr>
              <w:spacing w:after="0"/>
              <w:rPr>
                <w:sz w:val="1"/>
                <w:szCs w:val="1"/>
                <w:color w:val="auto"/>
              </w:rPr>
            </w:pPr>
          </w:p>
        </w:tc>
      </w:tr>
      <w:tr>
        <w:trPr>
          <w:trHeight w:val="181"/>
        </w:trPr>
        <w:tc>
          <w:tcPr>
            <w:tcW w:w="2460" w:type="dxa"/>
            <w:vAlign w:val="bottom"/>
            <w:tcBorders>
              <w:left w:val="single" w:sz="8" w:color="auto"/>
            </w:tcBorders>
          </w:tcPr>
          <w:p>
            <w:pPr>
              <w:jc w:val="center"/>
              <w:ind w:left="206"/>
              <w:spacing w:after="0"/>
              <w:rPr>
                <w:sz w:val="20"/>
                <w:szCs w:val="20"/>
                <w:color w:val="auto"/>
              </w:rPr>
            </w:pPr>
            <w:r>
              <w:rPr>
                <w:rFonts w:ascii="Arial" w:cs="Arial" w:eastAsia="Arial" w:hAnsi="Arial"/>
                <w:sz w:val="14"/>
                <w:szCs w:val="14"/>
                <w:color w:val="auto"/>
                <w:w w:val="85"/>
              </w:rPr>
              <w:t>Class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Trading Symbol</w:t>
            </w:r>
          </w:p>
        </w:tc>
        <w:tc>
          <w:tcPr>
            <w:tcW w:w="480" w:type="dxa"/>
            <w:vAlign w:val="bottom"/>
          </w:tcPr>
          <w:p>
            <w:pPr>
              <w:spacing w:after="0"/>
              <w:rPr>
                <w:sz w:val="15"/>
                <w:szCs w:val="15"/>
                <w:color w:val="auto"/>
              </w:rPr>
            </w:pPr>
          </w:p>
        </w:tc>
        <w:tc>
          <w:tcPr>
            <w:tcW w:w="3080" w:type="dxa"/>
            <w:vAlign w:val="bottom"/>
            <w:tcBorders>
              <w:right w:val="single" w:sz="8" w:color="auto"/>
            </w:tcBorders>
          </w:tcPr>
          <w:p>
            <w:pPr>
              <w:jc w:val="center"/>
              <w:ind w:right="715"/>
              <w:spacing w:after="0"/>
              <w:rPr>
                <w:sz w:val="20"/>
                <w:szCs w:val="20"/>
                <w:color w:val="auto"/>
              </w:rPr>
            </w:pPr>
            <w:r>
              <w:rPr>
                <w:rFonts w:ascii="Arial" w:cs="Arial" w:eastAsia="Arial" w:hAnsi="Arial"/>
                <w:sz w:val="14"/>
                <w:szCs w:val="14"/>
                <w:color w:val="auto"/>
                <w:w w:val="91"/>
              </w:rPr>
              <w:t>Name of exchange on which registered</w:t>
            </w:r>
          </w:p>
        </w:tc>
        <w:tc>
          <w:tcPr>
            <w:tcW w:w="0" w:type="dxa"/>
            <w:vAlign w:val="bottom"/>
          </w:tcPr>
          <w:p>
            <w:pPr>
              <w:spacing w:after="0"/>
              <w:rPr>
                <w:sz w:val="1"/>
                <w:szCs w:val="1"/>
                <w:color w:val="auto"/>
              </w:rPr>
            </w:pPr>
          </w:p>
        </w:tc>
      </w:tr>
      <w:tr>
        <w:trPr>
          <w:trHeight w:val="171"/>
        </w:trPr>
        <w:tc>
          <w:tcPr>
            <w:tcW w:w="2460" w:type="dxa"/>
            <w:vAlign w:val="bottom"/>
            <w:tcBorders>
              <w:top w:val="single" w:sz="8" w:color="auto"/>
              <w:left w:val="single" w:sz="8" w:color="auto"/>
              <w:bottom w:val="single" w:sz="8" w:color="auto"/>
            </w:tcBorders>
          </w:tcPr>
          <w:p>
            <w:pPr>
              <w:jc w:val="center"/>
              <w:ind w:left="206"/>
              <w:spacing w:after="0"/>
              <w:rPr>
                <w:sz w:val="20"/>
                <w:szCs w:val="20"/>
                <w:color w:val="auto"/>
              </w:rPr>
            </w:pPr>
            <w:r>
              <w:rPr>
                <w:rFonts w:ascii="Arial" w:cs="Arial" w:eastAsia="Arial" w:hAnsi="Arial"/>
                <w:sz w:val="14"/>
                <w:szCs w:val="14"/>
                <w:color w:val="auto"/>
                <w:w w:val="90"/>
              </w:rPr>
              <w:t>Common stock, no par value</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7"/>
              </w:rPr>
              <w:t>CPIX</w:t>
            </w:r>
          </w:p>
        </w:tc>
        <w:tc>
          <w:tcPr>
            <w:tcW w:w="8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3080" w:type="dxa"/>
            <w:vAlign w:val="bottom"/>
            <w:tcBorders>
              <w:top w:val="single" w:sz="8" w:color="auto"/>
              <w:bottom w:val="single" w:sz="8" w:color="auto"/>
              <w:right w:val="single" w:sz="8" w:color="auto"/>
            </w:tcBorders>
          </w:tcPr>
          <w:p>
            <w:pPr>
              <w:jc w:val="center"/>
              <w:ind w:right="715"/>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bl>
    <w:p>
      <w:pPr>
        <w:spacing w:after="0" w:line="314"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3"/>
          <w:szCs w:val="13"/>
          <w:color w:val="auto"/>
        </w:rPr>
        <w:t>Yes</w:t>
      </w:r>
      <w:r>
        <w:rPr>
          <w:rFonts w:ascii="Arial" w:cs="Arial" w:eastAsia="Arial" w:hAnsi="Arial"/>
          <w:sz w:val="14"/>
          <w:szCs w:val="14"/>
          <w:color w:val="auto"/>
        </w:rPr>
        <w:t xml:space="preserve"> </w:t>
      </w:r>
      <w:r>
        <w:rPr>
          <w:rFonts w:ascii="MS PGothic" w:cs="MS PGothic" w:eastAsia="MS PGothic" w:hAnsi="MS PGothic"/>
          <w:sz w:val="13"/>
          <w:szCs w:val="13"/>
          <w:color w:val="auto"/>
        </w:rPr>
        <w:t>☒</w:t>
      </w:r>
      <w:r>
        <w:rPr>
          <w:rFonts w:ascii="Arial" w:cs="Arial" w:eastAsia="Arial" w:hAnsi="Arial"/>
          <w:sz w:val="14"/>
          <w:szCs w:val="14"/>
          <w:color w:val="auto"/>
        </w:rPr>
        <w:t xml:space="preserve"> </w:t>
      </w:r>
      <w:r>
        <w:rPr>
          <w:rFonts w:ascii="Arial" w:cs="Arial" w:eastAsia="Arial" w:hAnsi="Arial"/>
          <w:sz w:val="13"/>
          <w:szCs w:val="13"/>
          <w:color w:val="auto"/>
        </w:rPr>
        <w:t>No</w:t>
      </w:r>
      <w:r>
        <w:rPr>
          <w:rFonts w:ascii="Arial" w:cs="Arial" w:eastAsia="Arial" w:hAnsi="Arial"/>
          <w:sz w:val="14"/>
          <w:szCs w:val="14"/>
          <w:color w:val="auto"/>
        </w:rPr>
        <w:t xml:space="preserve"> </w:t>
      </w:r>
      <w:r>
        <w:rPr>
          <w:rFonts w:ascii="MS PGothic" w:cs="MS PGothic" w:eastAsia="MS PGothic" w:hAnsi="MS PGothic"/>
          <w:sz w:val="13"/>
          <w:szCs w:val="13"/>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740" w:type="dxa"/>
            <w:vAlign w:val="bottom"/>
          </w:tcPr>
          <w:p>
            <w:pPr>
              <w:spacing w:after="0"/>
              <w:rPr>
                <w:sz w:val="20"/>
                <w:szCs w:val="20"/>
                <w:color w:val="auto"/>
              </w:rPr>
            </w:pPr>
            <w:r>
              <w:rPr>
                <w:rFonts w:ascii="Arial" w:cs="Arial" w:eastAsia="Arial" w:hAnsi="Arial"/>
                <w:sz w:val="13"/>
                <w:szCs w:val="13"/>
                <w:color w:val="auto"/>
              </w:rPr>
              <w:t>accelerated</w:t>
            </w:r>
          </w:p>
        </w:tc>
        <w:tc>
          <w:tcPr>
            <w:tcW w:w="600" w:type="dxa"/>
            <w:vAlign w:val="bottom"/>
          </w:tcPr>
          <w:p>
            <w:pPr>
              <w:ind w:left="140"/>
              <w:spacing w:after="0"/>
              <w:rPr>
                <w:sz w:val="20"/>
                <w:szCs w:val="20"/>
                <w:color w:val="auto"/>
              </w:rPr>
            </w:pPr>
            <w:r>
              <w:rPr>
                <w:rFonts w:ascii="Arial" w:cs="Arial" w:eastAsia="Arial" w:hAnsi="Arial"/>
                <w:sz w:val="13"/>
                <w:szCs w:val="13"/>
                <w:color w:val="auto"/>
              </w:rPr>
              <w:t>filer,”</w:t>
            </w:r>
          </w:p>
        </w:tc>
        <w:tc>
          <w:tcPr>
            <w:tcW w:w="900" w:type="dxa"/>
            <w:vAlign w:val="bottom"/>
          </w:tcPr>
          <w:p>
            <w:pPr>
              <w:ind w:left="100"/>
              <w:spacing w:after="0"/>
              <w:rPr>
                <w:sz w:val="20"/>
                <w:szCs w:val="20"/>
                <w:color w:val="auto"/>
              </w:rPr>
            </w:pPr>
            <w:r>
              <w:rPr>
                <w:rFonts w:ascii="Arial" w:cs="Arial" w:eastAsia="Arial" w:hAnsi="Arial"/>
                <w:sz w:val="13"/>
                <w:szCs w:val="13"/>
                <w:color w:val="auto"/>
              </w:rPr>
              <w:t>“accelerated</w:t>
            </w:r>
          </w:p>
        </w:tc>
        <w:tc>
          <w:tcPr>
            <w:tcW w:w="560" w:type="dxa"/>
            <w:vAlign w:val="bottom"/>
          </w:tcPr>
          <w:p>
            <w:pPr>
              <w:ind w:left="140"/>
              <w:spacing w:after="0"/>
              <w:rPr>
                <w:sz w:val="20"/>
                <w:szCs w:val="20"/>
                <w:color w:val="auto"/>
              </w:rPr>
            </w:pPr>
            <w:r>
              <w:rPr>
                <w:rFonts w:ascii="Arial" w:cs="Arial" w:eastAsia="Arial" w:hAnsi="Arial"/>
                <w:sz w:val="13"/>
                <w:szCs w:val="13"/>
                <w:color w:val="auto"/>
              </w:rPr>
              <w:t>filer,”</w:t>
            </w:r>
          </w:p>
        </w:tc>
        <w:tc>
          <w:tcPr>
            <w:tcW w:w="740" w:type="dxa"/>
            <w:vAlign w:val="bottom"/>
          </w:tcPr>
          <w:p>
            <w:pPr>
              <w:ind w:left="140"/>
              <w:spacing w:after="0"/>
              <w:rPr>
                <w:sz w:val="20"/>
                <w:szCs w:val="20"/>
                <w:color w:val="auto"/>
              </w:rPr>
            </w:pPr>
            <w:r>
              <w:rPr>
                <w:rFonts w:ascii="Arial" w:cs="Arial" w:eastAsia="Arial" w:hAnsi="Arial"/>
                <w:sz w:val="13"/>
                <w:szCs w:val="13"/>
                <w:color w:val="auto"/>
              </w:rPr>
              <w:t>“smaller</w:t>
            </w:r>
          </w:p>
        </w:tc>
        <w:tc>
          <w:tcPr>
            <w:tcW w:w="740" w:type="dxa"/>
            <w:vAlign w:val="bottom"/>
          </w:tcPr>
          <w:p>
            <w:pPr>
              <w:ind w:left="120"/>
              <w:spacing w:after="0"/>
              <w:rPr>
                <w:sz w:val="20"/>
                <w:szCs w:val="20"/>
                <w:color w:val="auto"/>
              </w:rPr>
            </w:pPr>
            <w:r>
              <w:rPr>
                <w:rFonts w:ascii="Arial" w:cs="Arial" w:eastAsia="Arial" w:hAnsi="Arial"/>
                <w:sz w:val="13"/>
                <w:szCs w:val="13"/>
                <w:color w:val="auto"/>
              </w:rPr>
              <w:t>reporting</w:t>
            </w:r>
          </w:p>
        </w:tc>
        <w:tc>
          <w:tcPr>
            <w:tcW w:w="840" w:type="dxa"/>
            <w:vAlign w:val="bottom"/>
          </w:tcPr>
          <w:p>
            <w:pPr>
              <w:ind w:left="140"/>
              <w:spacing w:after="0"/>
              <w:rPr>
                <w:sz w:val="20"/>
                <w:szCs w:val="20"/>
                <w:color w:val="auto"/>
              </w:rPr>
            </w:pPr>
            <w:r>
              <w:rPr>
                <w:rFonts w:ascii="Arial" w:cs="Arial" w:eastAsia="Arial" w:hAnsi="Arial"/>
                <w:sz w:val="13"/>
                <w:szCs w:val="13"/>
                <w:color w:val="auto"/>
              </w:rPr>
              <w:t>company,”</w:t>
            </w:r>
          </w:p>
        </w:tc>
        <w:tc>
          <w:tcPr>
            <w:tcW w:w="460" w:type="dxa"/>
            <w:vAlign w:val="bottom"/>
          </w:tcPr>
          <w:p>
            <w:pPr>
              <w:ind w:left="140"/>
              <w:spacing w:after="0"/>
              <w:rPr>
                <w:sz w:val="20"/>
                <w:szCs w:val="20"/>
                <w:color w:val="auto"/>
              </w:rPr>
            </w:pPr>
            <w:r>
              <w:rPr>
                <w:rFonts w:ascii="Arial" w:cs="Arial" w:eastAsia="Arial" w:hAnsi="Arial"/>
                <w:sz w:val="13"/>
                <w:szCs w:val="13"/>
                <w:color w:val="auto"/>
              </w:rPr>
              <w:t>and</w:t>
            </w:r>
          </w:p>
        </w:tc>
        <w:tc>
          <w:tcPr>
            <w:tcW w:w="820" w:type="dxa"/>
            <w:vAlign w:val="bottom"/>
          </w:tcPr>
          <w:p>
            <w:pPr>
              <w:ind w:left="140"/>
              <w:spacing w:after="0"/>
              <w:rPr>
                <w:sz w:val="20"/>
                <w:szCs w:val="20"/>
                <w:color w:val="auto"/>
              </w:rPr>
            </w:pPr>
            <w:r>
              <w:rPr>
                <w:rFonts w:ascii="Arial" w:cs="Arial" w:eastAsia="Arial" w:hAnsi="Arial"/>
                <w:sz w:val="13"/>
                <w:szCs w:val="13"/>
                <w:color w:val="auto"/>
              </w:rPr>
              <w:t>“emerging</w:t>
            </w:r>
          </w:p>
        </w:tc>
        <w:tc>
          <w:tcPr>
            <w:tcW w:w="660" w:type="dxa"/>
            <w:vAlign w:val="bottom"/>
          </w:tcPr>
          <w:p>
            <w:pPr>
              <w:ind w:left="140"/>
              <w:spacing w:after="0"/>
              <w:rPr>
                <w:sz w:val="20"/>
                <w:szCs w:val="20"/>
                <w:color w:val="auto"/>
              </w:rPr>
            </w:pPr>
            <w:r>
              <w:rPr>
                <w:rFonts w:ascii="Arial" w:cs="Arial" w:eastAsia="Arial" w:hAnsi="Arial"/>
                <w:sz w:val="13"/>
                <w:szCs w:val="13"/>
                <w:color w:val="auto"/>
              </w:rPr>
              <w:t>growth</w:t>
            </w:r>
          </w:p>
        </w:tc>
        <w:tc>
          <w:tcPr>
            <w:tcW w:w="800" w:type="dxa"/>
            <w:vAlign w:val="bottom"/>
          </w:tcPr>
          <w:p>
            <w:pPr>
              <w:ind w:left="120"/>
              <w:spacing w:after="0"/>
              <w:rPr>
                <w:sz w:val="20"/>
                <w:szCs w:val="20"/>
                <w:color w:val="auto"/>
              </w:rPr>
            </w:pPr>
            <w:r>
              <w:rPr>
                <w:rFonts w:ascii="Arial" w:cs="Arial" w:eastAsia="Arial" w:hAnsi="Arial"/>
                <w:sz w:val="13"/>
                <w:szCs w:val="13"/>
                <w:color w:val="auto"/>
              </w:rPr>
              <w:t>company”</w:t>
            </w:r>
          </w:p>
        </w:tc>
        <w:tc>
          <w:tcPr>
            <w:tcW w:w="380" w:type="dxa"/>
            <w:vAlign w:val="bottom"/>
          </w:tcPr>
          <w:p>
            <w:pPr>
              <w:ind w:left="140"/>
              <w:spacing w:after="0"/>
              <w:rPr>
                <w:sz w:val="20"/>
                <w:szCs w:val="20"/>
                <w:color w:val="auto"/>
              </w:rPr>
            </w:pPr>
            <w:r>
              <w:rPr>
                <w:rFonts w:ascii="Arial" w:cs="Arial" w:eastAsia="Arial" w:hAnsi="Arial"/>
                <w:sz w:val="13"/>
                <w:szCs w:val="13"/>
                <w:color w:val="auto"/>
              </w:rPr>
              <w:t>in</w:t>
            </w:r>
          </w:p>
        </w:tc>
        <w:tc>
          <w:tcPr>
            <w:tcW w:w="500" w:type="dxa"/>
            <w:vAlign w:val="bottom"/>
          </w:tcPr>
          <w:p>
            <w:pPr>
              <w:ind w:left="120"/>
              <w:spacing w:after="0"/>
              <w:rPr>
                <w:sz w:val="20"/>
                <w:szCs w:val="20"/>
                <w:color w:val="auto"/>
              </w:rPr>
            </w:pPr>
            <w:r>
              <w:rPr>
                <w:rFonts w:ascii="Arial" w:cs="Arial" w:eastAsia="Arial" w:hAnsi="Arial"/>
                <w:sz w:val="13"/>
                <w:szCs w:val="13"/>
                <w:color w:val="auto"/>
              </w:rPr>
              <w:t>Rule</w:t>
            </w:r>
          </w:p>
        </w:tc>
        <w:tc>
          <w:tcPr>
            <w:tcW w:w="580" w:type="dxa"/>
            <w:vAlign w:val="bottom"/>
          </w:tcPr>
          <w:p>
            <w:pPr>
              <w:ind w:left="140"/>
              <w:spacing w:after="0"/>
              <w:rPr>
                <w:sz w:val="20"/>
                <w:szCs w:val="20"/>
                <w:color w:val="auto"/>
              </w:rPr>
            </w:pPr>
            <w:r>
              <w:rPr>
                <w:rFonts w:ascii="Arial" w:cs="Arial" w:eastAsia="Arial" w:hAnsi="Arial"/>
                <w:sz w:val="13"/>
                <w:szCs w:val="13"/>
                <w:color w:val="auto"/>
              </w:rPr>
              <w:t>12b-2</w:t>
            </w:r>
          </w:p>
        </w:tc>
        <w:tc>
          <w:tcPr>
            <w:tcW w:w="380" w:type="dxa"/>
            <w:vAlign w:val="bottom"/>
          </w:tcPr>
          <w:p>
            <w:pPr>
              <w:ind w:left="140"/>
              <w:spacing w:after="0"/>
              <w:rPr>
                <w:sz w:val="20"/>
                <w:szCs w:val="20"/>
                <w:color w:val="auto"/>
              </w:rPr>
            </w:pPr>
            <w:r>
              <w:rPr>
                <w:rFonts w:ascii="Arial" w:cs="Arial" w:eastAsia="Arial" w:hAnsi="Arial"/>
                <w:sz w:val="13"/>
                <w:szCs w:val="13"/>
                <w:color w:val="auto"/>
              </w:rPr>
              <w:t>of</w:t>
            </w:r>
          </w:p>
        </w:tc>
        <w:tc>
          <w:tcPr>
            <w:tcW w:w="420" w:type="dxa"/>
            <w:vAlign w:val="bottom"/>
          </w:tcPr>
          <w:p>
            <w:pPr>
              <w:ind w:left="140"/>
              <w:spacing w:after="0"/>
              <w:rPr>
                <w:sz w:val="20"/>
                <w:szCs w:val="20"/>
                <w:color w:val="auto"/>
              </w:rPr>
            </w:pPr>
            <w:r>
              <w:rPr>
                <w:rFonts w:ascii="Arial" w:cs="Arial" w:eastAsia="Arial" w:hAnsi="Arial"/>
                <w:sz w:val="13"/>
                <w:szCs w:val="13"/>
                <w:color w:val="auto"/>
              </w:rPr>
              <w:t>the</w:t>
            </w:r>
          </w:p>
        </w:tc>
        <w:tc>
          <w:tcPr>
            <w:tcW w:w="760" w:type="dxa"/>
            <w:vAlign w:val="bottom"/>
          </w:tcPr>
          <w:p>
            <w:pPr>
              <w:ind w:left="140"/>
              <w:spacing w:after="0"/>
              <w:rPr>
                <w:sz w:val="20"/>
                <w:szCs w:val="20"/>
                <w:color w:val="auto"/>
              </w:rPr>
            </w:pPr>
            <w:r>
              <w:rPr>
                <w:rFonts w:ascii="Arial" w:cs="Arial" w:eastAsia="Arial" w:hAnsi="Arial"/>
                <w:sz w:val="13"/>
                <w:szCs w:val="13"/>
                <w:color w:val="auto"/>
              </w:rPr>
              <w:t>Exchange</w:t>
            </w:r>
          </w:p>
        </w:tc>
        <w:tc>
          <w:tcPr>
            <w:tcW w:w="400" w:type="dxa"/>
            <w:vAlign w:val="bottom"/>
          </w:tcPr>
          <w:p>
            <w:pPr>
              <w:ind w:left="180"/>
              <w:spacing w:after="0"/>
              <w:rPr>
                <w:sz w:val="20"/>
                <w:szCs w:val="20"/>
                <w:color w:val="auto"/>
              </w:rPr>
            </w:pPr>
            <w:r>
              <w:rPr>
                <w:rFonts w:ascii="Arial" w:cs="Arial" w:eastAsia="Arial" w:hAnsi="Arial"/>
                <w:sz w:val="13"/>
                <w:szCs w:val="13"/>
                <w:color w:val="auto"/>
                <w:w w:val="89"/>
              </w:rPr>
              <w:t>Act.</w:t>
            </w:r>
          </w:p>
        </w:tc>
      </w:tr>
      <w:tr>
        <w:trPr>
          <w:trHeight w:val="170"/>
        </w:trPr>
        <w:tc>
          <w:tcPr>
            <w:tcW w:w="1340" w:type="dxa"/>
            <w:vAlign w:val="bottom"/>
            <w:gridSpan w:val="2"/>
          </w:tcPr>
          <w:p>
            <w:pPr>
              <w:ind w:left="20"/>
              <w:spacing w:after="0"/>
              <w:rPr>
                <w:sz w:val="20"/>
                <w:szCs w:val="20"/>
                <w:color w:val="auto"/>
              </w:rPr>
            </w:pPr>
            <w:r>
              <w:rPr>
                <w:rFonts w:ascii="Arial" w:cs="Arial" w:eastAsia="Arial" w:hAnsi="Arial"/>
                <w:sz w:val="13"/>
                <w:szCs w:val="13"/>
                <w:color w:val="auto"/>
              </w:rPr>
              <w:t>Large accelerated filer</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Accelerated filer</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r>
      <w:tr>
        <w:trPr>
          <w:trHeight w:val="170"/>
        </w:trPr>
        <w:tc>
          <w:tcPr>
            <w:tcW w:w="1340" w:type="dxa"/>
            <w:vAlign w:val="bottom"/>
            <w:gridSpan w:val="2"/>
          </w:tcPr>
          <w:p>
            <w:pPr>
              <w:ind w:left="20"/>
              <w:spacing w:after="0"/>
              <w:rPr>
                <w:sz w:val="20"/>
                <w:szCs w:val="20"/>
                <w:color w:val="auto"/>
              </w:rPr>
            </w:pPr>
            <w:r>
              <w:rPr>
                <w:rFonts w:ascii="Arial" w:cs="Arial" w:eastAsia="Arial" w:hAnsi="Arial"/>
                <w:sz w:val="13"/>
                <w:szCs w:val="13"/>
                <w:color w:val="auto"/>
              </w:rPr>
              <w:t>Non-accelerated filer</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gridSpan w:val="4"/>
          </w:tcPr>
          <w:p>
            <w:pPr>
              <w:ind w:left="200"/>
              <w:spacing w:after="0"/>
              <w:rPr>
                <w:sz w:val="20"/>
                <w:szCs w:val="20"/>
                <w:color w:val="auto"/>
              </w:rPr>
            </w:pPr>
            <w:r>
              <w:rPr>
                <w:rFonts w:ascii="Arial" w:cs="Arial" w:eastAsia="Arial" w:hAnsi="Arial"/>
                <w:sz w:val="13"/>
                <w:szCs w:val="13"/>
                <w:color w:val="auto"/>
              </w:rPr>
              <w:t>Smaller reporting company</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r>
      <w:tr>
        <w:trPr>
          <w:trHeight w:val="211"/>
        </w:trPr>
        <w:tc>
          <w:tcPr>
            <w:tcW w:w="2240" w:type="dxa"/>
            <w:vAlign w:val="bottom"/>
            <w:gridSpan w:val="3"/>
          </w:tcPr>
          <w:p>
            <w:pPr>
              <w:ind w:left="2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spacing w:after="0"/>
              <w:rPr>
                <w:sz w:val="18"/>
                <w:szCs w:val="18"/>
                <w:color w:val="auto"/>
              </w:rPr>
            </w:pPr>
          </w:p>
        </w:tc>
        <w:tc>
          <w:tcPr>
            <w:tcW w:w="7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pacing w:after="0" w:line="133"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7" w:lineRule="exact"/>
        <w:rPr>
          <w:sz w:val="24"/>
          <w:szCs w:val="24"/>
          <w:color w:val="auto"/>
        </w:rPr>
      </w:pPr>
    </w:p>
    <w:p>
      <w:pPr>
        <w:spacing w:after="0" w:line="150" w:lineRule="exact"/>
        <w:tabs>
          <w:tab w:leader="none" w:pos="66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 14,809,628 shares of common stock as of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461010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CUMBERLAND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gridSpan w:val="10"/>
          </w:tcPr>
          <w:p>
            <w:pPr>
              <w:spacing w:after="0"/>
              <w:rPr>
                <w:rFonts w:ascii="Arial" w:cs="Arial" w:eastAsia="Arial" w:hAnsi="Arial"/>
                <w:sz w:val="14"/>
                <w:szCs w:val="14"/>
                <w:color w:val="0000FF"/>
                <w:w w:val="98"/>
              </w:rPr>
            </w:pPr>
            <w:hyperlink w:anchor="page2">
              <w:r>
                <w:rPr>
                  <w:rFonts w:ascii="Arial" w:cs="Arial" w:eastAsia="Arial" w:hAnsi="Arial"/>
                  <w:sz w:val="14"/>
                  <w:szCs w:val="14"/>
                  <w:color w:val="0000FF"/>
                  <w:w w:val="98"/>
                </w:rPr>
                <w:t>PART I – FINANCIAL INFORMATION</w:t>
              </w:r>
            </w:hyperlink>
          </w:p>
        </w:tc>
        <w:tc>
          <w:tcPr>
            <w:tcW w:w="8720" w:type="dxa"/>
            <w:vAlign w:val="bottom"/>
            <w:gridSpan w:val="9"/>
          </w:tcPr>
          <w:p>
            <w:pPr>
              <w:spacing w:after="0"/>
              <w:rPr>
                <w:sz w:val="14"/>
                <w:szCs w:val="14"/>
                <w:color w:val="auto"/>
              </w:rPr>
            </w:pPr>
          </w:p>
        </w:tc>
        <w:tc>
          <w:tcPr>
            <w:tcW w:w="200" w:type="dxa"/>
            <w:vAlign w:val="bottom"/>
            <w:gridSpan w:val="2"/>
          </w:tcPr>
          <w:p>
            <w:pPr>
              <w:jc w:val="right"/>
              <w:ind w:right="60"/>
              <w:spacing w:after="0"/>
              <w:rPr>
                <w:rFonts w:ascii="Arial" w:cs="Arial" w:eastAsia="Arial" w:hAnsi="Arial"/>
                <w:sz w:val="14"/>
                <w:szCs w:val="14"/>
                <w:color w:val="0000FF"/>
              </w:rPr>
            </w:pPr>
            <w:hyperlink w:anchor="page2">
              <w:r>
                <w:rPr>
                  <w:rFonts w:ascii="Arial" w:cs="Arial" w:eastAsia="Arial" w:hAnsi="Arial"/>
                  <w:sz w:val="14"/>
                  <w:szCs w:val="14"/>
                  <w:color w:val="0000FF"/>
                </w:rPr>
                <w:t>1</w:t>
              </w:r>
            </w:hyperlink>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10"/>
          </w:tcPr>
          <w:p>
            <w:pPr>
              <w:spacing w:after="0"/>
              <w:rPr>
                <w:rFonts w:ascii="Arial" w:cs="Arial" w:eastAsia="Arial" w:hAnsi="Arial"/>
                <w:sz w:val="14"/>
                <w:szCs w:val="14"/>
                <w:color w:val="0000FF"/>
                <w:w w:val="91"/>
              </w:rPr>
            </w:pPr>
            <w:hyperlink w:anchor="page3">
              <w:r>
                <w:rPr>
                  <w:rFonts w:ascii="Arial" w:cs="Arial" w:eastAsia="Arial" w:hAnsi="Arial"/>
                  <w:sz w:val="14"/>
                  <w:szCs w:val="14"/>
                  <w:color w:val="0000FF"/>
                  <w:w w:val="91"/>
                </w:rPr>
                <w:t>Item 1. Financial Statements (Unaudited)</w:t>
              </w:r>
            </w:hyperlink>
          </w:p>
        </w:tc>
        <w:tc>
          <w:tcPr>
            <w:tcW w:w="8460" w:type="dxa"/>
            <w:vAlign w:val="bottom"/>
            <w:gridSpan w:val="8"/>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rPr>
            </w:pPr>
            <w:hyperlink w:anchor="page3">
              <w:r>
                <w:rPr>
                  <w:rFonts w:ascii="Arial" w:cs="Arial" w:eastAsia="Arial" w:hAnsi="Arial"/>
                  <w:sz w:val="14"/>
                  <w:szCs w:val="14"/>
                  <w:color w:val="0000FF"/>
                </w:rPr>
                <w:t>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720" w:type="dxa"/>
            <w:vAlign w:val="bottom"/>
            <w:gridSpan w:val="17"/>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Condensed Consolidated Balance Sheets</w:t>
              </w:r>
            </w:hyperlink>
          </w:p>
        </w:tc>
        <w:tc>
          <w:tcPr>
            <w:tcW w:w="200" w:type="dxa"/>
            <w:vAlign w:val="bottom"/>
            <w:gridSpan w:val="2"/>
          </w:tcPr>
          <w:p>
            <w:pPr>
              <w:jc w:val="right"/>
              <w:ind w:right="60"/>
              <w:spacing w:after="0"/>
              <w:rPr>
                <w:rFonts w:ascii="Arial" w:cs="Arial" w:eastAsia="Arial" w:hAnsi="Arial"/>
                <w:sz w:val="14"/>
                <w:szCs w:val="14"/>
                <w:color w:val="0000FF"/>
              </w:rPr>
            </w:pPr>
            <w:hyperlink w:anchor="page3">
              <w:r>
                <w:rPr>
                  <w:rFonts w:ascii="Arial" w:cs="Arial" w:eastAsia="Arial" w:hAnsi="Arial"/>
                  <w:sz w:val="14"/>
                  <w:szCs w:val="14"/>
                  <w:color w:val="0000FF"/>
                </w:rPr>
                <w:t>1</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12"/>
          </w:tcPr>
          <w:p>
            <w:pPr>
              <w:spacing w:after="0"/>
              <w:rPr>
                <w:rFonts w:ascii="Arial" w:cs="Arial" w:eastAsia="Arial" w:hAnsi="Arial"/>
                <w:sz w:val="14"/>
                <w:szCs w:val="14"/>
                <w:color w:val="0000FF"/>
                <w:w w:val="89"/>
              </w:rPr>
            </w:pPr>
            <w:hyperlink w:anchor="page3">
              <w:r>
                <w:rPr>
                  <w:rFonts w:ascii="Arial" w:cs="Arial" w:eastAsia="Arial" w:hAnsi="Arial"/>
                  <w:sz w:val="14"/>
                  <w:szCs w:val="14"/>
                  <w:color w:val="0000FF"/>
                  <w:w w:val="89"/>
                </w:rPr>
                <w:t>Condensed Consolidated Statements of Operations</w:t>
              </w:r>
            </w:hyperlink>
          </w:p>
        </w:tc>
        <w:tc>
          <w:tcPr>
            <w:tcW w:w="7840" w:type="dxa"/>
            <w:vAlign w:val="bottom"/>
            <w:gridSpan w:val="5"/>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rPr>
            </w:pPr>
            <w:hyperlink w:anchor="page3">
              <w:r>
                <w:rPr>
                  <w:rFonts w:ascii="Arial" w:cs="Arial" w:eastAsia="Arial" w:hAnsi="Arial"/>
                  <w:sz w:val="14"/>
                  <w:szCs w:val="14"/>
                  <w:color w:val="0000FF"/>
                </w:rPr>
                <w:t>2</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13"/>
          </w:tcPr>
          <w:p>
            <w:pPr>
              <w:spacing w:after="0"/>
              <w:rPr>
                <w:rFonts w:ascii="Arial" w:cs="Arial" w:eastAsia="Arial" w:hAnsi="Arial"/>
                <w:sz w:val="14"/>
                <w:szCs w:val="14"/>
                <w:color w:val="0000FF"/>
                <w:w w:val="89"/>
              </w:rPr>
            </w:pPr>
            <w:hyperlink w:anchor="page4">
              <w:r>
                <w:rPr>
                  <w:rFonts w:ascii="Arial" w:cs="Arial" w:eastAsia="Arial" w:hAnsi="Arial"/>
                  <w:sz w:val="14"/>
                  <w:szCs w:val="14"/>
                  <w:color w:val="0000FF"/>
                  <w:w w:val="89"/>
                </w:rPr>
                <w:t>Condensed Consolidated Statements of Cash Flows</w:t>
              </w:r>
            </w:hyperlink>
          </w:p>
        </w:tc>
        <w:tc>
          <w:tcPr>
            <w:tcW w:w="7800" w:type="dxa"/>
            <w:vAlign w:val="bottom"/>
            <w:gridSpan w:val="4"/>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rPr>
            </w:pPr>
            <w:hyperlink w:anchor="page4">
              <w:r>
                <w:rPr>
                  <w:rFonts w:ascii="Arial" w:cs="Arial" w:eastAsia="Arial" w:hAnsi="Arial"/>
                  <w:sz w:val="14"/>
                  <w:szCs w:val="14"/>
                  <w:color w:val="0000FF"/>
                </w:rPr>
                <w:t>3</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11"/>
          </w:tcPr>
          <w:p>
            <w:pPr>
              <w:spacing w:after="0"/>
              <w:rPr>
                <w:rFonts w:ascii="Arial" w:cs="Arial" w:eastAsia="Arial" w:hAnsi="Arial"/>
                <w:sz w:val="14"/>
                <w:szCs w:val="14"/>
                <w:color w:val="0000FF"/>
                <w:w w:val="90"/>
              </w:rPr>
            </w:pPr>
            <w:hyperlink w:anchor="page5">
              <w:r>
                <w:rPr>
                  <w:rFonts w:ascii="Arial" w:cs="Arial" w:eastAsia="Arial" w:hAnsi="Arial"/>
                  <w:sz w:val="14"/>
                  <w:szCs w:val="14"/>
                  <w:color w:val="0000FF"/>
                  <w:w w:val="90"/>
                </w:rPr>
                <w:t>Condensed Consolidated Statements of Equity</w:t>
              </w:r>
            </w:hyperlink>
          </w:p>
        </w:tc>
        <w:tc>
          <w:tcPr>
            <w:tcW w:w="280" w:type="dxa"/>
            <w:vAlign w:val="bottom"/>
            <w:gridSpan w:val="2"/>
          </w:tcPr>
          <w:p>
            <w:pPr>
              <w:spacing w:after="0"/>
              <w:rPr>
                <w:sz w:val="24"/>
                <w:szCs w:val="24"/>
                <w:color w:val="auto"/>
              </w:rPr>
            </w:pPr>
          </w:p>
        </w:tc>
        <w:tc>
          <w:tcPr>
            <w:tcW w:w="7800" w:type="dxa"/>
            <w:vAlign w:val="bottom"/>
            <w:gridSpan w:val="4"/>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720" w:type="dxa"/>
            <w:vAlign w:val="bottom"/>
            <w:gridSpan w:val="17"/>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Notes to the Unaudited Condensed Consolidated Financial Statements</w:t>
              </w:r>
            </w:hyperlink>
          </w:p>
        </w:tc>
        <w:tc>
          <w:tcPr>
            <w:tcW w:w="200" w:type="dxa"/>
            <w:vAlign w:val="bottom"/>
            <w:gridSpan w:val="2"/>
          </w:tcPr>
          <w:p>
            <w:pPr>
              <w:jc w:val="right"/>
              <w:ind w:right="60"/>
              <w:spacing w:after="0"/>
              <w:rPr>
                <w:rFonts w:ascii="Arial" w:cs="Arial" w:eastAsia="Arial" w:hAnsi="Arial"/>
                <w:sz w:val="14"/>
                <w:szCs w:val="14"/>
                <w:color w:val="0000FF"/>
              </w:rPr>
            </w:pPr>
            <w:hyperlink w:anchor="page6">
              <w:r>
                <w:rPr>
                  <w:rFonts w:ascii="Arial" w:cs="Arial" w:eastAsia="Arial" w:hAnsi="Arial"/>
                  <w:sz w:val="14"/>
                  <w:szCs w:val="14"/>
                  <w:color w:val="0000FF"/>
                </w:rPr>
                <w:t>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0" w:type="dxa"/>
            <w:vAlign w:val="bottom"/>
            <w:gridSpan w:val="18"/>
          </w:tcPr>
          <w:p>
            <w:pPr>
              <w:spacing w:after="0"/>
              <w:rPr>
                <w:rFonts w:ascii="Arial" w:cs="Arial" w:eastAsia="Arial" w:hAnsi="Arial"/>
                <w:sz w:val="14"/>
                <w:szCs w:val="14"/>
                <w:color w:val="0000FF"/>
              </w:rPr>
            </w:pPr>
            <w:hyperlink w:anchor="page16">
              <w:r>
                <w:rPr>
                  <w:rFonts w:ascii="Arial" w:cs="Arial" w:eastAsia="Arial" w:hAnsi="Arial"/>
                  <w:sz w:val="14"/>
                  <w:szCs w:val="14"/>
                  <w:color w:val="0000FF"/>
                </w:rPr>
                <w:t>Item 2. Management’s Discussion and Analysis of Financial Condition and Results of Operations</w:t>
              </w:r>
            </w:hyperlink>
          </w:p>
        </w:tc>
        <w:tc>
          <w:tcPr>
            <w:tcW w:w="200" w:type="dxa"/>
            <w:vAlign w:val="bottom"/>
            <w:gridSpan w:val="2"/>
          </w:tcPr>
          <w:p>
            <w:pPr>
              <w:jc w:val="right"/>
              <w:ind w:right="60"/>
              <w:spacing w:after="0"/>
              <w:rPr>
                <w:rFonts w:ascii="Arial" w:cs="Arial" w:eastAsia="Arial" w:hAnsi="Arial"/>
                <w:sz w:val="14"/>
                <w:szCs w:val="14"/>
                <w:color w:val="0000FF"/>
                <w:w w:val="76"/>
              </w:rPr>
            </w:pPr>
            <w:hyperlink w:anchor="page16">
              <w:r>
                <w:rPr>
                  <w:rFonts w:ascii="Arial" w:cs="Arial" w:eastAsia="Arial" w:hAnsi="Arial"/>
                  <w:sz w:val="14"/>
                  <w:szCs w:val="14"/>
                  <w:color w:val="0000FF"/>
                  <w:w w:val="76"/>
                </w:rPr>
                <w:t>15</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gridSpan w:val="15"/>
          </w:tcPr>
          <w:p>
            <w:pPr>
              <w:spacing w:after="0"/>
              <w:rPr>
                <w:rFonts w:ascii="Arial" w:cs="Arial" w:eastAsia="Arial" w:hAnsi="Arial"/>
                <w:sz w:val="14"/>
                <w:szCs w:val="14"/>
                <w:color w:val="0000FF"/>
                <w:w w:val="91"/>
              </w:rPr>
            </w:pPr>
            <w:hyperlink w:anchor="page30">
              <w:r>
                <w:rPr>
                  <w:rFonts w:ascii="Arial" w:cs="Arial" w:eastAsia="Arial" w:hAnsi="Arial"/>
                  <w:sz w:val="14"/>
                  <w:szCs w:val="14"/>
                  <w:color w:val="0000FF"/>
                  <w:w w:val="91"/>
                </w:rPr>
                <w:t>Item 3. Quantitative and Qualitative Disclosures About Market Risk</w:t>
              </w:r>
            </w:hyperlink>
          </w:p>
        </w:tc>
        <w:tc>
          <w:tcPr>
            <w:tcW w:w="1660" w:type="dxa"/>
            <w:vAlign w:val="bottom"/>
            <w:gridSpan w:val="2"/>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28</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6960" w:type="dxa"/>
            <w:vAlign w:val="bottom"/>
            <w:tcBorders>
              <w:left w:val="single" w:sz="8" w:color="0000FF"/>
            </w:tcBorders>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4"/>
                <w:szCs w:val="14"/>
                <w:color w:val="0000FF"/>
                <w:w w:val="93"/>
              </w:rPr>
            </w:pPr>
            <w:hyperlink w:anchor="page30">
              <w:r>
                <w:rPr>
                  <w:rFonts w:ascii="Arial" w:cs="Arial" w:eastAsia="Arial" w:hAnsi="Arial"/>
                  <w:sz w:val="14"/>
                  <w:szCs w:val="14"/>
                  <w:color w:val="0000FF"/>
                  <w:w w:val="93"/>
                </w:rPr>
                <w:t>Item 4.</w:t>
              </w:r>
            </w:hyperlink>
          </w:p>
        </w:tc>
        <w:tc>
          <w:tcPr>
            <w:tcW w:w="1400" w:type="dxa"/>
            <w:vAlign w:val="bottom"/>
            <w:gridSpan w:val="5"/>
          </w:tcPr>
          <w:p>
            <w:pPr>
              <w:spacing w:after="0"/>
              <w:rPr>
                <w:rFonts w:ascii="Arial" w:cs="Arial" w:eastAsia="Arial" w:hAnsi="Arial"/>
                <w:sz w:val="14"/>
                <w:szCs w:val="14"/>
                <w:color w:val="0000FF"/>
                <w:w w:val="89"/>
              </w:rPr>
            </w:pPr>
            <w:hyperlink w:anchor="page30">
              <w:r>
                <w:rPr>
                  <w:rFonts w:ascii="Arial" w:cs="Arial" w:eastAsia="Arial" w:hAnsi="Arial"/>
                  <w:sz w:val="14"/>
                  <w:szCs w:val="14"/>
                  <w:color w:val="0000FF"/>
                  <w:w w:val="89"/>
                </w:rPr>
                <w:t>Controls and Procedures</w:t>
              </w:r>
            </w:hyperlink>
          </w:p>
        </w:tc>
        <w:tc>
          <w:tcPr>
            <w:tcW w:w="2020" w:type="dxa"/>
            <w:vAlign w:val="bottom"/>
            <w:gridSpan w:val="8"/>
          </w:tcPr>
          <w:p>
            <w:pPr>
              <w:spacing w:after="0"/>
              <w:rPr>
                <w:sz w:val="24"/>
                <w:szCs w:val="24"/>
                <w:color w:val="auto"/>
              </w:rPr>
            </w:pPr>
          </w:p>
        </w:tc>
        <w:tc>
          <w:tcPr>
            <w:tcW w:w="6960" w:type="dxa"/>
            <w:vAlign w:val="bottom"/>
            <w:gridSpan w:val="3"/>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28</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100" w:type="dxa"/>
            <w:vAlign w:val="bottom"/>
            <w:gridSpan w:val="9"/>
          </w:tcPr>
          <w:p>
            <w:pPr>
              <w:spacing w:after="0"/>
              <w:rPr>
                <w:rFonts w:ascii="Arial" w:cs="Arial" w:eastAsia="Arial" w:hAnsi="Arial"/>
                <w:sz w:val="14"/>
                <w:szCs w:val="14"/>
                <w:color w:val="0000FF"/>
                <w:w w:val="96"/>
              </w:rPr>
            </w:pPr>
            <w:hyperlink w:anchor="page30">
              <w:r>
                <w:rPr>
                  <w:rFonts w:ascii="Arial" w:cs="Arial" w:eastAsia="Arial" w:hAnsi="Arial"/>
                  <w:sz w:val="14"/>
                  <w:szCs w:val="14"/>
                  <w:color w:val="0000FF"/>
                  <w:w w:val="96"/>
                </w:rPr>
                <w:t>PART II – OTHER INFORMATION</w:t>
              </w:r>
            </w:hyperlink>
          </w:p>
        </w:tc>
        <w:tc>
          <w:tcPr>
            <w:tcW w:w="8960" w:type="dxa"/>
            <w:vAlign w:val="bottom"/>
            <w:gridSpan w:val="10"/>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29</w:t>
              </w:r>
            </w:hyperlink>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Item 1.</w:t>
              </w:r>
            </w:hyperlink>
          </w:p>
        </w:tc>
        <w:tc>
          <w:tcPr>
            <w:tcW w:w="1060" w:type="dxa"/>
            <w:vAlign w:val="bottom"/>
            <w:gridSpan w:val="4"/>
          </w:tcPr>
          <w:p>
            <w:pPr>
              <w:spacing w:after="0"/>
              <w:rPr>
                <w:rFonts w:ascii="Arial" w:cs="Arial" w:eastAsia="Arial" w:hAnsi="Arial"/>
                <w:sz w:val="14"/>
                <w:szCs w:val="14"/>
                <w:color w:val="0000FF"/>
                <w:w w:val="89"/>
              </w:rPr>
            </w:pPr>
            <w:hyperlink w:anchor="page31">
              <w:r>
                <w:rPr>
                  <w:rFonts w:ascii="Arial" w:cs="Arial" w:eastAsia="Arial" w:hAnsi="Arial"/>
                  <w:sz w:val="14"/>
                  <w:szCs w:val="14"/>
                  <w:color w:val="0000FF"/>
                  <w:w w:val="89"/>
                </w:rPr>
                <w:t>Legal Proceedings</w:t>
              </w:r>
            </w:hyperlink>
          </w:p>
        </w:tc>
        <w:tc>
          <w:tcPr>
            <w:tcW w:w="360" w:type="dxa"/>
            <w:vAlign w:val="bottom"/>
            <w:gridSpan w:val="2"/>
          </w:tcPr>
          <w:p>
            <w:pPr>
              <w:spacing w:after="0"/>
              <w:rPr>
                <w:sz w:val="24"/>
                <w:szCs w:val="24"/>
                <w:color w:val="auto"/>
              </w:rPr>
            </w:pPr>
          </w:p>
        </w:tc>
        <w:tc>
          <w:tcPr>
            <w:tcW w:w="8960" w:type="dxa"/>
            <w:vAlign w:val="bottom"/>
            <w:gridSpan w:val="10"/>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29</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Item 1A. Risk Factors</w:t>
              </w:r>
            </w:hyperlink>
          </w:p>
        </w:tc>
        <w:tc>
          <w:tcPr>
            <w:tcW w:w="9320" w:type="dxa"/>
            <w:vAlign w:val="bottom"/>
            <w:gridSpan w:val="12"/>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29</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0" w:type="dxa"/>
            <w:vAlign w:val="bottom"/>
            <w:gridSpan w:val="10"/>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Item 2.</w:t>
              </w:r>
            </w:hyperlink>
          </w:p>
        </w:tc>
        <w:tc>
          <w:tcPr>
            <w:tcW w:w="10380" w:type="dxa"/>
            <w:vAlign w:val="bottom"/>
            <w:gridSpan w:val="16"/>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Unregistered Sales of Equity Securities and Use of Proceeds</w:t>
              </w:r>
            </w:hyperlink>
          </w:p>
        </w:tc>
        <w:tc>
          <w:tcPr>
            <w:tcW w:w="200" w:type="dxa"/>
            <w:vAlign w:val="bottom"/>
            <w:gridSpan w:val="2"/>
          </w:tcPr>
          <w:p>
            <w:pPr>
              <w:jc w:val="right"/>
              <w:ind w:right="60"/>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29</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Item 6.</w:t>
              </w:r>
            </w:hyperlink>
          </w:p>
        </w:tc>
        <w:tc>
          <w:tcPr>
            <w:tcW w:w="3420" w:type="dxa"/>
            <w:vAlign w:val="bottom"/>
            <w:gridSpan w:val="13"/>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Exhibits</w:t>
              </w:r>
            </w:hyperlink>
          </w:p>
        </w:tc>
        <w:tc>
          <w:tcPr>
            <w:tcW w:w="6960" w:type="dxa"/>
            <w:vAlign w:val="bottom"/>
            <w:gridSpan w:val="3"/>
          </w:tcPr>
          <w:p>
            <w:pPr>
              <w:spacing w:after="0"/>
              <w:rPr>
                <w:sz w:val="24"/>
                <w:szCs w:val="24"/>
                <w:color w:val="auto"/>
              </w:rPr>
            </w:pPr>
          </w:p>
        </w:tc>
        <w:tc>
          <w:tcPr>
            <w:tcW w:w="200" w:type="dxa"/>
            <w:vAlign w:val="bottom"/>
            <w:gridSpan w:val="2"/>
          </w:tcPr>
          <w:p>
            <w:pPr>
              <w:jc w:val="right"/>
              <w:ind w:right="60"/>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30</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900" w:type="dxa"/>
            <w:vAlign w:val="bottom"/>
            <w:gridSpan w:val="1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11060" w:type="dxa"/>
            <w:vAlign w:val="bottom"/>
            <w:gridSpan w:val="19"/>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SIGNATURES</w:t>
              </w:r>
            </w:hyperlink>
          </w:p>
        </w:tc>
        <w:tc>
          <w:tcPr>
            <w:tcW w:w="200" w:type="dxa"/>
            <w:vAlign w:val="bottom"/>
            <w:gridSpan w:val="2"/>
          </w:tcPr>
          <w:p>
            <w:pPr>
              <w:jc w:val="right"/>
              <w:ind w:right="60"/>
              <w:spacing w:after="0"/>
              <w:rPr>
                <w:rFonts w:ascii="Arial" w:cs="Arial" w:eastAsia="Arial" w:hAnsi="Arial"/>
                <w:sz w:val="14"/>
                <w:szCs w:val="14"/>
                <w:color w:val="0000FF"/>
                <w:w w:val="76"/>
              </w:rPr>
            </w:pPr>
            <w:hyperlink w:anchor="page32">
              <w:r>
                <w:rPr>
                  <w:rFonts w:ascii="Arial" w:cs="Arial" w:eastAsia="Arial" w:hAnsi="Arial"/>
                  <w:sz w:val="14"/>
                  <w:szCs w:val="14"/>
                  <w:color w:val="0000FF"/>
                  <w:w w:val="76"/>
                </w:rPr>
                <w:t>31</w:t>
              </w:r>
            </w:hyperlink>
          </w:p>
        </w:tc>
      </w:tr>
      <w:tr>
        <w:trPr>
          <w:trHeight w:val="1000"/>
        </w:trPr>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4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60" w:type="dxa"/>
            <w:vAlign w:val="bottom"/>
            <w:gridSpan w:val="2"/>
          </w:tcPr>
          <w:p>
            <w:pPr>
              <w:jc w:val="center"/>
              <w:ind w:left="1109"/>
              <w:spacing w:after="0"/>
              <w:rPr>
                <w:sz w:val="20"/>
                <w:szCs w:val="20"/>
                <w:color w:val="auto"/>
              </w:rPr>
            </w:pPr>
            <w:r>
              <w:rPr>
                <w:rFonts w:ascii="Arial" w:cs="Arial" w:eastAsia="Arial" w:hAnsi="Arial"/>
                <w:sz w:val="14"/>
                <w:szCs w:val="14"/>
                <w:b w:val="1"/>
                <w:bCs w:val="1"/>
                <w:color w:val="auto"/>
              </w:rPr>
              <w:t>PART I – FINANCIAL INFORMATION</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Item 1. Financial Statements (Unaudited)</w:t>
            </w:r>
          </w:p>
        </w:tc>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02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rPr>
              <w:t>CUMBERLAND PHARMACEUTICALS INC. AND SUBSIDIARIES</w:t>
            </w: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60" w:type="dxa"/>
            <w:vAlign w:val="bottom"/>
            <w:gridSpan w:val="2"/>
          </w:tcPr>
          <w:p>
            <w:pPr>
              <w:jc w:val="center"/>
              <w:ind w:left="1109"/>
              <w:spacing w:after="0"/>
              <w:rPr>
                <w:sz w:val="20"/>
                <w:szCs w:val="20"/>
                <w:color w:val="auto"/>
              </w:rPr>
            </w:pPr>
            <w:r>
              <w:rPr>
                <w:rFonts w:ascii="Arial" w:cs="Arial" w:eastAsia="Arial" w:hAnsi="Arial"/>
                <w:sz w:val="14"/>
                <w:szCs w:val="14"/>
                <w:b w:val="1"/>
                <w:bCs w:val="1"/>
                <w:color w:val="auto"/>
                <w:w w:val="88"/>
              </w:rPr>
              <w:t>Condensed Consolidated Balance Sheets</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60" w:type="dxa"/>
            <w:vAlign w:val="bottom"/>
            <w:gridSpan w:val="2"/>
          </w:tcPr>
          <w:p>
            <w:pPr>
              <w:jc w:val="center"/>
              <w:ind w:left="1109"/>
              <w:spacing w:after="0"/>
              <w:rPr>
                <w:sz w:val="20"/>
                <w:szCs w:val="20"/>
                <w:color w:val="auto"/>
              </w:rPr>
            </w:pPr>
            <w:r>
              <w:rPr>
                <w:rFonts w:ascii="Arial" w:cs="Arial" w:eastAsia="Arial" w:hAnsi="Arial"/>
                <w:sz w:val="14"/>
                <w:szCs w:val="14"/>
                <w:b w:val="1"/>
                <w:bCs w:val="1"/>
                <w:color w:val="auto"/>
                <w:w w:val="92"/>
              </w:rPr>
              <w:t>(Unaudited)</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7"/>
                <w:szCs w:val="17"/>
                <w:color w:val="auto"/>
              </w:rPr>
            </w:pPr>
          </w:p>
        </w:tc>
        <w:tc>
          <w:tcPr>
            <w:tcW w:w="1900" w:type="dxa"/>
            <w:vAlign w:val="bottom"/>
          </w:tcPr>
          <w:p>
            <w:pPr>
              <w:jc w:val="right"/>
              <w:ind w:right="46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7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406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25,843,231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24,753,796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9,850,530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12,377,713</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Inventories</w:t>
            </w:r>
          </w:p>
        </w:tc>
        <w:tc>
          <w:tcPr>
            <w:tcW w:w="3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10,262,769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10,638,157</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Prepaid and other current assets</w:t>
            </w:r>
          </w:p>
        </w:tc>
        <w:tc>
          <w:tcPr>
            <w:tcW w:w="37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1,259,098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2,199,926</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3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47,215,628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49,969,592</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Non-current inventories</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9,476,737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11,656,742</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574,169</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24,918,830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28,118,316</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882,000</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1,282,275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2,028,148</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7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3,301,816</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3,234,338</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6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37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87,570,774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96,463,305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29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 AND EQUITY</w:t>
            </w:r>
          </w:p>
        </w:tc>
        <w:tc>
          <w:tcPr>
            <w:tcW w:w="3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406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9,233,383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13,396,286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60"/>
              <w:spacing w:after="0"/>
              <w:rPr>
                <w:sz w:val="20"/>
                <w:szCs w:val="20"/>
                <w:color w:val="auto"/>
              </w:rPr>
            </w:pPr>
            <w:r>
              <w:rPr>
                <w:rFonts w:ascii="Arial" w:cs="Arial" w:eastAsia="Arial" w:hAnsi="Arial"/>
                <w:sz w:val="14"/>
                <w:szCs w:val="14"/>
                <w:color w:val="auto"/>
              </w:rPr>
              <w:t>Operating lease current liabilities</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1,094,187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1,016,779</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liabilities</w:t>
            </w:r>
          </w:p>
        </w:tc>
        <w:tc>
          <w:tcPr>
            <w:tcW w:w="37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7,617,913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11,254,381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6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17,945,483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25,667,446</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line of credit</w:t>
            </w:r>
          </w:p>
        </w:tc>
        <w:tc>
          <w:tcPr>
            <w:tcW w:w="3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Operating lease noncurrent liabilities</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229,605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1,059,693</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37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7,749,421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7,862,772</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liabilities</w:t>
            </w:r>
          </w:p>
        </w:tc>
        <w:tc>
          <w:tcPr>
            <w:tcW w:w="3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40,924,509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49,589,911</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3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Equity:</w:t>
            </w:r>
          </w:p>
        </w:tc>
        <w:tc>
          <w:tcPr>
            <w:tcW w:w="3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3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7020" w:type="dxa"/>
            <w:vAlign w:val="bottom"/>
            <w:gridSpan w:val="3"/>
          </w:tcPr>
          <w:p>
            <w:pPr>
              <w:ind w:left="260"/>
              <w:spacing w:after="0" w:line="138" w:lineRule="exact"/>
              <w:rPr>
                <w:sz w:val="20"/>
                <w:szCs w:val="20"/>
                <w:color w:val="auto"/>
              </w:rPr>
            </w:pPr>
            <w:r>
              <w:rPr>
                <w:rFonts w:ascii="Arial" w:cs="Arial" w:eastAsia="Arial" w:hAnsi="Arial"/>
                <w:sz w:val="14"/>
                <w:szCs w:val="14"/>
                <w:color w:val="auto"/>
                <w:w w:val="98"/>
              </w:rPr>
              <w:t>Common stock—no par value; 100,000,000 shares authorized; 14,850,526 and 14,988,429 shares issued and</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48,612,935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49,121,523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020" w:type="dxa"/>
            <w:vAlign w:val="bottom"/>
            <w:gridSpan w:val="3"/>
          </w:tcPr>
          <w:p>
            <w:pPr>
              <w:ind w:left="260"/>
              <w:spacing w:after="0"/>
              <w:rPr>
                <w:sz w:val="20"/>
                <w:szCs w:val="20"/>
                <w:color w:val="auto"/>
              </w:rPr>
            </w:pPr>
            <w:r>
              <w:rPr>
                <w:rFonts w:ascii="Arial" w:cs="Arial" w:eastAsia="Arial" w:hAnsi="Arial"/>
                <w:sz w:val="14"/>
                <w:szCs w:val="14"/>
                <w:color w:val="auto"/>
              </w:rPr>
              <w:t>outstanding as of September 30, 2021 and December 31, 2020, respectively</w:t>
            </w:r>
          </w:p>
        </w:tc>
        <w:tc>
          <w:tcPr>
            <w:tcW w:w="1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Retained earnings (deficit)</w:t>
            </w:r>
          </w:p>
        </w:tc>
        <w:tc>
          <w:tcPr>
            <w:tcW w:w="37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(1,790,903)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(2,131,013)</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60" w:type="dxa"/>
            <w:vAlign w:val="bottom"/>
          </w:tcPr>
          <w:p>
            <w:pPr>
              <w:ind w:left="520"/>
              <w:spacing w:after="0"/>
              <w:rPr>
                <w:sz w:val="20"/>
                <w:szCs w:val="20"/>
                <w:color w:val="auto"/>
              </w:rPr>
            </w:pPr>
            <w:r>
              <w:rPr>
                <w:rFonts w:ascii="Arial" w:cs="Arial" w:eastAsia="Arial" w:hAnsi="Arial"/>
                <w:sz w:val="14"/>
                <w:szCs w:val="14"/>
                <w:color w:val="auto"/>
              </w:rPr>
              <w:t>Total shareholders’ equity</w:t>
            </w: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46,822,032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46,990,510</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37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(175,767)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(117,116)</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9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equity</w:t>
            </w:r>
          </w:p>
        </w:tc>
        <w:tc>
          <w:tcPr>
            <w:tcW w:w="3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46,646,265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46,873,394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liabilities and equity</w:t>
            </w:r>
          </w:p>
        </w:tc>
        <w:tc>
          <w:tcPr>
            <w:tcW w:w="37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87,570,774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96,463,305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6"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38"/>
        </w:trPr>
        <w:tc>
          <w:tcPr>
            <w:tcW w:w="54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8,072,540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9,250,689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27,665,182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27,179,600</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products sold</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1,328,027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2,142,839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5,486,005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6,387,002</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Arial" w:cs="Arial" w:eastAsia="Arial" w:hAnsi="Arial"/>
                <w:sz w:val="14"/>
                <w:szCs w:val="14"/>
                <w:color w:val="auto"/>
              </w:rPr>
              <w:t>Selling and marketing</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3,800,288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3,587,842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11,709,445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11,160,924</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1,453,873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1,230,335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4,071,638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4,374,392</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2,039,799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2,381,273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6,367,438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6,608,321</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1,013,948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1,117,086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3,354,080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3,284,610</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9,635,935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10,459,375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30,988,606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31,815,249</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(1,563,395)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(1,208,686)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(3,323,424)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(4,635,649)</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70,553</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2,187,140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(75,210)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(70,297)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(227,730)</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(loss) from continuing operations before income taxes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(1,576,022)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(1,271,892)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(1,187,170)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(4,792,826)</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(22,375)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(45,423)</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from continuing operations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(1,583,480)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(1,275,620)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(4,838,249)</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Discontinued operations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496,787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777,916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1,491,004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2,334,811</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(1,086,693)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(497,704)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(2,503,438)</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 subsidiary attributable to noncontrolling interests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58,651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47,806</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common shareholders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(1,055,278)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(481,737)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340,110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(2,455,632)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(loss) per share attributable to common shareholders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Continuing operations - basic</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 Discontinued operations - basic</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12"/>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Continuing operations - diluted</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 Discontinued operations - diluted</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basic</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14,880,887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15,134,583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14,939,919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15,206,179</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Arial" w:cs="Arial" w:eastAsia="Arial" w:hAnsi="Arial"/>
                <w:sz w:val="14"/>
                <w:szCs w:val="14"/>
                <w:color w:val="auto"/>
              </w:rPr>
              <w:t>- diluted</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14,880,887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15,134,583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15,139,904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15,206,179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Nine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6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rPr>
              <w:t>2020</w:t>
            </w:r>
          </w:p>
        </w:tc>
      </w:tr>
      <w:tr>
        <w:trPr>
          <w:trHeight w:val="16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768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1000" w:type="dxa"/>
            <w:vAlign w:val="bottom"/>
          </w:tcPr>
          <w:p>
            <w:pPr>
              <w:jc w:val="right"/>
              <w:ind w:right="853"/>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281,459</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(2,503,438)</w:t>
            </w:r>
          </w:p>
        </w:tc>
      </w:tr>
      <w:tr>
        <w:trPr>
          <w:trHeight w:val="181"/>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1,491,004</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2,334,811</w:t>
            </w:r>
          </w:p>
        </w:tc>
      </w:tr>
      <w:tr>
        <w:trPr>
          <w:trHeight w:val="171"/>
        </w:trPr>
        <w:tc>
          <w:tcPr>
            <w:tcW w:w="7680" w:type="dxa"/>
            <w:vAlign w:val="bottom"/>
          </w:tcPr>
          <w:p>
            <w:pPr>
              <w:ind w:left="280"/>
              <w:spacing w:after="0"/>
              <w:rPr>
                <w:sz w:val="20"/>
                <w:szCs w:val="20"/>
                <w:color w:val="auto"/>
              </w:rPr>
            </w:pPr>
            <w:r>
              <w:rPr>
                <w:rFonts w:ascii="Arial" w:cs="Arial" w:eastAsia="Arial" w:hAnsi="Arial"/>
                <w:sz w:val="14"/>
                <w:szCs w:val="14"/>
                <w:color w:val="auto"/>
              </w:rPr>
              <w:t>Net income (loss) from continuing operations</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(1,209,545)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(4,838,249)</w:t>
            </w:r>
          </w:p>
        </w:tc>
      </w:tr>
      <w:tr>
        <w:trPr>
          <w:trHeight w:val="181"/>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(loss) from continuing operations to net cash provided by operating activities:</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3,529,245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3,524,684</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517,081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805,338</w:t>
            </w: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Decrease in non-cash contingent consideration</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(632,646)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(806,390)</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Decrease (increase) in cash surrender value of life insurance policies over premiums paid</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(52,070)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169,406</w:t>
            </w: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Noncash interest expense</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33,943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36,197</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Gain on forgiveness of debt</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(2,187,140)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Net changes in assets and liabilities affecting operating activities:</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76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2,527,183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(1,817,490)</w:t>
            </w:r>
          </w:p>
        </w:tc>
      </w:tr>
      <w:tr>
        <w:trPr>
          <w:trHeight w:val="180"/>
        </w:trPr>
        <w:tc>
          <w:tcPr>
            <w:tcW w:w="7680" w:type="dxa"/>
            <w:vAlign w:val="bottom"/>
          </w:tcPr>
          <w:p>
            <w:pPr>
              <w:ind w:left="780"/>
              <w:spacing w:after="0"/>
              <w:rPr>
                <w:sz w:val="20"/>
                <w:szCs w:val="20"/>
                <w:color w:val="auto"/>
              </w:rPr>
            </w:pPr>
            <w:r>
              <w:rPr>
                <w:rFonts w:ascii="Arial" w:cs="Arial" w:eastAsia="Arial" w:hAnsi="Arial"/>
                <w:sz w:val="14"/>
                <w:szCs w:val="14"/>
                <w:color w:val="auto"/>
              </w:rPr>
              <w:t>Inventories</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2,555,393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1,696,668</w:t>
            </w:r>
          </w:p>
        </w:tc>
      </w:tr>
      <w:tr>
        <w:trPr>
          <w:trHeight w:val="181"/>
        </w:trPr>
        <w:tc>
          <w:tcPr>
            <w:tcW w:w="76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Other current assets and other assets</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1,627,350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1,962,024</w:t>
            </w:r>
          </w:p>
        </w:tc>
      </w:tr>
      <w:tr>
        <w:trPr>
          <w:trHeight w:val="180"/>
        </w:trPr>
        <w:tc>
          <w:tcPr>
            <w:tcW w:w="7680" w:type="dxa"/>
            <w:vAlign w:val="bottom"/>
          </w:tcPr>
          <w:p>
            <w:pPr>
              <w:ind w:left="780"/>
              <w:spacing w:after="0"/>
              <w:rPr>
                <w:sz w:val="20"/>
                <w:szCs w:val="20"/>
                <w:color w:val="auto"/>
              </w:rPr>
            </w:pPr>
            <w:r>
              <w:rPr>
                <w:rFonts w:ascii="Arial" w:cs="Arial" w:eastAsia="Arial" w:hAnsi="Arial"/>
                <w:sz w:val="14"/>
                <w:szCs w:val="14"/>
                <w:color w:val="auto"/>
              </w:rPr>
              <w:t>Accounts payable and other current liabilities</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(2,873,596)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3,248,450</w:t>
            </w:r>
          </w:p>
        </w:tc>
      </w:tr>
      <w:tr>
        <w:trPr>
          <w:trHeight w:val="181"/>
        </w:trPr>
        <w:tc>
          <w:tcPr>
            <w:tcW w:w="76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Other long-term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(943,439)</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(1,585,584)</w:t>
            </w:r>
          </w:p>
        </w:tc>
      </w:tr>
      <w:tr>
        <w:trPr>
          <w:trHeight w:val="171"/>
        </w:trPr>
        <w:tc>
          <w:tcPr>
            <w:tcW w:w="7680" w:type="dxa"/>
            <w:vAlign w:val="bottom"/>
          </w:tcPr>
          <w:p>
            <w:pPr>
              <w:ind w:left="520"/>
              <w:spacing w:after="0"/>
              <w:rPr>
                <w:sz w:val="20"/>
                <w:szCs w:val="20"/>
                <w:color w:val="auto"/>
              </w:rPr>
            </w:pPr>
            <w:r>
              <w:rPr>
                <w:rFonts w:ascii="Arial" w:cs="Arial" w:eastAsia="Arial" w:hAnsi="Arial"/>
                <w:sz w:val="14"/>
                <w:szCs w:val="14"/>
                <w:color w:val="auto"/>
              </w:rPr>
              <w:t>Net cash provided by operating activities from continuing operations</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2,891,759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2,395,054</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Discontinued operations</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1,491,004</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2,166,086</w:t>
            </w:r>
          </w:p>
        </w:tc>
      </w:tr>
      <w:tr>
        <w:trPr>
          <w:trHeight w:val="171"/>
        </w:trPr>
        <w:tc>
          <w:tcPr>
            <w:tcW w:w="76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4,382,763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4,561,140</w:t>
            </w:r>
          </w:p>
        </w:tc>
      </w:tr>
      <w:tr>
        <w:trPr>
          <w:trHeight w:val="161"/>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Additions to property and equipment</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(94,485)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(95,189)</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surrender of life insurance policies</w:t>
            </w:r>
          </w:p>
        </w:tc>
        <w:tc>
          <w:tcPr>
            <w:tcW w:w="10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460,888</w:t>
            </w: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Note receivable investment funding</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Additions to intangible assets</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(180,613)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(1,807,467)</w:t>
            </w:r>
          </w:p>
        </w:tc>
      </w:tr>
      <w:tr>
        <w:trPr>
          <w:trHeight w:val="171"/>
        </w:trPr>
        <w:tc>
          <w:tcPr>
            <w:tcW w:w="76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(475,098)</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(1,441,768)</w:t>
            </w:r>
          </w:p>
        </w:tc>
      </w:tr>
      <w:tr>
        <w:trPr>
          <w:trHeight w:val="161"/>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Borrowings on line of credit</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45,000,000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44,000,000</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Repayments on line of credit</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(45,000,000)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(45,500,000)</w:t>
            </w:r>
          </w:p>
        </w:tc>
      </w:tr>
      <w:tr>
        <w:trPr>
          <w:trHeight w:val="180"/>
        </w:trPr>
        <w:tc>
          <w:tcPr>
            <w:tcW w:w="7680" w:type="dxa"/>
            <w:vAlign w:val="bottom"/>
          </w:tcPr>
          <w:p>
            <w:pPr>
              <w:ind w:left="520"/>
              <w:spacing w:after="0"/>
              <w:rPr>
                <w:sz w:val="20"/>
                <w:szCs w:val="20"/>
                <w:color w:val="auto"/>
              </w:rPr>
            </w:pPr>
            <w:r>
              <w:rPr>
                <w:rFonts w:ascii="Arial" w:cs="Arial" w:eastAsia="Arial" w:hAnsi="Arial"/>
                <w:sz w:val="14"/>
                <w:szCs w:val="14"/>
                <w:color w:val="auto"/>
              </w:rPr>
              <w:t>Cash payment of contingent consideration</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(1,792,573)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(834,014)</w:t>
            </w:r>
          </w:p>
        </w:tc>
      </w:tr>
      <w:tr>
        <w:trPr>
          <w:trHeight w:val="18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Repurchase of subsidiary shares from noncontrolling interest</w:t>
            </w:r>
          </w:p>
        </w:tc>
        <w:tc>
          <w:tcPr>
            <w:tcW w:w="10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(800,000)</w:t>
            </w:r>
          </w:p>
        </w:tc>
      </w:tr>
      <w:tr>
        <w:trPr>
          <w:trHeight w:val="180"/>
        </w:trPr>
        <w:tc>
          <w:tcPr>
            <w:tcW w:w="76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Repurchase of common shares</w:t>
            </w:r>
          </w:p>
        </w:tc>
        <w:tc>
          <w:tcPr>
            <w:tcW w:w="10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(1,025,657)</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(1,551,463)</w:t>
            </w:r>
          </w:p>
        </w:tc>
      </w:tr>
      <w:tr>
        <w:trPr>
          <w:trHeight w:val="171"/>
        </w:trPr>
        <w:tc>
          <w:tcPr>
            <w:tcW w:w="7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cash used in financing activities</w:t>
            </w:r>
          </w:p>
        </w:tc>
        <w:tc>
          <w:tcPr>
            <w:tcW w:w="10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(2,818,230)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(4,685,477)</w:t>
            </w:r>
          </w:p>
        </w:tc>
      </w:tr>
      <w:tr>
        <w:trPr>
          <w:trHeight w:val="171"/>
        </w:trPr>
        <w:tc>
          <w:tcPr>
            <w:tcW w:w="7680" w:type="dxa"/>
            <w:vAlign w:val="bottom"/>
          </w:tcPr>
          <w:p>
            <w:pPr>
              <w:ind w:left="520"/>
              <w:spacing w:after="0"/>
              <w:rPr>
                <w:sz w:val="20"/>
                <w:szCs w:val="20"/>
                <w:color w:val="auto"/>
              </w:rPr>
            </w:pPr>
            <w:r>
              <w:rPr>
                <w:rFonts w:ascii="Arial" w:cs="Arial" w:eastAsia="Arial" w:hAnsi="Arial"/>
                <w:sz w:val="14"/>
                <w:szCs w:val="14"/>
                <w:color w:val="auto"/>
              </w:rPr>
              <w:t>Net increase (decrease) in cash and cash equivalents</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1,089,435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(1,566,105)</w:t>
            </w:r>
          </w:p>
        </w:tc>
      </w:tr>
      <w:tr>
        <w:trPr>
          <w:trHeight w:val="181"/>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24,753,796</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28,212,635</w:t>
            </w:r>
          </w:p>
        </w:tc>
      </w:tr>
      <w:tr>
        <w:trPr>
          <w:trHeight w:val="171"/>
        </w:trPr>
        <w:tc>
          <w:tcPr>
            <w:tcW w:w="76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25,843,231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26,646,530</w:t>
            </w: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8"/>
              </w:rPr>
              <w:t>Retained 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3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6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6"/>
              </w:rPr>
              <w:t>Noncontrolling interests</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(deficit)</w:t>
            </w:r>
          </w:p>
        </w:tc>
        <w:tc>
          <w:tcPr>
            <w:tcW w:w="162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15,263,555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49,914,478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1,208,395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(37,620)</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51,085,253</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219,850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264,574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264,574</w:t>
            </w:r>
          </w:p>
        </w:tc>
        <w:tc>
          <w:tcPr>
            <w:tcW w:w="0" w:type="dxa"/>
            <w:vAlign w:val="bottom"/>
          </w:tcPr>
          <w:p>
            <w:pPr>
              <w:spacing w:after="0"/>
              <w:rPr>
                <w:sz w:val="1"/>
                <w:szCs w:val="1"/>
                <w:color w:val="auto"/>
              </w:rPr>
            </w:pPr>
          </w:p>
        </w:tc>
      </w:tr>
      <w:tr>
        <w:trPr>
          <w:trHeight w:val="181"/>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(164,866)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(441,624)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(441,624)</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(1,055,620)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(1,065,145)</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15,318,539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49,737,428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(47,145)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49,843,058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15,318,539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49,737,428</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(47,145)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49,843,058</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278,349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278,349</w:t>
            </w:r>
          </w:p>
        </w:tc>
        <w:tc>
          <w:tcPr>
            <w:tcW w:w="0" w:type="dxa"/>
            <w:vAlign w:val="bottom"/>
          </w:tcPr>
          <w:p>
            <w:pPr>
              <w:spacing w:after="0"/>
              <w:rPr>
                <w:sz w:val="1"/>
                <w:szCs w:val="1"/>
                <w:color w:val="auto"/>
              </w:rPr>
            </w:pPr>
          </w:p>
        </w:tc>
      </w:tr>
      <w:tr>
        <w:trPr>
          <w:trHeight w:val="181"/>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(141,463)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(769,648)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(769,648)</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(918,275)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(22,314)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(940,589)</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15,181,276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49,246,129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(69,459)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48,411,170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15,181,276</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49,246,129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(765,500)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5"/>
              </w:rPr>
              <w:t>(69,459)</w:t>
            </w:r>
          </w:p>
        </w:tc>
        <w:tc>
          <w:tcPr>
            <w:tcW w:w="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48,411,170</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4,450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262,415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ind w:left="10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262,415</w:t>
            </w:r>
          </w:p>
        </w:tc>
        <w:tc>
          <w:tcPr>
            <w:tcW w:w="0" w:type="dxa"/>
            <w:vAlign w:val="bottom"/>
          </w:tcPr>
          <w:p>
            <w:pPr>
              <w:spacing w:after="0"/>
              <w:rPr>
                <w:sz w:val="1"/>
                <w:szCs w:val="1"/>
                <w:color w:val="auto"/>
              </w:rPr>
            </w:pPr>
          </w:p>
        </w:tc>
      </w:tr>
      <w:tr>
        <w:trPr>
          <w:trHeight w:val="181"/>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(101,354)</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(332,504)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(332,504)</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52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(481,737)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ind w:left="440"/>
              <w:spacing w:after="0"/>
              <w:rPr>
                <w:sz w:val="20"/>
                <w:szCs w:val="20"/>
                <w:color w:val="auto"/>
              </w:rPr>
            </w:pPr>
            <w:r>
              <w:rPr>
                <w:rFonts w:ascii="Arial" w:cs="Arial" w:eastAsia="Arial" w:hAnsi="Arial"/>
                <w:sz w:val="14"/>
                <w:szCs w:val="14"/>
                <w:color w:val="auto"/>
                <w:w w:val="95"/>
              </w:rPr>
              <w:t>(15,967)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(497,704)</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2020</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15,084,372</w:t>
            </w:r>
          </w:p>
        </w:tc>
        <w:tc>
          <w:tcPr>
            <w:tcW w:w="76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15,084,372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49,176,040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(1,247,237)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Arial" w:cs="Arial" w:eastAsia="Arial" w:hAnsi="Arial"/>
                <w:sz w:val="14"/>
                <w:szCs w:val="14"/>
                <w:color w:val="auto"/>
                <w:w w:val="95"/>
              </w:rPr>
              <w:t>(85,426)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47,843,377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Retained earnings</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3580" w:type="dxa"/>
            <w:vAlign w:val="bottom"/>
          </w:tcPr>
          <w:p>
            <w:pPr>
              <w:spacing w:after="0"/>
              <w:rPr>
                <w:sz w:val="7"/>
                <w:szCs w:val="7"/>
                <w:color w:val="auto"/>
              </w:rPr>
            </w:pPr>
          </w:p>
        </w:tc>
        <w:tc>
          <w:tcPr>
            <w:tcW w:w="15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7"/>
                <w:szCs w:val="7"/>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Noncontrolling interests</w:t>
            </w:r>
          </w:p>
        </w:tc>
        <w:tc>
          <w:tcPr>
            <w:tcW w:w="220" w:type="dxa"/>
            <w:vAlign w:val="bottom"/>
          </w:tcPr>
          <w:p>
            <w:pPr>
              <w:spacing w:after="0"/>
              <w:rPr>
                <w:sz w:val="7"/>
                <w:szCs w:val="7"/>
                <w:color w:val="auto"/>
              </w:rPr>
            </w:pPr>
          </w:p>
        </w:tc>
        <w:tc>
          <w:tcPr>
            <w:tcW w:w="12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(deficit)</w:t>
            </w:r>
          </w:p>
        </w:tc>
        <w:tc>
          <w:tcPr>
            <w:tcW w:w="1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14,988,429</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49,121,523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(2,131,013)</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(117,116)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46,873,394</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20" w:type="dxa"/>
            <w:vAlign w:val="bottom"/>
          </w:tcPr>
          <w:p>
            <w:pPr>
              <w:jc w:val="right"/>
              <w:spacing w:after="0"/>
              <w:rPr>
                <w:sz w:val="20"/>
                <w:szCs w:val="20"/>
                <w:color w:val="auto"/>
              </w:rPr>
            </w:pPr>
            <w:r>
              <w:rPr>
                <w:rFonts w:ascii="Arial" w:cs="Arial" w:eastAsia="Arial" w:hAnsi="Arial"/>
                <w:sz w:val="14"/>
                <w:szCs w:val="14"/>
                <w:color w:val="auto"/>
              </w:rPr>
              <w:t>187,759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162,960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162,960</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(303,088)</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166,828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(22,167)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144,661</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15,084,464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48,981,395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(1,964,185)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(139,283)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46,877,927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15,084,464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48,981,395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(1,964,185)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46,877,927</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191,954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191,954</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(158,405)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(484,965)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(484,965)</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1,228,560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1,223,491</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14,926,059</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48,688,384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(735,625)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47,808,407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14,926,059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48,688,384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(735,625)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47,808,407</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20" w:type="dxa"/>
            <w:vAlign w:val="bottom"/>
          </w:tcPr>
          <w:p>
            <w:pPr>
              <w:jc w:val="right"/>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162,167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162,167</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(76,408)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(237,616)</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(1,055,278)</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(31,415)</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(1,086,693)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14,850,526</w:t>
            </w: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48,612,935</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(1,790,903)</w:t>
            </w: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(175,767)</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46,646,265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BASIS OF PRESENTATION</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gastroenterology and rheumatology.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 The Company promotes its approved products through its hospital and field sales forces in the United States and is establishing a network of international partners to bring its medicines to patients in their countries.</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third-party distribution partners to make its products available in the United States.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opinion of management, the accompanying unaudited condensed consolidated financial statements of the Company have been prepared on a basis consistent with the December 31, 2020,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2020 (the “2020 Annual Report on Form 10-K”). The results of operations for the three and nine months ended September 30, 2021, are not necessarily indicative of the results to be expected for the entire fiscal year or any future period.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Discontinued Operations</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As discussed further in Note 9, during May 2019, Cumberland entered into a Dissolution Agreement ("Dissolution Agreement") with Clinigen Healthcare Limited ("Clinigen") in which the Company returned the exclusive rights to commercialize Ethyol</w:t>
      </w:r>
      <w:r>
        <w:rPr>
          <w:rFonts w:ascii="Arial" w:cs="Arial" w:eastAsia="Arial" w:hAnsi="Arial"/>
          <w:sz w:val="18"/>
          <w:szCs w:val="18"/>
          <w:b w:val="1"/>
          <w:bCs w:val="1"/>
          <w:color w:val="auto"/>
          <w:vertAlign w:val="superscript"/>
        </w:rPr>
        <w:t>®</w:t>
      </w:r>
      <w:r>
        <w:rPr>
          <w:rFonts w:ascii="Arial" w:cs="Arial" w:eastAsia="Arial" w:hAnsi="Arial"/>
          <w:sz w:val="14"/>
          <w:szCs w:val="14"/>
          <w:color w:val="auto"/>
        </w:rPr>
        <w:t xml:space="preserve"> and Totect</w:t>
      </w:r>
      <w:r>
        <w:rPr>
          <w:rFonts w:ascii="Arial" w:cs="Arial" w:eastAsia="Arial" w:hAnsi="Arial"/>
          <w:sz w:val="18"/>
          <w:szCs w:val="18"/>
          <w:b w:val="1"/>
          <w:bCs w:val="1"/>
          <w:color w:val="auto"/>
          <w:vertAlign w:val="superscript"/>
        </w:rPr>
        <w:t>®</w:t>
      </w:r>
      <w:r>
        <w:rPr>
          <w:rFonts w:ascii="Arial" w:cs="Arial" w:eastAsia="Arial" w:hAnsi="Arial"/>
          <w:sz w:val="14"/>
          <w:szCs w:val="14"/>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Ethyol and Totect meets the accounting criteria to be reported as discontinued operations and the discontinued operating results have been presented in the financial statements and footnotes to reflect the discontinued status of Ethyol and Totect. Refer to Note 9,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Revision of prior period condensed consolidated statement of cash flows presentation</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has made a revision to prior period amounts to conform to the current year presentation of the cash surrender value of life insurance policies over premiums paid on the condensed consolidated statement of cash flows. The revised amounts were previously included as net changes in assets affecting operating activities. These revisions have no net effect on the reported net cash provided by operating activities nor any impact on the reported operating results or balance sheet for the 2020 period presented.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In March 2020, the U.S. declared a health care emergency following the outbreak of the SARS-CoV-2, a novel strain of coronavirus that causes COVID-19, a respiratory illness.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its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14"/>
          <w:szCs w:val="14"/>
          <w:color w:val="auto"/>
        </w:rPr>
        <w:t>Throughout the pandemic,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During 2020 and 2021, we carefully monitored our supply chain during the pandemic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its employees’ safety and well-being, while also keeping its business operating. Given the uncertainty, magnitude and impact of such changes, the Company is unable to quantify the impact on the future results as of the date of this filing.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Guidance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 - Not Yet Adopted</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June 2016, the Financial Accounting Standards Board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Use of Estimates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a contingent consideration liability associated with a business combination.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Operating Segments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(2) EARNINGS (LOSS) PER SHARE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the numerator and denominator used to calculate diluted earnings (loss) per share for the three and nine months ended September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368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Borders>
              <w:bottom w:val="single" w:sz="8" w:color="auto"/>
            </w:tcBorders>
          </w:tcPr>
          <w:p>
            <w:pPr>
              <w:spacing w:after="0"/>
              <w:rPr>
                <w:sz w:val="16"/>
                <w:szCs w:val="16"/>
                <w:color w:val="auto"/>
              </w:rPr>
            </w:pPr>
          </w:p>
        </w:tc>
      </w:tr>
      <w:tr>
        <w:trPr>
          <w:trHeight w:val="171"/>
        </w:trPr>
        <w:tc>
          <w:tcPr>
            <w:tcW w:w="67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4"/>
                <w:szCs w:val="14"/>
                <w:color w:val="auto"/>
              </w:rPr>
            </w:pPr>
          </w:p>
        </w:tc>
      </w:tr>
      <w:tr>
        <w:trPr>
          <w:trHeight w:val="16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360" w:type="dxa"/>
            <w:vAlign w:val="bottom"/>
          </w:tcPr>
          <w:p>
            <w:pPr>
              <w:jc w:val="right"/>
              <w:ind w:right="12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(1,583,480)</w:t>
            </w:r>
          </w:p>
        </w:tc>
        <w:tc>
          <w:tcPr>
            <w:tcW w:w="120" w:type="dxa"/>
            <w:vAlign w:val="bottom"/>
          </w:tcPr>
          <w:p>
            <w:pPr>
              <w:spacing w:after="0"/>
              <w:rPr>
                <w:sz w:val="15"/>
                <w:szCs w:val="15"/>
                <w:color w:val="auto"/>
              </w:rPr>
            </w:pPr>
          </w:p>
        </w:tc>
        <w:tc>
          <w:tcPr>
            <w:tcW w:w="1380" w:type="dxa"/>
            <w:vAlign w:val="bottom"/>
          </w:tcPr>
          <w:p>
            <w:pPr>
              <w:jc w:val="right"/>
              <w:ind w:right="120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(1,275,620)</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1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496,787</w:t>
            </w:r>
          </w:p>
        </w:tc>
        <w:tc>
          <w:tcPr>
            <w:tcW w:w="12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777,916</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(1,086,693)</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(497,704)</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 subsidiary attributable to noncontrolling interest</w:t>
            </w:r>
          </w:p>
        </w:tc>
        <w:tc>
          <w:tcPr>
            <w:tcW w:w="1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31,415</w:t>
            </w:r>
          </w:p>
        </w:tc>
        <w:tc>
          <w:tcPr>
            <w:tcW w:w="12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15,967</w:t>
            </w:r>
          </w:p>
        </w:tc>
      </w:tr>
      <w:tr>
        <w:trPr>
          <w:trHeight w:val="17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common shareholders</w:t>
            </w:r>
          </w:p>
        </w:tc>
        <w:tc>
          <w:tcPr>
            <w:tcW w:w="136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(1,055,278)</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(481,737)</w:t>
            </w:r>
          </w:p>
        </w:tc>
      </w:tr>
      <w:tr>
        <w:trPr>
          <w:trHeight w:val="16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1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Weighted-average shares outstanding – basic</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14,880,887</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15,134,583</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other securities</w:t>
            </w:r>
          </w:p>
        </w:tc>
        <w:tc>
          <w:tcPr>
            <w:tcW w:w="13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Weighted-average shares outstanding – diluted</w:t>
            </w:r>
          </w:p>
        </w:tc>
        <w:tc>
          <w:tcPr>
            <w:tcW w:w="13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14,880,887</w:t>
            </w:r>
          </w:p>
        </w:tc>
        <w:tc>
          <w:tcPr>
            <w:tcW w:w="120" w:type="dxa"/>
            <w:vAlign w:val="bottom"/>
          </w:tcPr>
          <w:p>
            <w:pPr>
              <w:spacing w:after="0"/>
              <w:rPr>
                <w:sz w:val="14"/>
                <w:szCs w:val="14"/>
                <w:color w:val="auto"/>
              </w:rPr>
            </w:pPr>
          </w:p>
        </w:tc>
        <w:tc>
          <w:tcPr>
            <w:tcW w:w="13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15,134,583</w:t>
            </w:r>
          </w:p>
        </w:tc>
      </w:tr>
      <w:tr>
        <w:trPr>
          <w:trHeight w:val="20"/>
        </w:trPr>
        <w:tc>
          <w:tcPr>
            <w:tcW w:w="6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368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tcBorders>
              <w:bottom w:val="single" w:sz="8" w:color="auto"/>
            </w:tcBorders>
          </w:tcPr>
          <w:p>
            <w:pPr>
              <w:spacing w:after="0"/>
              <w:rPr>
                <w:sz w:val="16"/>
                <w:szCs w:val="16"/>
                <w:color w:val="auto"/>
              </w:rPr>
            </w:pPr>
          </w:p>
        </w:tc>
      </w:tr>
      <w:tr>
        <w:trPr>
          <w:trHeight w:val="171"/>
        </w:trPr>
        <w:tc>
          <w:tcPr>
            <w:tcW w:w="67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4"/>
                <w:szCs w:val="14"/>
                <w:color w:val="auto"/>
              </w:rPr>
            </w:pPr>
          </w:p>
        </w:tc>
      </w:tr>
      <w:tr>
        <w:trPr>
          <w:trHeight w:val="160"/>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360" w:type="dxa"/>
            <w:vAlign w:val="bottom"/>
          </w:tcPr>
          <w:p>
            <w:pPr>
              <w:jc w:val="right"/>
              <w:ind w:right="12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(1,209,545)</w:t>
            </w:r>
          </w:p>
        </w:tc>
        <w:tc>
          <w:tcPr>
            <w:tcW w:w="120" w:type="dxa"/>
            <w:vAlign w:val="bottom"/>
          </w:tcPr>
          <w:p>
            <w:pPr>
              <w:spacing w:after="0"/>
              <w:rPr>
                <w:sz w:val="15"/>
                <w:szCs w:val="15"/>
                <w:color w:val="auto"/>
              </w:rPr>
            </w:pPr>
          </w:p>
        </w:tc>
        <w:tc>
          <w:tcPr>
            <w:tcW w:w="1380" w:type="dxa"/>
            <w:vAlign w:val="bottom"/>
          </w:tcPr>
          <w:p>
            <w:pPr>
              <w:jc w:val="right"/>
              <w:ind w:right="120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(4,838,249)</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1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1,491,004</w:t>
            </w:r>
          </w:p>
        </w:tc>
        <w:tc>
          <w:tcPr>
            <w:tcW w:w="12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2,334,811</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281,459</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(2,503,438)</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 subsidiary attributable to noncontrolling interest</w:t>
            </w:r>
          </w:p>
        </w:tc>
        <w:tc>
          <w:tcPr>
            <w:tcW w:w="1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58,651</w:t>
            </w:r>
          </w:p>
        </w:tc>
        <w:tc>
          <w:tcPr>
            <w:tcW w:w="12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47,806</w:t>
            </w:r>
          </w:p>
        </w:tc>
      </w:tr>
      <w:tr>
        <w:trPr>
          <w:trHeight w:val="171"/>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common shareholders</w:t>
            </w:r>
          </w:p>
        </w:tc>
        <w:tc>
          <w:tcPr>
            <w:tcW w:w="136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340,110</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(2,455,632)</w:t>
            </w:r>
          </w:p>
        </w:tc>
      </w:tr>
      <w:tr>
        <w:trPr>
          <w:trHeight w:val="16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1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Weighted-average shares outstanding – basic</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14,939,919</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15,206,179</w:t>
            </w: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other securities</w:t>
            </w:r>
          </w:p>
        </w:tc>
        <w:tc>
          <w:tcPr>
            <w:tcW w:w="1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199,985</w:t>
            </w:r>
          </w:p>
        </w:tc>
        <w:tc>
          <w:tcPr>
            <w:tcW w:w="12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Weighted-average shares outstanding – diluted</w:t>
            </w: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15,139,904</w:t>
            </w:r>
          </w:p>
        </w:tc>
        <w:tc>
          <w:tcPr>
            <w:tcW w:w="1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15,206,179</w:t>
            </w:r>
          </w:p>
        </w:tc>
      </w:tr>
      <w:tr>
        <w:trPr>
          <w:trHeight w:val="20"/>
        </w:trPr>
        <w:tc>
          <w:tcPr>
            <w:tcW w:w="6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September 30, 2021 and 2020, restricted stock awards and options to purchase 158,900 and 197,210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(3) REVENUES</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55"/>
        </w:trPr>
        <w:tc>
          <w:tcPr>
            <w:tcW w:w="1300" w:type="dxa"/>
            <w:vAlign w:val="bottom"/>
            <w:gridSpan w:val="2"/>
          </w:tcPr>
          <w:p>
            <w:pPr>
              <w:spacing w:after="0"/>
              <w:rPr>
                <w:sz w:val="20"/>
                <w:szCs w:val="20"/>
                <w:color w:val="auto"/>
              </w:rPr>
            </w:pPr>
            <w:r>
              <w:rPr>
                <w:rFonts w:ascii="Arial" w:cs="Arial" w:eastAsia="Arial" w:hAnsi="Arial"/>
                <w:sz w:val="14"/>
                <w:szCs w:val="14"/>
                <w:i w:val="1"/>
                <w:iCs w:val="1"/>
                <w:color w:val="auto"/>
              </w:rPr>
              <w:t>Product Revenues</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6"/>
        </w:trPr>
        <w:tc>
          <w:tcPr>
            <w:tcW w:w="7220" w:type="dxa"/>
            <w:vAlign w:val="bottom"/>
            <w:gridSpan w:val="15"/>
          </w:tcPr>
          <w:p>
            <w:pPr>
              <w:spacing w:after="0"/>
              <w:rPr>
                <w:sz w:val="20"/>
                <w:szCs w:val="20"/>
                <w:color w:val="auto"/>
              </w:rPr>
            </w:pPr>
            <w:r>
              <w:rPr>
                <w:rFonts w:ascii="Arial" w:cs="Arial" w:eastAsia="Arial" w:hAnsi="Arial"/>
                <w:sz w:val="14"/>
                <w:szCs w:val="14"/>
                <w:color w:val="auto"/>
                <w:w w:val="92"/>
              </w:rPr>
              <w:t>The Company accounts for revenues from contracts with customers under ASC 606, which became effective January 1, 2018.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6"/>
        </w:trPr>
        <w:tc>
          <w:tcPr>
            <w:tcW w:w="240" w:type="dxa"/>
            <w:vAlign w:val="bottom"/>
          </w:tcPr>
          <w:p>
            <w:pPr>
              <w:spacing w:after="0"/>
              <w:rPr>
                <w:sz w:val="20"/>
                <w:szCs w:val="20"/>
                <w:color w:val="auto"/>
              </w:rPr>
            </w:pPr>
            <w:r>
              <w:rPr>
                <w:rFonts w:ascii="Arial" w:cs="Arial" w:eastAsia="Arial" w:hAnsi="Arial"/>
                <w:sz w:val="14"/>
                <w:szCs w:val="14"/>
                <w:color w:val="auto"/>
                <w:w w:val="90"/>
              </w:rPr>
              <w:t>The</w:t>
            </w:r>
          </w:p>
        </w:tc>
        <w:tc>
          <w:tcPr>
            <w:tcW w:w="1060" w:type="dxa"/>
            <w:vAlign w:val="bottom"/>
          </w:tcPr>
          <w:p>
            <w:pPr>
              <w:ind w:left="240"/>
              <w:spacing w:after="0"/>
              <w:rPr>
                <w:sz w:val="20"/>
                <w:szCs w:val="20"/>
                <w:color w:val="auto"/>
              </w:rPr>
            </w:pPr>
            <w:r>
              <w:rPr>
                <w:rFonts w:ascii="Arial" w:cs="Arial" w:eastAsia="Arial" w:hAnsi="Arial"/>
                <w:sz w:val="14"/>
                <w:szCs w:val="14"/>
                <w:color w:val="auto"/>
              </w:rPr>
              <w:t>Company’s</w:t>
            </w:r>
          </w:p>
        </w:tc>
        <w:tc>
          <w:tcPr>
            <w:tcW w:w="400" w:type="dxa"/>
            <w:vAlign w:val="bottom"/>
          </w:tcPr>
          <w:p>
            <w:pPr>
              <w:ind w:left="100"/>
              <w:spacing w:after="0"/>
              <w:rPr>
                <w:sz w:val="20"/>
                <w:szCs w:val="20"/>
                <w:color w:val="auto"/>
              </w:rPr>
            </w:pPr>
            <w:r>
              <w:rPr>
                <w:rFonts w:ascii="Arial" w:cs="Arial" w:eastAsia="Arial" w:hAnsi="Arial"/>
                <w:sz w:val="14"/>
                <w:szCs w:val="14"/>
                <w:color w:val="auto"/>
              </w:rPr>
              <w:t>net</w:t>
            </w:r>
          </w:p>
        </w:tc>
        <w:tc>
          <w:tcPr>
            <w:tcW w:w="760" w:type="dxa"/>
            <w:vAlign w:val="bottom"/>
          </w:tcPr>
          <w:p>
            <w:pPr>
              <w:ind w:left="120"/>
              <w:spacing w:after="0"/>
              <w:rPr>
                <w:sz w:val="20"/>
                <w:szCs w:val="20"/>
                <w:color w:val="auto"/>
              </w:rPr>
            </w:pPr>
            <w:r>
              <w:rPr>
                <w:rFonts w:ascii="Arial" w:cs="Arial" w:eastAsia="Arial" w:hAnsi="Arial"/>
                <w:sz w:val="14"/>
                <w:szCs w:val="14"/>
                <w:color w:val="auto"/>
              </w:rPr>
              <w:t>revenues</w:t>
            </w:r>
          </w:p>
        </w:tc>
        <w:tc>
          <w:tcPr>
            <w:tcW w:w="780" w:type="dxa"/>
            <w:vAlign w:val="bottom"/>
          </w:tcPr>
          <w:p>
            <w:pPr>
              <w:ind w:left="120"/>
              <w:spacing w:after="0"/>
              <w:rPr>
                <w:sz w:val="20"/>
                <w:szCs w:val="20"/>
                <w:color w:val="auto"/>
              </w:rPr>
            </w:pPr>
            <w:r>
              <w:rPr>
                <w:rFonts w:ascii="Arial" w:cs="Arial" w:eastAsia="Arial" w:hAnsi="Arial"/>
                <w:sz w:val="14"/>
                <w:szCs w:val="14"/>
                <w:color w:val="auto"/>
              </w:rPr>
              <w:t>consisted</w:t>
            </w:r>
          </w:p>
        </w:tc>
        <w:tc>
          <w:tcPr>
            <w:tcW w:w="380" w:type="dxa"/>
            <w:vAlign w:val="bottom"/>
          </w:tcPr>
          <w:p>
            <w:pPr>
              <w:ind w:left="140"/>
              <w:spacing w:after="0"/>
              <w:rPr>
                <w:sz w:val="20"/>
                <w:szCs w:val="20"/>
                <w:color w:val="auto"/>
              </w:rPr>
            </w:pPr>
            <w:r>
              <w:rPr>
                <w:rFonts w:ascii="Arial" w:cs="Arial" w:eastAsia="Arial" w:hAnsi="Arial"/>
                <w:sz w:val="14"/>
                <w:szCs w:val="14"/>
                <w:color w:val="auto"/>
              </w:rPr>
              <w:t>of</w:t>
            </w:r>
          </w:p>
        </w:tc>
        <w:tc>
          <w:tcPr>
            <w:tcW w:w="440" w:type="dxa"/>
            <w:vAlign w:val="bottom"/>
          </w:tcPr>
          <w:p>
            <w:pPr>
              <w:ind w:left="140"/>
              <w:spacing w:after="0"/>
              <w:rPr>
                <w:sz w:val="20"/>
                <w:szCs w:val="20"/>
                <w:color w:val="auto"/>
              </w:rPr>
            </w:pPr>
            <w:r>
              <w:rPr>
                <w:rFonts w:ascii="Arial" w:cs="Arial" w:eastAsia="Arial" w:hAnsi="Arial"/>
                <w:sz w:val="14"/>
                <w:szCs w:val="14"/>
                <w:color w:val="auto"/>
              </w:rPr>
              <w:t>the</w:t>
            </w:r>
          </w:p>
        </w:tc>
        <w:tc>
          <w:tcPr>
            <w:tcW w:w="800" w:type="dxa"/>
            <w:vAlign w:val="bottom"/>
            <w:gridSpan w:val="2"/>
          </w:tcPr>
          <w:p>
            <w:pPr>
              <w:jc w:val="right"/>
              <w:ind w:right="49"/>
              <w:spacing w:after="0"/>
              <w:rPr>
                <w:sz w:val="20"/>
                <w:szCs w:val="20"/>
                <w:color w:val="auto"/>
              </w:rPr>
            </w:pPr>
            <w:r>
              <w:rPr>
                <w:rFonts w:ascii="Arial" w:cs="Arial" w:eastAsia="Arial" w:hAnsi="Arial"/>
                <w:sz w:val="14"/>
                <w:szCs w:val="14"/>
                <w:color w:val="auto"/>
              </w:rPr>
              <w:t>following</w:t>
            </w:r>
          </w:p>
        </w:tc>
        <w:tc>
          <w:tcPr>
            <w:tcW w:w="320" w:type="dxa"/>
            <w:vAlign w:val="bottom"/>
          </w:tcPr>
          <w:p>
            <w:pPr>
              <w:ind w:left="140"/>
              <w:spacing w:after="0"/>
              <w:rPr>
                <w:sz w:val="20"/>
                <w:szCs w:val="20"/>
                <w:color w:val="auto"/>
              </w:rPr>
            </w:pPr>
            <w:r>
              <w:rPr>
                <w:rFonts w:ascii="Arial" w:cs="Arial" w:eastAsia="Arial" w:hAnsi="Arial"/>
                <w:sz w:val="14"/>
                <w:szCs w:val="14"/>
                <w:color w:val="auto"/>
                <w:w w:val="97"/>
              </w:rPr>
              <w:t>for</w:t>
            </w:r>
          </w:p>
        </w:tc>
        <w:tc>
          <w:tcPr>
            <w:tcW w:w="420" w:type="dxa"/>
            <w:vAlign w:val="bottom"/>
          </w:tcPr>
          <w:p>
            <w:pPr>
              <w:jc w:val="right"/>
              <w:spacing w:after="0"/>
              <w:rPr>
                <w:sz w:val="20"/>
                <w:szCs w:val="20"/>
                <w:color w:val="auto"/>
              </w:rPr>
            </w:pPr>
            <w:r>
              <w:rPr>
                <w:rFonts w:ascii="Arial" w:cs="Arial" w:eastAsia="Arial" w:hAnsi="Arial"/>
                <w:sz w:val="14"/>
                <w:szCs w:val="14"/>
                <w:color w:val="auto"/>
              </w:rPr>
              <w:t>the</w:t>
            </w: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three</w:t>
            </w:r>
          </w:p>
        </w:tc>
        <w:tc>
          <w:tcPr>
            <w:tcW w:w="480" w:type="dxa"/>
            <w:vAlign w:val="bottom"/>
          </w:tcPr>
          <w:p>
            <w:pPr>
              <w:jc w:val="right"/>
              <w:ind w:right="69"/>
              <w:spacing w:after="0"/>
              <w:rPr>
                <w:sz w:val="20"/>
                <w:szCs w:val="20"/>
                <w:color w:val="auto"/>
              </w:rPr>
            </w:pPr>
            <w:r>
              <w:rPr>
                <w:rFonts w:ascii="Arial" w:cs="Arial" w:eastAsia="Arial" w:hAnsi="Arial"/>
                <w:sz w:val="14"/>
                <w:szCs w:val="14"/>
                <w:color w:val="auto"/>
              </w:rPr>
              <w:t>and</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nine</w:t>
            </w: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months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w w:val="97"/>
              </w:rPr>
              <w:t>ended</w:t>
            </w:r>
          </w:p>
        </w:tc>
        <w:tc>
          <w:tcPr>
            <w:tcW w:w="880" w:type="dxa"/>
            <w:vAlign w:val="bottom"/>
          </w:tcPr>
          <w:p>
            <w:pPr>
              <w:ind w:left="140"/>
              <w:spacing w:after="0"/>
              <w:rPr>
                <w:sz w:val="20"/>
                <w:szCs w:val="20"/>
                <w:color w:val="auto"/>
              </w:rPr>
            </w:pPr>
            <w:r>
              <w:rPr>
                <w:rFonts w:ascii="Arial" w:cs="Arial" w:eastAsia="Arial" w:hAnsi="Arial"/>
                <w:sz w:val="14"/>
                <w:szCs w:val="14"/>
                <w:color w:val="auto"/>
              </w:rPr>
              <w:t>September</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Pr>
          <w:p>
            <w:pPr>
              <w:jc w:val="right"/>
              <w:spacing w:after="0"/>
              <w:rPr>
                <w:sz w:val="20"/>
                <w:szCs w:val="20"/>
                <w:color w:val="auto"/>
              </w:rPr>
            </w:pPr>
            <w:r>
              <w:rPr>
                <w:rFonts w:ascii="Arial" w:cs="Arial" w:eastAsia="Arial" w:hAnsi="Arial"/>
                <w:sz w:val="14"/>
                <w:szCs w:val="14"/>
                <w:color w:val="auto"/>
              </w:rPr>
              <w:t>and</w:t>
            </w:r>
          </w:p>
        </w:tc>
        <w:tc>
          <w:tcPr>
            <w:tcW w:w="54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02"/>
        </w:trPr>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7"/>
                <w:szCs w:val="17"/>
                <w:color w:val="auto"/>
              </w:rPr>
            </w:pPr>
          </w:p>
        </w:tc>
        <w:tc>
          <w:tcPr>
            <w:tcW w:w="2240" w:type="dxa"/>
            <w:vAlign w:val="bottom"/>
            <w:gridSpan w:val="7"/>
          </w:tcPr>
          <w:p>
            <w:pPr>
              <w:ind w:left="100"/>
              <w:spacing w:after="0"/>
              <w:rPr>
                <w:sz w:val="20"/>
                <w:szCs w:val="20"/>
                <w:color w:val="auto"/>
              </w:rPr>
            </w:pPr>
            <w:r>
              <w:rPr>
                <w:rFonts w:ascii="Arial" w:cs="Arial" w:eastAsia="Arial" w:hAnsi="Arial"/>
                <w:sz w:val="14"/>
                <w:szCs w:val="14"/>
                <w:b w:val="1"/>
                <w:bCs w:val="1"/>
                <w:color w:val="auto"/>
                <w:w w:val="92"/>
              </w:rPr>
              <w:t>Nine months ended September 30,</w:t>
            </w:r>
          </w:p>
        </w:tc>
        <w:tc>
          <w:tcPr>
            <w:tcW w:w="540" w:type="dxa"/>
            <w:vAlign w:val="bottom"/>
          </w:tcPr>
          <w:p>
            <w:pPr>
              <w:spacing w:after="0"/>
              <w:rPr>
                <w:sz w:val="17"/>
                <w:szCs w:val="17"/>
                <w:color w:val="auto"/>
              </w:rPr>
            </w:pPr>
          </w:p>
        </w:tc>
      </w:tr>
      <w:tr>
        <w:trPr>
          <w:trHeight w:val="171"/>
        </w:trPr>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3"/>
              </w:rPr>
              <w:t>2021</w:t>
            </w:r>
          </w:p>
        </w:tc>
        <w:tc>
          <w:tcPr>
            <w:tcW w:w="5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4"/>
                <w:szCs w:val="14"/>
                <w:color w:val="auto"/>
              </w:rPr>
            </w:pPr>
          </w:p>
        </w:tc>
      </w:tr>
      <w:tr>
        <w:trPr>
          <w:trHeight w:val="160"/>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0"/>
        </w:trPr>
        <w:tc>
          <w:tcPr>
            <w:tcW w:w="2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4"/>
                <w:szCs w:val="14"/>
                <w:color w:val="auto"/>
              </w:rPr>
              <w:t>Kristalose</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4,012,746</w:t>
            </w:r>
          </w:p>
        </w:tc>
        <w:tc>
          <w:tcPr>
            <w:tcW w:w="14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3,615,557</w:t>
            </w:r>
          </w:p>
        </w:tc>
        <w:tc>
          <w:tcPr>
            <w:tcW w:w="12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12,286,729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4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10,387,046</w:t>
            </w:r>
          </w:p>
        </w:tc>
      </w:tr>
      <w:tr>
        <w:trPr>
          <w:trHeight w:val="181"/>
        </w:trPr>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Vibativ</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1,896,584</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2,813,249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8,799,891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8,551,125</w:t>
            </w:r>
          </w:p>
        </w:tc>
      </w:tr>
      <w:tr>
        <w:trPr>
          <w:trHeight w:val="180"/>
        </w:trPr>
        <w:tc>
          <w:tcPr>
            <w:tcW w:w="2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4"/>
                <w:szCs w:val="14"/>
                <w:color w:val="auto"/>
              </w:rPr>
              <w:t>Caldolor</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1,255,669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1,416,146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3,734,273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3,677,434</w:t>
            </w:r>
          </w:p>
        </w:tc>
      </w:tr>
      <w:tr>
        <w:trPr>
          <w:trHeight w:val="181"/>
        </w:trPr>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Vaprisol</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325,774</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406,162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1,861,130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790,817</w:t>
            </w:r>
          </w:p>
        </w:tc>
      </w:tr>
      <w:tr>
        <w:trPr>
          <w:trHeight w:val="180"/>
        </w:trPr>
        <w:tc>
          <w:tcPr>
            <w:tcW w:w="2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4"/>
                <w:szCs w:val="14"/>
                <w:color w:val="auto"/>
              </w:rPr>
              <w:t>Acetadote</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368,733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218,462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638,704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1,527,173</w:t>
            </w:r>
          </w:p>
        </w:tc>
      </w:tr>
      <w:tr>
        <w:trPr>
          <w:trHeight w:val="181"/>
        </w:trPr>
        <w:tc>
          <w:tcPr>
            <w:tcW w:w="2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4"/>
                <w:szCs w:val="14"/>
                <w:color w:val="auto"/>
                <w:w w:val="96"/>
              </w:rPr>
              <w:t>Omeclamox-Pak</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22,689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516,066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(451,683)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640,435</w:t>
            </w:r>
          </w:p>
        </w:tc>
      </w:tr>
      <w:tr>
        <w:trPr>
          <w:trHeight w:val="181"/>
        </w:trPr>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RediTrex</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11,459</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revenue</w:t>
            </w:r>
          </w:p>
        </w:tc>
        <w:tc>
          <w:tcPr>
            <w:tcW w:w="4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178,886</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265,047</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809,429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1,605,570</w:t>
            </w:r>
          </w:p>
        </w:tc>
      </w:tr>
      <w:tr>
        <w:trPr>
          <w:trHeight w:val="196"/>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8,072,540</w:t>
            </w: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9,250,689</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27,665,182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27,179,600</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Omeclamox-Pak revenue for the first, second and third quarter of 2021 was the result of Cumberland currently being out of commercial inventory of this product. The packager for our Omeclamox-Pak product encountered financial difficulties due to the impact of COVID-19. They are under new management and are in the process of a reorganization. Discussions with the packager are ongoing. In the third quarter of 2021, the amounts noted were normal adjustments by channel partners. Net revenue was negatively impacted by product returns during the periods.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Revenues</w:t>
      </w:r>
    </w:p>
    <w:p>
      <w:pPr>
        <w:spacing w:after="0" w:line="94"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w:t>
      </w:r>
    </w:p>
    <w:p>
      <w:pPr>
        <w:spacing w:after="0" w:line="1"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revenues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$0.02 million and $0.1 million for the three months ended September 30, 2021 and 2020, and $0.3 million and $0.7 million for the nine months ended September 30, 2021 and 2020,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INVENTORIES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The Company works closely with third parties to manufacture and package finished goods for sale. Based on the arrangements with the manufacturer or packager, the Company will either take title to</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3"/>
          <w:szCs w:val="13"/>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September 30, 2021 and December 31, 2020, the Company had recognized and maintained cumulative net realizable value charges for potential obsolescence and discontinuance losses of approximately $0.3 million and $0.2 million, respectively.</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The Company is responsible for the purchase of the active pharmaceutical ingredient (“API”) for Kristalose and maintains the inventory at third-party packagers. As that API is consumed in production, the value of the API is transferred from raw materials to finished goods. API for the Company's Vaprisol brand is also included in the raw materials inventory at September 30, 2021 and</w:t>
      </w:r>
    </w:p>
    <w:p>
      <w:pPr>
        <w:spacing w:after="0"/>
        <w:rPr>
          <w:sz w:val="20"/>
          <w:szCs w:val="20"/>
          <w:color w:val="auto"/>
        </w:rPr>
      </w:pPr>
      <w:r>
        <w:rPr>
          <w:rFonts w:ascii="Arial" w:cs="Arial" w:eastAsia="Arial" w:hAnsi="Arial"/>
          <w:sz w:val="14"/>
          <w:szCs w:val="14"/>
          <w:color w:val="auto"/>
        </w:rPr>
        <w:t>December 31, 2020. Consigned inventory represents Authorized Generic inventory stored with Perrigo until shipment.</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part of the Vibativ acquisition, Cumberland acquired API and work in process inventories of $15.6 million that were all initially classified as non-current inventories at the date of acquisition. At September 30, 2021 and December 31, 2020, total non-current inventory, including Vibativ and ifetroban, was $9.5 million and $11.7 million, respectively. The Company had $0.2 million and $2.1 million of Vibativ finished goods included in non-current inventory at September 30, 2021 and December 31, 2020, respectively. The Company also has obtained $0.4 million of finished goods in non-current inventory for API related to its ifetroban clinical initiatives at September 30, 2021 and December 31, 2020.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20"/>
                <w:szCs w:val="20"/>
                <w:color w:val="auto"/>
              </w:rPr>
            </w:pPr>
            <w:r>
              <w:rPr>
                <w:rFonts w:ascii="Arial" w:cs="Arial" w:eastAsia="Arial" w:hAnsi="Arial"/>
                <w:sz w:val="14"/>
                <w:szCs w:val="14"/>
                <w:color w:val="auto"/>
              </w:rPr>
              <w:t>At September 30, 2021 and December 31, 2020 the Company's net inventories consisted of the following:</w:t>
            </w: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02"/>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7"/>
                <w:szCs w:val="17"/>
                <w:color w:val="auto"/>
              </w:rPr>
            </w:pPr>
          </w:p>
        </w:tc>
        <w:tc>
          <w:tcPr>
            <w:tcW w:w="1900" w:type="dxa"/>
            <w:vAlign w:val="bottom"/>
          </w:tcPr>
          <w:p>
            <w:pPr>
              <w:jc w:val="right"/>
              <w:ind w:right="469"/>
              <w:spacing w:after="0"/>
              <w:rPr>
                <w:sz w:val="20"/>
                <w:szCs w:val="20"/>
                <w:color w:val="auto"/>
              </w:rPr>
            </w:pPr>
            <w:r>
              <w:rPr>
                <w:rFonts w:ascii="Arial" w:cs="Arial" w:eastAsia="Arial" w:hAnsi="Arial"/>
                <w:sz w:val="14"/>
                <w:szCs w:val="14"/>
                <w:b w:val="1"/>
                <w:bCs w:val="1"/>
                <w:color w:val="auto"/>
              </w:rPr>
              <w:t>December 31, 2020</w:t>
            </w:r>
          </w:p>
        </w:tc>
      </w:tr>
      <w:tr>
        <w:trPr>
          <w:trHeight w:val="108"/>
        </w:trPr>
        <w:tc>
          <w:tcPr>
            <w:tcW w:w="67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900" w:type="dxa"/>
            <w:vAlign w:val="bottom"/>
            <w:tcBorders>
              <w:top w:val="single" w:sz="8" w:color="auto"/>
            </w:tcBorders>
          </w:tcPr>
          <w:p>
            <w:pPr>
              <w:spacing w:after="0"/>
              <w:rPr>
                <w:sz w:val="9"/>
                <w:szCs w:val="9"/>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 and work in process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13,782,630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16,223,162</w:t>
            </w:r>
          </w:p>
        </w:tc>
      </w:tr>
      <w:tr>
        <w:trPr>
          <w:trHeight w:val="180"/>
        </w:trPr>
        <w:tc>
          <w:tcPr>
            <w:tcW w:w="6740" w:type="dxa"/>
            <w:vAlign w:val="bottom"/>
          </w:tcPr>
          <w:p>
            <w:pPr>
              <w:ind w:left="20"/>
              <w:spacing w:after="0"/>
              <w:rPr>
                <w:sz w:val="20"/>
                <w:szCs w:val="20"/>
                <w:color w:val="auto"/>
              </w:rPr>
            </w:pPr>
            <w:r>
              <w:rPr>
                <w:rFonts w:ascii="Arial" w:cs="Arial" w:eastAsia="Arial" w:hAnsi="Arial"/>
                <w:sz w:val="14"/>
                <w:szCs w:val="14"/>
                <w:color w:val="auto"/>
              </w:rPr>
              <w:t>Consigned inventory</w:t>
            </w: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144,583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128,005</w:t>
            </w:r>
          </w:p>
        </w:tc>
      </w:tr>
      <w:tr>
        <w:trPr>
          <w:trHeight w:val="181"/>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3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5,812,293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5,943,732</w:t>
            </w:r>
          </w:p>
        </w:tc>
      </w:tr>
      <w:tr>
        <w:trPr>
          <w:trHeight w:val="171"/>
        </w:trPr>
        <w:tc>
          <w:tcPr>
            <w:tcW w:w="6740" w:type="dxa"/>
            <w:vAlign w:val="bottom"/>
          </w:tcPr>
          <w:p>
            <w:pPr>
              <w:ind w:left="180"/>
              <w:spacing w:after="0"/>
              <w:rPr>
                <w:sz w:val="20"/>
                <w:szCs w:val="20"/>
                <w:color w:val="auto"/>
              </w:rPr>
            </w:pPr>
            <w:r>
              <w:rPr>
                <w:rFonts w:ascii="Arial" w:cs="Arial" w:eastAsia="Arial" w:hAnsi="Arial"/>
                <w:sz w:val="14"/>
                <w:szCs w:val="14"/>
                <w:color w:val="auto"/>
              </w:rPr>
              <w:t>Total inventories</w:t>
            </w:r>
          </w:p>
        </w:tc>
        <w:tc>
          <w:tcPr>
            <w:tcW w:w="3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19,739,506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22,294,899</w:t>
            </w:r>
          </w:p>
        </w:tc>
      </w:tr>
      <w:tr>
        <w:trPr>
          <w:trHeight w:val="181"/>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non-current inventories</w:t>
            </w:r>
          </w:p>
        </w:tc>
        <w:tc>
          <w:tcPr>
            <w:tcW w:w="3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(9,476,737)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(11,656,742)</w:t>
            </w:r>
          </w:p>
        </w:tc>
      </w:tr>
      <w:tr>
        <w:trPr>
          <w:trHeight w:val="171"/>
        </w:trPr>
        <w:tc>
          <w:tcPr>
            <w:tcW w:w="6740" w:type="dxa"/>
            <w:vAlign w:val="bottom"/>
          </w:tcPr>
          <w:p>
            <w:pPr>
              <w:ind w:left="20"/>
              <w:spacing w:after="0"/>
              <w:rPr>
                <w:sz w:val="20"/>
                <w:szCs w:val="20"/>
                <w:color w:val="auto"/>
              </w:rPr>
            </w:pPr>
            <w:r>
              <w:rPr>
                <w:rFonts w:ascii="Arial" w:cs="Arial" w:eastAsia="Arial" w:hAnsi="Arial"/>
                <w:sz w:val="14"/>
                <w:szCs w:val="14"/>
                <w:color w:val="auto"/>
              </w:rPr>
              <w:t>Total inventories classified as current</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10,262,769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10,638,157</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(5) LEASES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Cumberland’s significant operating leases include the lease of approximately 25,500 square feet of office space in Nashville, Tennessee for its corporate headquarters. This lease currently expires in October 2022. The Company's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September 30, 2021 is 1.2 years.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gridSpan w:val="2"/>
          </w:tcPr>
          <w:p>
            <w:pPr>
              <w:spacing w:after="0"/>
              <w:rPr>
                <w:sz w:val="20"/>
                <w:szCs w:val="20"/>
                <w:color w:val="auto"/>
              </w:rPr>
            </w:pPr>
            <w:r>
              <w:rPr>
                <w:rFonts w:ascii="Arial" w:cs="Arial" w:eastAsia="Arial" w:hAnsi="Arial"/>
                <w:sz w:val="14"/>
                <w:szCs w:val="14"/>
                <w:i w:val="1"/>
                <w:iCs w:val="1"/>
                <w:color w:val="auto"/>
              </w:rPr>
              <w:t>Lease Position</w:t>
            </w: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55"/>
        </w:trPr>
        <w:tc>
          <w:tcPr>
            <w:tcW w:w="6720" w:type="dxa"/>
            <w:vAlign w:val="bottom"/>
            <w:gridSpan w:val="2"/>
          </w:tcPr>
          <w:p>
            <w:pPr>
              <w:spacing w:after="0"/>
              <w:rPr>
                <w:sz w:val="20"/>
                <w:szCs w:val="20"/>
                <w:color w:val="auto"/>
              </w:rPr>
            </w:pPr>
            <w:r>
              <w:rPr>
                <w:rFonts w:ascii="Arial" w:cs="Arial" w:eastAsia="Arial" w:hAnsi="Arial"/>
                <w:sz w:val="14"/>
                <w:szCs w:val="14"/>
                <w:color w:val="auto"/>
                <w:w w:val="99"/>
              </w:rPr>
              <w:t>At September 30, 2021 and December 31, 2020 , the Company's lease assets and liabilities were as follows:</w:t>
            </w:r>
          </w:p>
        </w:tc>
        <w:tc>
          <w:tcPr>
            <w:tcW w:w="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02"/>
        </w:trPr>
        <w:tc>
          <w:tcPr>
            <w:tcW w:w="6720" w:type="dxa"/>
            <w:vAlign w:val="bottom"/>
            <w:gridSpan w:val="2"/>
          </w:tcPr>
          <w:p>
            <w:pPr>
              <w:ind w:left="2680"/>
              <w:spacing w:after="0"/>
              <w:rPr>
                <w:sz w:val="20"/>
                <w:szCs w:val="20"/>
                <w:color w:val="auto"/>
              </w:rPr>
            </w:pPr>
            <w:r>
              <w:rPr>
                <w:rFonts w:ascii="Arial" w:cs="Arial" w:eastAsia="Arial" w:hAnsi="Arial"/>
                <w:sz w:val="14"/>
                <w:szCs w:val="14"/>
                <w:b w:val="1"/>
                <w:bCs w:val="1"/>
                <w:color w:val="auto"/>
              </w:rPr>
              <w:t>Right-of-Use Assets</w:t>
            </w:r>
          </w:p>
        </w:tc>
        <w:tc>
          <w:tcPr>
            <w:tcW w:w="280" w:type="dxa"/>
            <w:vAlign w:val="bottom"/>
          </w:tcPr>
          <w:p>
            <w:pPr>
              <w:spacing w:after="0"/>
              <w:rPr>
                <w:sz w:val="17"/>
                <w:szCs w:val="17"/>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Pr>
          <w:p>
            <w:pPr>
              <w:spacing w:after="0"/>
              <w:rPr>
                <w:sz w:val="17"/>
                <w:szCs w:val="17"/>
                <w:color w:val="auto"/>
              </w:rPr>
            </w:pPr>
          </w:p>
        </w:tc>
        <w:tc>
          <w:tcPr>
            <w:tcW w:w="1880" w:type="dxa"/>
            <w:vAlign w:val="bottom"/>
          </w:tcPr>
          <w:p>
            <w:pPr>
              <w:jc w:val="right"/>
              <w:ind w:right="449"/>
              <w:spacing w:after="0"/>
              <w:rPr>
                <w:sz w:val="20"/>
                <w:szCs w:val="20"/>
                <w:color w:val="auto"/>
              </w:rPr>
            </w:pPr>
            <w:r>
              <w:rPr>
                <w:rFonts w:ascii="Arial" w:cs="Arial" w:eastAsia="Arial" w:hAnsi="Arial"/>
                <w:sz w:val="14"/>
                <w:szCs w:val="14"/>
                <w:b w:val="1"/>
                <w:bCs w:val="1"/>
                <w:color w:val="auto"/>
              </w:rPr>
              <w:t>December 31, 2020</w:t>
            </w:r>
          </w:p>
        </w:tc>
      </w:tr>
      <w:tr>
        <w:trPr>
          <w:trHeight w:val="171"/>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1,282,275</w:t>
            </w: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2,028,148</w:t>
            </w:r>
          </w:p>
        </w:tc>
      </w:tr>
      <w:tr>
        <w:trPr>
          <w:trHeight w:val="341"/>
        </w:trPr>
        <w:tc>
          <w:tcPr>
            <w:tcW w:w="6720" w:type="dxa"/>
            <w:vAlign w:val="bottom"/>
            <w:gridSpan w:val="2"/>
          </w:tcPr>
          <w:p>
            <w:pPr>
              <w:ind w:left="2760"/>
              <w:spacing w:after="0"/>
              <w:rPr>
                <w:sz w:val="20"/>
                <w:szCs w:val="20"/>
                <w:color w:val="auto"/>
              </w:rPr>
            </w:pPr>
            <w:r>
              <w:rPr>
                <w:rFonts w:ascii="Arial" w:cs="Arial" w:eastAsia="Arial" w:hAnsi="Arial"/>
                <w:sz w:val="14"/>
                <w:szCs w:val="14"/>
                <w:b w:val="1"/>
                <w:bCs w:val="1"/>
                <w:color w:val="auto"/>
              </w:rPr>
              <w:t>Lease Liabilities</w:t>
            </w:r>
          </w:p>
        </w:tc>
        <w:tc>
          <w:tcPr>
            <w:tcW w:w="280" w:type="dxa"/>
            <w:vAlign w:val="bottom"/>
          </w:tcPr>
          <w:p>
            <w:pPr>
              <w:spacing w:after="0"/>
              <w:rPr>
                <w:sz w:val="24"/>
                <w:szCs w:val="2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Pr>
          <w:p>
            <w:pPr>
              <w:spacing w:after="0"/>
              <w:rPr>
                <w:sz w:val="24"/>
                <w:szCs w:val="24"/>
                <w:color w:val="auto"/>
              </w:rPr>
            </w:pPr>
          </w:p>
        </w:tc>
        <w:tc>
          <w:tcPr>
            <w:tcW w:w="1880" w:type="dxa"/>
            <w:vAlign w:val="bottom"/>
          </w:tcPr>
          <w:p>
            <w:pPr>
              <w:jc w:val="right"/>
              <w:ind w:right="449"/>
              <w:spacing w:after="0"/>
              <w:rPr>
                <w:sz w:val="20"/>
                <w:szCs w:val="20"/>
                <w:color w:val="auto"/>
              </w:rPr>
            </w:pPr>
            <w:r>
              <w:rPr>
                <w:rFonts w:ascii="Arial" w:cs="Arial" w:eastAsia="Arial" w:hAnsi="Arial"/>
                <w:sz w:val="14"/>
                <w:szCs w:val="14"/>
                <w:b w:val="1"/>
                <w:bCs w:val="1"/>
                <w:color w:val="auto"/>
              </w:rPr>
              <w:t>December 31, 2020</w:t>
            </w:r>
          </w:p>
        </w:tc>
      </w:tr>
      <w:tr>
        <w:trPr>
          <w:trHeight w:val="171"/>
        </w:trPr>
        <w:tc>
          <w:tcPr>
            <w:tcW w:w="65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Operating lease current liabilities</w:t>
            </w: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1,094,187</w:t>
            </w: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1,016,779</w:t>
            </w:r>
          </w:p>
        </w:tc>
      </w:tr>
      <w:tr>
        <w:trPr>
          <w:trHeight w:val="85"/>
        </w:trPr>
        <w:tc>
          <w:tcPr>
            <w:tcW w:w="672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tcPr>
          <w:p>
            <w:pPr>
              <w:spacing w:after="0"/>
              <w:rPr>
                <w:sz w:val="7"/>
                <w:szCs w:val="7"/>
                <w:color w:val="auto"/>
              </w:rPr>
            </w:pPr>
          </w:p>
        </w:tc>
      </w:tr>
      <w:tr>
        <w:trPr>
          <w:trHeight w:val="180"/>
        </w:trPr>
        <w:tc>
          <w:tcPr>
            <w:tcW w:w="6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Operating lease noncurrent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229,605</w:t>
            </w:r>
          </w:p>
        </w:tc>
        <w:tc>
          <w:tcPr>
            <w:tcW w:w="1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1,059,693</w:t>
            </w:r>
          </w:p>
        </w:tc>
      </w:tr>
      <w:tr>
        <w:trPr>
          <w:trHeight w:val="171"/>
        </w:trPr>
        <w:tc>
          <w:tcPr>
            <w:tcW w:w="67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1,323,792</w:t>
            </w: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2,076,472</w:t>
            </w:r>
          </w:p>
        </w:tc>
      </w:tr>
      <w:tr>
        <w:trPr>
          <w:trHeight w:val="20"/>
        </w:trPr>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Cumulative future minimum sublease income under non-cancelable operating subleases totals approximately $0.1 million and will be paid through the leases ending in October 2022 and April 2023.</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Future minimum lease payments under non-cancelable operating leases (with initial or remaining lease terms in excess of one year)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80" w:type="dxa"/>
            <w:vAlign w:val="bottom"/>
            <w:gridSpan w:val="2"/>
          </w:tcPr>
          <w:p>
            <w:pPr>
              <w:ind w:left="2880"/>
              <w:spacing w:after="0"/>
              <w:rPr>
                <w:sz w:val="20"/>
                <w:szCs w:val="20"/>
                <w:color w:val="auto"/>
              </w:rPr>
            </w:pPr>
            <w:r>
              <w:rPr>
                <w:rFonts w:ascii="Arial" w:cs="Arial" w:eastAsia="Arial" w:hAnsi="Arial"/>
                <w:sz w:val="14"/>
                <w:szCs w:val="14"/>
                <w:b w:val="1"/>
                <w:bCs w:val="1"/>
                <w:color w:val="auto"/>
              </w:rPr>
              <w:t>Maturity of Lease Liabilities at September 30, 2021</w:t>
            </w:r>
          </w:p>
        </w:tc>
        <w:tc>
          <w:tcPr>
            <w:tcW w:w="340" w:type="dxa"/>
            <w:vAlign w:val="bottom"/>
          </w:tcPr>
          <w:p>
            <w:pPr>
              <w:spacing w:after="0"/>
              <w:rPr>
                <w:sz w:val="16"/>
                <w:szCs w:val="16"/>
                <w:color w:val="auto"/>
              </w:rPr>
            </w:pPr>
          </w:p>
        </w:tc>
        <w:tc>
          <w:tcPr>
            <w:tcW w:w="1860" w:type="dxa"/>
            <w:vAlign w:val="bottom"/>
          </w:tcPr>
          <w:p>
            <w:pPr>
              <w:jc w:val="right"/>
              <w:ind w:right="489"/>
              <w:spacing w:after="0"/>
              <w:rPr>
                <w:sz w:val="20"/>
                <w:szCs w:val="20"/>
                <w:color w:val="auto"/>
              </w:rPr>
            </w:pPr>
            <w:r>
              <w:rPr>
                <w:rFonts w:ascii="Arial" w:cs="Arial" w:eastAsia="Arial" w:hAnsi="Arial"/>
                <w:sz w:val="14"/>
                <w:szCs w:val="14"/>
                <w:b w:val="1"/>
                <w:bCs w:val="1"/>
                <w:color w:val="auto"/>
              </w:rPr>
              <w:t>Operating Leases</w:t>
            </w:r>
          </w:p>
        </w:tc>
      </w:tr>
      <w:tr>
        <w:trPr>
          <w:trHeight w:val="171"/>
        </w:trPr>
        <w:tc>
          <w:tcPr>
            <w:tcW w:w="8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295,038</w:t>
            </w:r>
          </w:p>
        </w:tc>
      </w:tr>
      <w:tr>
        <w:trPr>
          <w:trHeight w:val="180"/>
        </w:trPr>
        <w:tc>
          <w:tcPr>
            <w:tcW w:w="886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1,019,313</w:t>
            </w:r>
          </w:p>
        </w:tc>
      </w:tr>
      <w:tr>
        <w:trPr>
          <w:trHeight w:val="181"/>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92,478</w:t>
            </w:r>
          </w:p>
        </w:tc>
      </w:tr>
      <w:tr>
        <w:trPr>
          <w:trHeight w:val="180"/>
        </w:trPr>
        <w:tc>
          <w:tcPr>
            <w:tcW w:w="9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After 2023</w:t>
            </w: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34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1,406,829</w:t>
            </w:r>
          </w:p>
        </w:tc>
      </w:tr>
      <w:tr>
        <w:trPr>
          <w:trHeight w:val="180"/>
        </w:trPr>
        <w:tc>
          <w:tcPr>
            <w:tcW w:w="9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Interest</w:t>
            </w: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83,037</w:t>
            </w:r>
          </w:p>
        </w:tc>
      </w:tr>
      <w:tr>
        <w:trPr>
          <w:trHeight w:val="196"/>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1,323,792</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Nine months ended September 30,</w:t>
            </w:r>
          </w:p>
        </w:tc>
        <w:tc>
          <w:tcPr>
            <w:tcW w:w="1260" w:type="dxa"/>
            <w:vAlign w:val="bottom"/>
            <w:tcBorders>
              <w:bottom w:val="single" w:sz="8" w:color="auto"/>
            </w:tcBorders>
          </w:tcPr>
          <w:p>
            <w:pPr>
              <w:spacing w:after="0"/>
              <w:rPr>
                <w:sz w:val="16"/>
                <w:szCs w:val="16"/>
                <w:color w:val="auto"/>
              </w:rPr>
            </w:pPr>
          </w:p>
        </w:tc>
      </w:tr>
      <w:tr>
        <w:trPr>
          <w:trHeight w:val="171"/>
        </w:trPr>
        <w:tc>
          <w:tcPr>
            <w:tcW w:w="66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jc w:val="right"/>
              <w:ind w:right="889"/>
              <w:spacing w:after="0"/>
              <w:rPr>
                <w:sz w:val="20"/>
                <w:szCs w:val="20"/>
                <w:color w:val="auto"/>
              </w:rPr>
            </w:pPr>
            <w:r>
              <w:rPr>
                <w:rFonts w:ascii="Arial" w:cs="Arial" w:eastAsia="Arial" w:hAnsi="Arial"/>
                <w:sz w:val="14"/>
                <w:szCs w:val="14"/>
                <w:b w:val="1"/>
                <w:bCs w:val="1"/>
                <w:color w:val="auto"/>
                <w:w w:val="89"/>
              </w:rPr>
              <w:t>2020</w:t>
            </w:r>
          </w:p>
        </w:tc>
      </w:tr>
      <w:tr>
        <w:trPr>
          <w:trHeight w:val="20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Rent expense</w:t>
            </w:r>
          </w:p>
        </w:tc>
        <w:tc>
          <w:tcPr>
            <w:tcW w:w="126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910,975</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871,441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6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126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526,868</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491,391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(6) SHAREHOLDERS’ EQUITY AND DEBT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nine months ended September 30, 2021 and September 30, 2020, the Company repurchased 326,537 shares and 407,683 shares, respectively, of common stock for approximately $1.0 million and $1.5 million, respectively. At September 30, 2021, approximately $5.2 million of common shares was left to repurchase under this program.</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purchases and sales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Company's March 2021 trading window, several members of Cumberland's Board of Directors entered into share purchase agreements of the Company's stock pursuant to Rule 10b-18 of the Securities Exchange Act of 1934. These purchases are designed to increase ownership in the Company by the members of the Board.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Sales</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The Company does not currently have an ATM feature in place. Cumberland plans to continue to evaluate the market for its common shares, and if favorable, will further evaluate whether or not to enter into an ATM feature through B. Riley FBR, Inc. that would allow the Company to issue shares of its common stock. The Company did not issue any shares under an ATM during the nine months ended September 30, 2021 or September 30, 2020.</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 Grants and Incentive Stock Options</w:t>
      </w:r>
    </w:p>
    <w:p>
      <w:pPr>
        <w:spacing w:after="0" w:line="9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During the nine months ended September 30, 2021 and September 30, 2020, the Company issued 36,850 shares and 230,491 shares of restricted stock to employees and directors, respectively. Restricted stock issued to employees generally cliff-vests on the fourth anniversary of the date of grant and for directors on the one-year anniversary of the date of grant. During the nine months ended September 30, 2021, the Company also issued 174,800 incentive stock options to employees that cliff-vest on the fourth anniversary of the date of grant, that are set to expire in March and May 2031. Stock compensation expense is presented as a component of general and administrative expense in the condensed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Agreement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October 28, 2021, the Company and Pinnacle Bank entered into a Fourth Amendment to the Revolving Credit Note and Fifth Amendment ("Fifth Amendment") to the Revolving Credit Loan Agreement to renew the Revolving Credit Loan.</w:t>
      </w:r>
    </w:p>
    <w:p>
      <w:pPr>
        <w:spacing w:after="0" w:line="69"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original Pinnacle Agreement was dated July 2017. Beginning on August 14, 2018, and continuing until October 7, 2020, the Company and Pinnacle Bank entered into a series of amendments to extend and update the Revolving Credit Note and Revolving Credit Agreement. The most recent amendment dated October 28, 2021, extends the maturity date three years through October 1, 2024.</w:t>
      </w:r>
    </w:p>
    <w:p>
      <w:pPr>
        <w:spacing w:after="0" w:line="33"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Consistent with prior Amendments, the Fifth Amendment provides for a principal balance available for borrowing of up to $15 million. The Company has the right to request an increase of up to an additional $5 million providing a maximum principal available of up to $20 million upon the satisfaction of certain conditions and with the approval of Pinnacle Bank. Also consistent with prior Amendments, the Company is required to maintain either a Funded Debt Ratio covenant or a Tangible Capital Ratio covenant.</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interest rate on the Pinnacle Agreement is based on LIBOR plus an interest rate spread. The pricing under the Fourth Amendment provides for an interest rate spread of 1.75% to 2.75% above LIBOR with a minimum LIBOR of 0.90%. The applicable interest rate under the Pinnacle Agreement was 3.65% at September 30, 2021. In addition, a fee of 0.25% per year is charged on the unused line of credit. Interest and the unused line fee are payable quarterly.</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September 30, 2021 and December 31, 2020, the Company had $15.0 million in borrowings outstanding under its revolving credit facility. The Company was in compliance with the Tangible Capital Ratio financial covenant as of September 30, 2021.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Borrowings under the line of credit are collateralized by substantially all of our assets.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auto"/>
        </w:rPr>
        <w:t>Paycheck Protection Program Loan</w:t>
      </w:r>
    </w:p>
    <w:p>
      <w:pPr>
        <w:spacing w:after="0" w:line="11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On April 20, 2020, Cumberland received the funding of a loan from Pinnacle Bank in the amount of $2,187,140 pursuant to the Paycheck Protection Program (the “PPP”) under the Federal Coronavirus Aid, Relief, and Economic Security Act ("CARES Act"), which was enacted March 27, 2020. The PPP is administered by the U.S. Small Business Administration ("SBA").</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Pursuant to the PPP requirements, loan funds were used to maintain payroll, continue group health care benefits, and pay for rent and utilities during the pandemic. We applied for this loan after carefully considering, with our bank, the eligibility criteria to participate in this program, and determining that Cumberland met those criteria. We evaluated and provided information on our payroll and other qualifying expenses to determine the amount of PPP funds to apply for.</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Under the terms of the PPP, certain amounts of the loan may be forgiven if they are used for qualifying expenses as described in the CARES Act. Cumberland used the PPP loan funds for such qualifying expenses. Due to assistance from our PPP loan, the Company did not lay off or furlough any employees as a result of the COVID-19 pandemic.</w:t>
      </w:r>
    </w:p>
    <w:p>
      <w:pPr>
        <w:spacing w:after="0" w:line="6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Cumberland elected to account for the proceeds of the loan as a government grant under </w:t>
      </w:r>
      <w:r>
        <w:rPr>
          <w:rFonts w:ascii="Arial" w:cs="Arial" w:eastAsia="Arial" w:hAnsi="Arial"/>
          <w:sz w:val="13"/>
          <w:szCs w:val="13"/>
          <w:i w:val="1"/>
          <w:iCs w:val="1"/>
          <w:color w:val="auto"/>
        </w:rPr>
        <w:t>International Accounting Standard 20 ("IAS 20"), Accounting for Government Grants and Disclosure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Government Assistance. </w:t>
      </w:r>
      <w:r>
        <w:rPr>
          <w:rFonts w:ascii="Arial" w:cs="Arial" w:eastAsia="Arial" w:hAnsi="Arial"/>
          <w:sz w:val="13"/>
          <w:szCs w:val="13"/>
          <w:color w:val="auto"/>
        </w:rPr>
        <w:t>The permitted analogous use of IAS 20 outlines a model for the accounting for government assistance, including forgivable loans. As a result, the Company recorded the</w:t>
      </w:r>
      <w:r>
        <w:rPr>
          <w:rFonts w:ascii="Arial" w:cs="Arial" w:eastAsia="Arial" w:hAnsi="Arial"/>
          <w:sz w:val="13"/>
          <w:szCs w:val="13"/>
          <w:i w:val="1"/>
          <w:iCs w:val="1"/>
          <w:color w:val="auto"/>
        </w:rPr>
        <w:t xml:space="preserve"> </w:t>
      </w:r>
      <w:r>
        <w:rPr>
          <w:rFonts w:ascii="Arial" w:cs="Arial" w:eastAsia="Arial" w:hAnsi="Arial"/>
          <w:sz w:val="13"/>
          <w:szCs w:val="13"/>
          <w:color w:val="auto"/>
        </w:rPr>
        <w:t>$2,187,140 as a deferred income liability, which was included as a component of other current liabilities on the condensed consolidated balance sheet at December 31, 2020.</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October 2020, Cumberland submitted a request for the loan’s forgiveness. On June 11, 2021, the Company received a formal notice from the SBA that the full amount of the loan was forgiven. The Company accounted for the forgiveness of the PPP loan under IAS 20 and recorded the $2,187,140 as other income.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Joint Venture Agreement</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August 2020, Cumberland entered into an agreement with WinHealth Investment (Singapore) Ltd creating </w:t>
      </w:r>
      <w:r>
        <w:rPr>
          <w:rFonts w:ascii="Arial" w:cs="Arial" w:eastAsia="Arial" w:hAnsi="Arial"/>
          <w:sz w:val="14"/>
          <w:szCs w:val="14"/>
          <w:i w:val="1"/>
          <w:iCs w:val="1"/>
          <w:color w:val="auto"/>
        </w:rPr>
        <w:t>WHC Biopharmaceuticals, Pte. Ltd</w:t>
      </w:r>
      <w:r>
        <w:rPr>
          <w:rFonts w:ascii="Arial" w:cs="Arial" w:eastAsia="Arial" w:hAnsi="Arial"/>
          <w:sz w:val="14"/>
          <w:szCs w:val="14"/>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2021. The joint venture will seek additional future capital from additional investors and has entered into exclusive option agreements to license intellectual property from both Cumberland Pharmaceuticals Inc. and Cumberland Emerging Technologies.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INCOME TAXES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September 30, 2021, the Company has approximately $56.5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2021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COLLABORATIVE AGREEMENTS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Arial" w:cs="Arial" w:eastAsia="Arial" w:hAnsi="Arial"/>
          <w:sz w:val="14"/>
          <w:szCs w:val="14"/>
          <w:i w:val="1"/>
          <w:iCs w:val="1"/>
          <w:color w:val="auto"/>
        </w:rPr>
        <w:t>Collaborative Agreements</w:t>
      </w:r>
      <w:r>
        <w:rPr>
          <w:rFonts w:ascii="Arial" w:cs="Arial" w:eastAsia="Arial" w:hAnsi="Arial"/>
          <w:sz w:val="14"/>
          <w:szCs w:val="14"/>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(9) ADDITIONS AND RETURN OF PRODUCT RIGHTS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Vibativ</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of on-going net sales of the product.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changes in the fair value of the contingent consideration liability that is remeasured on a recurring basis. The contingent consideration earned and accrued in operating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expenses</w:t>
            </w:r>
          </w:p>
        </w:tc>
        <w:tc>
          <w:tcPr>
            <w:tcW w:w="1980" w:type="dxa"/>
            <w:vAlign w:val="bottom"/>
          </w:tcPr>
          <w:p>
            <w:pPr>
              <w:ind w:left="280"/>
              <w:spacing w:after="0"/>
              <w:rPr>
                <w:sz w:val="20"/>
                <w:szCs w:val="20"/>
                <w:color w:val="auto"/>
              </w:rPr>
            </w:pPr>
            <w:r>
              <w:rPr>
                <w:rFonts w:ascii="Arial" w:cs="Arial" w:eastAsia="Arial" w:hAnsi="Arial"/>
                <w:sz w:val="14"/>
                <w:szCs w:val="14"/>
                <w:color w:val="auto"/>
              </w:rPr>
              <w:t>is</w:t>
            </w:r>
          </w:p>
        </w:tc>
        <w:tc>
          <w:tcPr>
            <w:tcW w:w="1400" w:type="dxa"/>
            <w:vAlign w:val="bottom"/>
          </w:tcPr>
          <w:p>
            <w:pPr>
              <w:ind w:left="220"/>
              <w:spacing w:after="0"/>
              <w:rPr>
                <w:sz w:val="20"/>
                <w:szCs w:val="20"/>
                <w:color w:val="auto"/>
              </w:rPr>
            </w:pPr>
            <w:r>
              <w:rPr>
                <w:rFonts w:ascii="Arial" w:cs="Arial" w:eastAsia="Arial" w:hAnsi="Arial"/>
                <w:sz w:val="14"/>
                <w:szCs w:val="14"/>
                <w:color w:val="auto"/>
              </w:rPr>
              <w:t>paid</w:t>
            </w:r>
          </w:p>
        </w:tc>
        <w:tc>
          <w:tcPr>
            <w:tcW w:w="1900" w:type="dxa"/>
            <w:vAlign w:val="bottom"/>
          </w:tcPr>
          <w:p>
            <w:pPr>
              <w:ind w:left="880"/>
              <w:spacing w:after="0"/>
              <w:rPr>
                <w:sz w:val="20"/>
                <w:szCs w:val="20"/>
                <w:color w:val="auto"/>
              </w:rPr>
            </w:pPr>
            <w:r>
              <w:rPr>
                <w:rFonts w:ascii="Arial" w:cs="Arial" w:eastAsia="Arial" w:hAnsi="Arial"/>
                <w:sz w:val="14"/>
                <w:szCs w:val="14"/>
                <w:color w:val="auto"/>
              </w:rPr>
              <w:t>to</w:t>
            </w:r>
          </w:p>
        </w:tc>
        <w:tc>
          <w:tcPr>
            <w:tcW w:w="2540" w:type="dxa"/>
            <w:vAlign w:val="bottom"/>
            <w:gridSpan w:val="2"/>
          </w:tcPr>
          <w:p>
            <w:pPr>
              <w:jc w:val="right"/>
              <w:ind w:right="889"/>
              <w:spacing w:after="0"/>
              <w:rPr>
                <w:sz w:val="20"/>
                <w:szCs w:val="20"/>
                <w:color w:val="auto"/>
              </w:rPr>
            </w:pPr>
            <w:r>
              <w:rPr>
                <w:rFonts w:ascii="Arial" w:cs="Arial" w:eastAsia="Arial" w:hAnsi="Arial"/>
                <w:sz w:val="14"/>
                <w:szCs w:val="14"/>
                <w:color w:val="auto"/>
              </w:rPr>
              <w:t>Theravance</w:t>
            </w:r>
          </w:p>
        </w:tc>
        <w:tc>
          <w:tcPr>
            <w:tcW w:w="1400" w:type="dxa"/>
            <w:vAlign w:val="bottom"/>
          </w:tcPr>
          <w:p>
            <w:pPr>
              <w:jc w:val="right"/>
              <w:spacing w:after="0"/>
              <w:rPr>
                <w:sz w:val="20"/>
                <w:szCs w:val="20"/>
                <w:color w:val="auto"/>
              </w:rPr>
            </w:pPr>
            <w:r>
              <w:rPr>
                <w:rFonts w:ascii="Arial" w:cs="Arial" w:eastAsia="Arial" w:hAnsi="Arial"/>
                <w:sz w:val="14"/>
                <w:szCs w:val="14"/>
                <w:color w:val="auto"/>
              </w:rPr>
              <w:t>quarterly.</w:t>
            </w:r>
          </w:p>
        </w:tc>
      </w:tr>
      <w:tr>
        <w:trPr>
          <w:trHeight w:val="213"/>
        </w:trPr>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9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8,200,552</w:t>
            </w:r>
          </w:p>
        </w:tc>
      </w:tr>
      <w:tr>
        <w:trPr>
          <w:trHeight w:val="18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Cash payment of royalty during the period</w:t>
            </w:r>
          </w:p>
        </w:tc>
        <w:tc>
          <w:tcPr>
            <w:tcW w:w="1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(1,792,573)</w:t>
            </w:r>
          </w:p>
        </w:tc>
      </w:tr>
      <w:tr>
        <w:trPr>
          <w:trHeight w:val="181"/>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included in operating expenses</w:t>
            </w:r>
          </w:p>
        </w:tc>
        <w:tc>
          <w:tcPr>
            <w:tcW w:w="19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(632,646)</w:t>
            </w:r>
          </w:p>
        </w:tc>
      </w:tr>
      <w:tr>
        <w:trPr>
          <w:trHeight w:val="180"/>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w w:val="94"/>
              </w:rPr>
              <w:t>Contingent consideration earned and accrued in operating expenses</w:t>
            </w:r>
          </w:p>
        </w:tc>
        <w:tc>
          <w:tcPr>
            <w:tcW w:w="14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1,134,333</w:t>
            </w:r>
          </w:p>
        </w:tc>
      </w:tr>
      <w:tr>
        <w:trPr>
          <w:trHeight w:val="196"/>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19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6,909,666</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contingent consideration liability of $6.9 million was classified as other current liabilities of $2.6 million and other long-term liabilities of $4.3 million on the condensed consolidated balance sheet as of September 30, 2021.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color w:val="auto"/>
        </w:rPr>
        <w:t>RediTrex</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will take place in late 2021 will result in a $1.0 million milestone payment due to Nordic. This milestone payment will be paid during 2022 and is included as a current liability at September 30, 2021.</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Cumberland has approximately $2.7 million in net intangible assets related to RediTrex at September 30, 2021.</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Ethyol and Totect</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2016, Cumberland entered into an agreement with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Early in 2019, Cumberland announced a strategic review of the Company's brands, capabilities, and international partners. This review followed an accelerated business development initiative, which resulted in a series of transactions. During May 2019, Cumberland entered into the Dissolution Agreement with Clinigen in which the Company returned the exclusive rights to commercialize Ethyol and Totect in the United States to Clinigen. Under the final terms of the Dissolution Agreement, Cumberland was no longer responsible for the distribution, marketing and promotion of either Ethyol or Totect or any competing products after December 31, 2019. In exchange for the return of these product license rights and the non-compete provisions of the Dissolution Agreement, Cumberland is receiving $5 million in financial consideration paid in quarterly installments over the two-years following the transition date. Cumberland recorded the first four quarterly installments totaling $3.0 million during 2020 and the next three installments totaling $1.5 million during the nine months ended September 30, 2021, as discontinued operations. The Company will record the last remaining quarterly installment in the fourth quarter of 2021.</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exit from Ethyol and Totect meets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dissolution payments from Clinigen are reflected as revenue from discontinued operations. The Company does not incur expenses associated with these payments from Clinigen.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20" w:type="dxa"/>
            <w:vAlign w:val="bottom"/>
          </w:tcPr>
          <w:p>
            <w:pPr>
              <w:spacing w:after="0"/>
              <w:rPr>
                <w:sz w:val="14"/>
                <w:szCs w:val="14"/>
                <w:color w:val="auto"/>
              </w:rPr>
            </w:pPr>
          </w:p>
        </w:tc>
        <w:tc>
          <w:tcPr>
            <w:tcW w:w="2620" w:type="dxa"/>
            <w:vAlign w:val="bottom"/>
            <w:gridSpan w:val="4"/>
          </w:tcPr>
          <w:p>
            <w:pPr>
              <w:ind w:left="640"/>
              <w:spacing w:after="0"/>
              <w:rPr>
                <w:sz w:val="20"/>
                <w:szCs w:val="20"/>
                <w:color w:val="auto"/>
              </w:rPr>
            </w:pPr>
            <w:r>
              <w:rPr>
                <w:rFonts w:ascii="Arial" w:cs="Arial" w:eastAsia="Arial" w:hAnsi="Arial"/>
                <w:sz w:val="13"/>
                <w:szCs w:val="13"/>
                <w:b w:val="1"/>
                <w:bCs w:val="1"/>
                <w:color w:val="auto"/>
                <w:w w:val="88"/>
              </w:rPr>
              <w:t>Three months ended September 30,</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0" w:type="dxa"/>
            <w:vAlign w:val="bottom"/>
            <w:gridSpan w:val="4"/>
          </w:tcPr>
          <w:p>
            <w:pPr>
              <w:jc w:val="right"/>
              <w:ind w:right="591"/>
              <w:spacing w:after="0"/>
              <w:rPr>
                <w:sz w:val="20"/>
                <w:szCs w:val="20"/>
                <w:color w:val="auto"/>
              </w:rPr>
            </w:pPr>
            <w:r>
              <w:rPr>
                <w:rFonts w:ascii="Arial" w:cs="Arial" w:eastAsia="Arial" w:hAnsi="Arial"/>
                <w:sz w:val="13"/>
                <w:szCs w:val="13"/>
                <w:b w:val="1"/>
                <w:bCs w:val="1"/>
                <w:color w:val="auto"/>
                <w:w w:val="99"/>
              </w:rPr>
              <w:t>Nine months ended September 30,</w:t>
            </w:r>
          </w:p>
        </w:tc>
      </w:tr>
      <w:tr>
        <w:trPr>
          <w:trHeight w:val="172"/>
        </w:trPr>
        <w:tc>
          <w:tcPr>
            <w:tcW w:w="4920" w:type="dxa"/>
            <w:vAlign w:val="bottom"/>
          </w:tcPr>
          <w:p>
            <w:pPr>
              <w:spacing w:after="0"/>
              <w:rPr>
                <w:sz w:val="14"/>
                <w:szCs w:val="14"/>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2020</w:t>
            </w:r>
          </w:p>
        </w:tc>
      </w:tr>
      <w:tr>
        <w:trPr>
          <w:trHeight w:val="110"/>
        </w:trPr>
        <w:tc>
          <w:tcPr>
            <w:tcW w:w="4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96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496,787</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777,916</w:t>
            </w:r>
          </w:p>
        </w:tc>
        <w:tc>
          <w:tcPr>
            <w:tcW w:w="4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1,491,004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2,334,811</w:t>
            </w:r>
          </w:p>
        </w:tc>
      </w:tr>
      <w:tr>
        <w:trPr>
          <w:trHeight w:val="180"/>
        </w:trPr>
        <w:tc>
          <w:tcPr>
            <w:tcW w:w="4920" w:type="dxa"/>
            <w:vAlign w:val="bottom"/>
          </w:tcPr>
          <w:p>
            <w:pPr>
              <w:ind w:left="20"/>
              <w:spacing w:after="0"/>
              <w:rPr>
                <w:sz w:val="20"/>
                <w:szCs w:val="20"/>
                <w:color w:val="auto"/>
              </w:rPr>
            </w:pPr>
            <w:r>
              <w:rPr>
                <w:rFonts w:ascii="Arial" w:cs="Arial" w:eastAsia="Arial" w:hAnsi="Arial"/>
                <w:sz w:val="14"/>
                <w:szCs w:val="14"/>
                <w:color w:val="auto"/>
              </w:rPr>
              <w:t>Costs of products sold</w:t>
            </w:r>
          </w:p>
        </w:tc>
        <w:tc>
          <w:tcPr>
            <w:tcW w:w="9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Marketing and other</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920" w:type="dxa"/>
            <w:vAlign w:val="bottom"/>
          </w:tcPr>
          <w:p>
            <w:pPr>
              <w:ind w:left="20"/>
              <w:spacing w:after="0"/>
              <w:rPr>
                <w:sz w:val="20"/>
                <w:szCs w:val="20"/>
                <w:color w:val="auto"/>
              </w:rPr>
            </w:pPr>
            <w:r>
              <w:rPr>
                <w:rFonts w:ascii="Arial" w:cs="Arial" w:eastAsia="Arial" w:hAnsi="Arial"/>
                <w:sz w:val="14"/>
                <w:szCs w:val="14"/>
                <w:color w:val="auto"/>
              </w:rPr>
              <w:t>Income from discontinued operations</w:t>
            </w: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496,787</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777,916</w:t>
            </w:r>
          </w:p>
        </w:tc>
        <w:tc>
          <w:tcPr>
            <w:tcW w:w="40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1,491,004</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2,334,811</w:t>
            </w: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93"/>
        </w:trPr>
        <w:tc>
          <w:tcPr>
            <w:tcW w:w="4920" w:type="dxa"/>
            <w:vAlign w:val="bottom"/>
          </w:tcPr>
          <w:p>
            <w:pPr>
              <w:spacing w:after="0"/>
              <w:rPr>
                <w:sz w:val="24"/>
                <w:szCs w:val="24"/>
                <w:color w:val="auto"/>
              </w:rPr>
            </w:pPr>
          </w:p>
        </w:tc>
        <w:tc>
          <w:tcPr>
            <w:tcW w:w="960" w:type="dxa"/>
            <w:vAlign w:val="bottom"/>
          </w:tcPr>
          <w:p>
            <w:pPr>
              <w:ind w:left="660"/>
              <w:spacing w:after="0"/>
              <w:rPr>
                <w:sz w:val="20"/>
                <w:szCs w:val="20"/>
                <w:color w:val="auto"/>
              </w:rPr>
            </w:pPr>
            <w:r>
              <w:rPr>
                <w:rFonts w:ascii="Arial" w:cs="Arial" w:eastAsia="Arial" w:hAnsi="Arial"/>
                <w:sz w:val="14"/>
                <w:szCs w:val="14"/>
                <w:color w:val="auto"/>
              </w:rPr>
              <w:t>14</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7"/>
        </w:trPr>
        <w:tc>
          <w:tcPr>
            <w:tcW w:w="49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16" w:name="page17"/>
    <w:bookmarkEnd w:id="16"/>
    <w:p>
      <w:pPr>
        <w:ind w:right="5440"/>
        <w:spacing w:after="0" w:line="382" w:lineRule="auto"/>
        <w:rPr>
          <w:sz w:val="20"/>
          <w:szCs w:val="20"/>
          <w:color w:val="auto"/>
        </w:rPr>
      </w:pPr>
      <w:r>
        <w:rPr>
          <w:rFonts w:ascii="Arial" w:cs="Arial" w:eastAsia="Arial" w:hAnsi="Arial"/>
          <w:sz w:val="14"/>
          <w:szCs w:val="14"/>
          <w:b w:val="1"/>
          <w:bCs w:val="1"/>
          <w:color w:val="auto"/>
        </w:rPr>
        <w:t xml:space="preserve">Item 2. Management’s Discussion and Analysis of Financial Condition and Results of Operations </w:t>
      </w:r>
      <w:r>
        <w:rPr>
          <w:rFonts w:ascii="Arial" w:cs="Arial" w:eastAsia="Arial" w:hAnsi="Arial"/>
          <w:sz w:val="14"/>
          <w:szCs w:val="14"/>
          <w:i w:val="1"/>
          <w:iCs w:val="1"/>
          <w:color w:val="auto"/>
        </w:rPr>
        <w:t>Disclosure regarding forward-looking statements</w:t>
      </w:r>
    </w:p>
    <w:p>
      <w:pPr>
        <w:spacing w:after="0" w:line="1"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December 31, 2020,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7" w:name="page18"/>
    <w:bookmarkEnd w:id="17"/>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23"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Cumberland Pharmaceuticals Inc. (“Cumberland,” the “Company,” or as used in the context of “we,” “us,” or “our”), is a specialty pharmaceutical company focused on the acquisition, development and commercialization of branded prescription products. We are dedicated to providing innovative products that improve the quality of care for patients and address poorly met medical needs.</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primary target markets are hospital acute care, gastroenterology and rheumatology. These medical specialties are characterized by relatively concentrated prescriber bases that we believe can be served effectively by small, targeted sales forces. We promote our approved products through our hospital and field sales forces in the United States and are establishing a network of international partners to register and provide our medicines to patients in their countries.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Our portfolio of FDA approved brands include:</w:t>
      </w:r>
    </w:p>
    <w:p>
      <w:pPr>
        <w:spacing w:after="0" w:line="111" w:lineRule="exact"/>
        <w:rPr>
          <w:sz w:val="20"/>
          <w:szCs w:val="20"/>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Acetadote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acetylcysteine</w:t>
      </w:r>
      <w:r>
        <w:rPr>
          <w:rFonts w:ascii="Arial" w:cs="Arial" w:eastAsia="Arial" w:hAnsi="Arial"/>
          <w:sz w:val="14"/>
          <w:szCs w:val="14"/>
          <w:color w:val="auto"/>
        </w:rPr>
        <w:t>) Injection, for the treatment of acetaminophen poisoning;</w:t>
      </w:r>
    </w:p>
    <w:p>
      <w:pPr>
        <w:spacing w:after="0" w:line="76"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Caldolor</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ibuprofen</w:t>
      </w:r>
      <w:r>
        <w:rPr>
          <w:rFonts w:ascii="Arial" w:cs="Arial" w:eastAsia="Arial" w:hAnsi="Arial"/>
          <w:sz w:val="14"/>
          <w:szCs w:val="14"/>
          <w:color w:val="auto"/>
        </w:rPr>
        <w:t>) Injection, for the treatment of pain and fever;</w:t>
      </w:r>
    </w:p>
    <w:p>
      <w:pPr>
        <w:spacing w:after="0" w:line="79"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Kristalose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lactulose</w:t>
      </w:r>
      <w:r>
        <w:rPr>
          <w:rFonts w:ascii="Arial" w:cs="Arial" w:eastAsia="Arial" w:hAnsi="Arial"/>
          <w:sz w:val="14"/>
          <w:szCs w:val="14"/>
          <w:color w:val="auto"/>
        </w:rPr>
        <w:t>) for Oral Solution, a prescription laxative, for the treatment of constipation;</w:t>
      </w:r>
    </w:p>
    <w:p>
      <w:pPr>
        <w:spacing w:after="0" w:line="71"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Omeclamox</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-Pak</w:t>
      </w:r>
      <w:r>
        <w:rPr>
          <w:rFonts w:ascii="Arial" w:cs="Arial" w:eastAsia="Arial" w:hAnsi="Arial"/>
          <w:sz w:val="14"/>
          <w:szCs w:val="14"/>
          <w:color w:val="auto"/>
        </w:rPr>
        <w:t>, (</w:t>
      </w:r>
      <w:r>
        <w:rPr>
          <w:rFonts w:ascii="Arial" w:cs="Arial" w:eastAsia="Arial" w:hAnsi="Arial"/>
          <w:sz w:val="14"/>
          <w:szCs w:val="14"/>
          <w:i w:val="1"/>
          <w:iCs w:val="1"/>
          <w:color w:val="auto"/>
        </w:rPr>
        <w:t>omeprazole, clarithromycin, and amoxicillin</w:t>
      </w:r>
      <w:r>
        <w:rPr>
          <w:rFonts w:ascii="Arial" w:cs="Arial" w:eastAsia="Arial" w:hAnsi="Arial"/>
          <w:sz w:val="14"/>
          <w:szCs w:val="14"/>
          <w:color w:val="auto"/>
        </w:rPr>
        <w:t>) for the treatment of Helicobacter pylori (</w:t>
      </w:r>
      <w:r>
        <w:rPr>
          <w:rFonts w:ascii="Arial" w:cs="Arial" w:eastAsia="Arial" w:hAnsi="Arial"/>
          <w:sz w:val="14"/>
          <w:szCs w:val="14"/>
          <w:i w:val="1"/>
          <w:iCs w:val="1"/>
          <w:color w:val="auto"/>
        </w:rPr>
        <w:t>H. pylori</w:t>
      </w:r>
      <w:r>
        <w:rPr>
          <w:rFonts w:ascii="Arial" w:cs="Arial" w:eastAsia="Arial" w:hAnsi="Arial"/>
          <w:sz w:val="14"/>
          <w:szCs w:val="14"/>
          <w:color w:val="auto"/>
        </w:rPr>
        <w:t>) infection and related duodenal ulcer disease;</w:t>
      </w:r>
    </w:p>
    <w:p>
      <w:pPr>
        <w:spacing w:after="0" w:line="10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RediTrex</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methotrexate</w:t>
      </w:r>
      <w:r>
        <w:rPr>
          <w:rFonts w:ascii="Arial" w:cs="Arial" w:eastAsia="Arial" w:hAnsi="Arial"/>
          <w:sz w:val="14"/>
          <w:szCs w:val="14"/>
          <w:color w:val="auto"/>
        </w:rPr>
        <w:t>) Injection, for the treatment of active rheumatoid, juvenile idiopathic and severe psoriatic arthritis, as well as disabling psoriasis;</w:t>
      </w:r>
    </w:p>
    <w:p>
      <w:pPr>
        <w:spacing w:after="0" w:line="79"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Vaprisol</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conivaptan</w:t>
      </w:r>
      <w:r>
        <w:rPr>
          <w:rFonts w:ascii="Arial" w:cs="Arial" w:eastAsia="Arial" w:hAnsi="Arial"/>
          <w:sz w:val="14"/>
          <w:szCs w:val="14"/>
          <w:color w:val="auto"/>
        </w:rPr>
        <w:t>) Injection, to raise serum sodium levels in hospitalized patients with euvolemic and hypervolemic hyponatremia; and</w:t>
      </w:r>
    </w:p>
    <w:p>
      <w:pPr>
        <w:spacing w:after="0" w:line="71" w:lineRule="exact"/>
        <w:rPr>
          <w:rFonts w:ascii="Arial" w:cs="Arial" w:eastAsia="Arial" w:hAnsi="Arial"/>
          <w:sz w:val="14"/>
          <w:szCs w:val="14"/>
          <w:b w:val="1"/>
          <w:bCs w:val="1"/>
          <w:color w:val="auto"/>
        </w:rPr>
      </w:pPr>
    </w:p>
    <w:p>
      <w:pPr>
        <w:ind w:left="1020" w:hanging="251"/>
        <w:spacing w:after="0" w:line="230"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Vibativ</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telavancin</w:t>
      </w:r>
      <w:r>
        <w:rPr>
          <w:rFonts w:ascii="Arial" w:cs="Arial" w:eastAsia="Arial" w:hAnsi="Arial"/>
          <w:sz w:val="14"/>
          <w:szCs w:val="14"/>
          <w:color w:val="auto"/>
        </w:rPr>
        <w:t>) Injection, for the treatment of certain serious bacterial infections including hospital-acquired and ventilator-associated bacterial pneumonia, as well as</w:t>
      </w:r>
      <w:r>
        <w:rPr>
          <w:rFonts w:ascii="Arial" w:cs="Arial" w:eastAsia="Arial" w:hAnsi="Arial"/>
          <w:sz w:val="14"/>
          <w:szCs w:val="14"/>
          <w:b w:val="1"/>
          <w:bCs w:val="1"/>
          <w:color w:val="auto"/>
        </w:rPr>
        <w:t xml:space="preserve"> </w:t>
      </w:r>
      <w:r>
        <w:rPr>
          <w:rFonts w:ascii="Arial" w:cs="Arial" w:eastAsia="Arial" w:hAnsi="Arial"/>
          <w:sz w:val="14"/>
          <w:szCs w:val="14"/>
          <w:color w:val="auto"/>
        </w:rPr>
        <w:t>complicated skin and skin structure infections.</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to these commercial brands, we have Phase II clinical programs underway evaluating our ifetroban product candidates being used by patients with cardiomyopathy associated with Duchenne Muscular Dystrophy (“DMD”), a degenerative disease, Systemic Sclerosis (“SSc”), a deadly autoimmune condition, and Aspirin-Exacerbated Respiratory Disease (“AERD”), a severe form of asthma.</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Cumberland has built core competencies in both the development and commercialization of pharmaceutical products. We have established the capabilities needed to acquire, develop and commercialize branded pharmaceuticals in the U.S. and believe we can leverage this existing infrastructure to support our expected growth. Our management team consists of pharmaceutical industry veterans experienced in business development, product development, regulatory, manufacturing, sales, marketing and finance.</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business development team identifies, evaluates, and negotiates product acquisition, licensing and co-promotion agreements. Our product development team creates proprietary product formulations, manages our clinical studies, prepares all regulatory submissions and staffs our medical call center. Our quality and manufacturing professionals oversee the manufacturing, release and shipment of our products. Our marketing and sales team is responsible for our commercial activities, and we work closely with our distribution partners to ensure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Growth Strategy</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Cumberland's growth strategy involves maximizing the potential of our existing brands while continuing to build a portfolio of differentiated products. We currently feature seven FDA products</w:t>
      </w:r>
    </w:p>
    <w:p>
      <w:pPr>
        <w:spacing w:after="0" w:line="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approved for sale in the United States. Through our international partners, we are working to bring our medicines to patients in their countries. We also look for opportunities to expand our products into additional patient populations through clinical trials, new presentations and our support for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supplementing these activities with the earlier stage drug development at Cumberland Emerging Technologies (“CET”), our majority-owned subsidiary. CET partners with academic research institutions to identify and support the progress of promising new product candidates, which Cumberland has the opportunity to further develop and commercialize.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Specifically, we are seeking long-term sustainable growth by:</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Supporting and expanding the use of our marketed products </w:t>
      </w:r>
      <w:r>
        <w:rPr>
          <w:rFonts w:ascii="Arial" w:cs="Arial" w:eastAsia="Arial" w:hAnsi="Arial"/>
          <w:sz w:val="14"/>
          <w:szCs w:val="14"/>
          <w:color w:val="auto"/>
        </w:rPr>
        <w:t>- We continue to evaluate our products following their FDA approval to determine if additional clinical data could expand their</w:t>
      </w:r>
      <w:r>
        <w:rPr>
          <w:rFonts w:ascii="Arial" w:cs="Arial" w:eastAsia="Arial" w:hAnsi="Arial"/>
          <w:sz w:val="14"/>
          <w:szCs w:val="14"/>
          <w:b w:val="1"/>
          <w:bCs w:val="1"/>
          <w:color w:val="auto"/>
        </w:rPr>
        <w:t xml:space="preserve"> </w:t>
      </w:r>
      <w:r>
        <w:rPr>
          <w:rFonts w:ascii="Arial" w:cs="Arial" w:eastAsia="Arial" w:hAnsi="Arial"/>
          <w:sz w:val="14"/>
          <w:szCs w:val="14"/>
          <w:color w:val="auto"/>
        </w:rPr>
        <w:t>market and use. We will continue to explore opportunities for label expansion to bring our products to new patient populations. As examples, we have secured pediatric approval, expanding the labeling for both our Acetadote and Caldolor brands.</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 xml:space="preserve">Selectively adding complementary brands - </w:t>
      </w:r>
      <w:r>
        <w:rPr>
          <w:rFonts w:ascii="Arial" w:cs="Arial" w:eastAsia="Arial" w:hAnsi="Arial"/>
          <w:sz w:val="14"/>
          <w:szCs w:val="14"/>
          <w:color w:val="auto"/>
        </w:rPr>
        <w:t>In addition to our product development activities, we are also seeking to acquire products or late-stage development product candidates to continue</w:t>
      </w:r>
      <w:r>
        <w:rPr>
          <w:rFonts w:ascii="Arial" w:cs="Arial" w:eastAsia="Arial" w:hAnsi="Arial"/>
          <w:sz w:val="14"/>
          <w:szCs w:val="14"/>
          <w:b w:val="1"/>
          <w:bCs w:val="1"/>
          <w:color w:val="auto"/>
        </w:rPr>
        <w:t xml:space="preserve"> </w:t>
      </w:r>
      <w:r>
        <w:rPr>
          <w:rFonts w:ascii="Arial" w:cs="Arial" w:eastAsia="Arial" w:hAnsi="Arial"/>
          <w:sz w:val="14"/>
          <w:szCs w:val="14"/>
          <w:color w:val="auto"/>
        </w:rPr>
        <w:t>building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is an example of this strategy.</w:t>
      </w:r>
    </w:p>
    <w:p>
      <w:pPr>
        <w:spacing w:after="0" w:line="87"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color w:val="auto"/>
        </w:rPr>
        <w:t xml:space="preserve">Progressing our clinical pipeline and incubating future product opportunities at CET - </w:t>
      </w:r>
      <w:r>
        <w:rPr>
          <w:rFonts w:ascii="Arial" w:cs="Arial" w:eastAsia="Arial" w:hAnsi="Arial"/>
          <w:sz w:val="13"/>
          <w:szCs w:val="13"/>
          <w:color w:val="auto"/>
        </w:rPr>
        <w:t>We believe it is important to build a pipeline of innovative new product opportunities, such as we are</w:t>
      </w:r>
      <w:r>
        <w:rPr>
          <w:rFonts w:ascii="Arial" w:cs="Arial" w:eastAsia="Arial" w:hAnsi="Arial"/>
          <w:sz w:val="13"/>
          <w:szCs w:val="13"/>
          <w:b w:val="1"/>
          <w:bCs w:val="1"/>
          <w:color w:val="auto"/>
        </w:rPr>
        <w:t xml:space="preserve"> </w:t>
      </w:r>
      <w:r>
        <w:rPr>
          <w:rFonts w:ascii="Arial" w:cs="Arial" w:eastAsia="Arial" w:hAnsi="Arial"/>
          <w:sz w:val="13"/>
          <w:szCs w:val="13"/>
          <w:color w:val="auto"/>
        </w:rPr>
        <w:t>doing through our ifetroban Phase II development programs. We are also supplementing our acquisition and late-stage development activities with early-stage drug development activities at CET. CET partners with universities and other research organizations to develop promising, early-stage product candidates, which Cumberland has the opportunity to further develop and commercialize.</w:t>
      </w:r>
    </w:p>
    <w:p>
      <w:pPr>
        <w:spacing w:after="0" w:line="55"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Leveraging our infrastructure through co-promotion partnerships - </w:t>
      </w:r>
      <w:r>
        <w:rPr>
          <w:rFonts w:ascii="Arial" w:cs="Arial" w:eastAsia="Arial" w:hAnsi="Arial"/>
          <w:sz w:val="14"/>
          <w:szCs w:val="14"/>
          <w:color w:val="auto"/>
        </w:rPr>
        <w:t>We believe that our commercial infrastructure can help drive prescription volume and product sales. We look for strategic</w:t>
      </w:r>
      <w:r>
        <w:rPr>
          <w:rFonts w:ascii="Arial" w:cs="Arial" w:eastAsia="Arial" w:hAnsi="Arial"/>
          <w:sz w:val="14"/>
          <w:szCs w:val="14"/>
          <w:b w:val="1"/>
          <w:bCs w:val="1"/>
          <w:color w:val="auto"/>
        </w:rPr>
        <w:t xml:space="preserve"> </w:t>
      </w:r>
      <w:r>
        <w:rPr>
          <w:rFonts w:ascii="Arial" w:cs="Arial" w:eastAsia="Arial" w:hAnsi="Arial"/>
          <w:sz w:val="14"/>
          <w:szCs w:val="14"/>
          <w:color w:val="auto"/>
        </w:rPr>
        <w:t>partners that can complement our capabilities and enhance opportunities for our brands. For example, our co-promotion partnerships have allowed us to expand support for Kristalose across the United States.</w:t>
      </w:r>
    </w:p>
    <w:p>
      <w:pPr>
        <w:spacing w:after="0" w:line="83" w:lineRule="exact"/>
        <w:rPr>
          <w:sz w:val="20"/>
          <w:szCs w:val="20"/>
          <w:color w:val="auto"/>
        </w:rPr>
      </w:pPr>
    </w:p>
    <w:p>
      <w:pPr>
        <w:jc w:val="both"/>
        <w:spacing w:after="0" w:line="300" w:lineRule="auto"/>
        <w:rPr>
          <w:sz w:val="20"/>
          <w:szCs w:val="20"/>
          <w:color w:val="auto"/>
        </w:rPr>
      </w:pPr>
      <w:r>
        <w:rPr>
          <w:rFonts w:ascii="Arial" w:cs="Arial" w:eastAsia="Arial" w:hAnsi="Arial"/>
          <w:sz w:val="13"/>
          <w:szCs w:val="13"/>
          <w:b w:val="1"/>
          <w:bCs w:val="1"/>
          <w:color w:val="auto"/>
        </w:rPr>
        <w:t xml:space="preserve">Building an international market - </w:t>
      </w:r>
      <w:r>
        <w:rPr>
          <w:rFonts w:ascii="Arial" w:cs="Arial" w:eastAsia="Arial" w:hAnsi="Arial"/>
          <w:sz w:val="13"/>
          <w:szCs w:val="13"/>
          <w:color w:val="auto"/>
        </w:rPr>
        <w:t>We have established our own commercial capabilities, including two sales divisions, to cover the U.S. market for our products. We are also building a network of</w:t>
      </w:r>
      <w:r>
        <w:rPr>
          <w:rFonts w:ascii="Arial" w:cs="Arial" w:eastAsia="Arial" w:hAnsi="Arial"/>
          <w:sz w:val="13"/>
          <w:szCs w:val="13"/>
          <w:b w:val="1"/>
          <w:bCs w:val="1"/>
          <w:color w:val="auto"/>
        </w:rPr>
        <w:t xml:space="preserve"> </w:t>
      </w:r>
      <w:r>
        <w:rPr>
          <w:rFonts w:ascii="Arial" w:cs="Arial" w:eastAsia="Arial" w:hAnsi="Arial"/>
          <w:sz w:val="13"/>
          <w:szCs w:val="13"/>
          <w:color w:val="auto"/>
        </w:rPr>
        <w:t>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6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 xml:space="preserve">Managing our operations with financial discipline - </w:t>
      </w:r>
      <w:r>
        <w:rPr>
          <w:rFonts w:ascii="Arial" w:cs="Arial" w:eastAsia="Arial" w:hAnsi="Arial"/>
          <w:sz w:val="14"/>
          <w:szCs w:val="14"/>
          <w:color w:val="auto"/>
        </w:rPr>
        <w:t>We continually work to manage our expenses in line with our revenues in order to deliver positive cash flow from operations. We remain in a</w:t>
      </w:r>
      <w:r>
        <w:rPr>
          <w:rFonts w:ascii="Arial" w:cs="Arial" w:eastAsia="Arial" w:hAnsi="Arial"/>
          <w:sz w:val="14"/>
          <w:szCs w:val="14"/>
          <w:b w:val="1"/>
          <w:bCs w:val="1"/>
          <w:color w:val="auto"/>
        </w:rPr>
        <w:t xml:space="preserve"> </w:t>
      </w:r>
      <w:r>
        <w:rPr>
          <w:rFonts w:ascii="Arial" w:cs="Arial" w:eastAsia="Arial" w:hAnsi="Arial"/>
          <w:sz w:val="14"/>
          <w:szCs w:val="14"/>
          <w:color w:val="auto"/>
        </w:rPr>
        <w:t>strong financial position, with favorable gross margins and a strong balance sheet.</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were incorporated in 1999 and have been headquartered in Nashville, Tennessee since inception. During 2009, we completed an initial public offering of our common shares and listing on the Nasdaq stock exchange. Our website address is www.cumberlandpharma.com.</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We make available through our website our Annual Reports on Form 10-K, Quarterly Reports on Form 10-Q, Current Reports on Form 8-K and all material press releases and other reports as soon as reasonably practicable after their filing with the U.S. Securities and Exchange Commission, (“SEC”). These filings are also available to the public at </w:t>
      </w:r>
      <w:r>
        <w:rPr>
          <w:rFonts w:ascii="Arial" w:cs="Arial" w:eastAsia="Arial" w:hAnsi="Arial"/>
          <w:sz w:val="14"/>
          <w:szCs w:val="14"/>
          <w:color w:val="0000FF"/>
        </w:rPr>
        <w:t>www.sec.gov</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RECENT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Pandemic</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early 2020, the U.S. declared a health care emergency following the outbreak of SARS-CoV-2, a novel strain of coronavirus that causes COVID-19, a respiratory illness. The Company has managed through the resulting COVID-19 pandemic, continuing to operate our business – keeping facilities open and our organization intact. We moved quickly to ensure the health and safety of our team. We also maintained our ongoing compliance with the many laws and regulations that apply to us as a publicly traded pharmaceutical company.</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Throughout the pandemic, Cumberland faced the same challenges affecting other companies that rely on hospital admissions and patient visits to drive revenue. Our business and our clinical studies were impacted, as fewer patients sought elective surgeries and our access to medical facilities was substantially limited. We carefully monitored our supply chain, including the flow of raw materials and the batches of finished products emerging from the facilities that manufacture our products.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Several of our brands were negatively impacted by the lockdowns and postponement of physician office visits and elective procedures. However, we are fortunate to have a diversified product portfolio that includes other brands that have delivered a strong performance during the pandemic.</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Overall, we have been able to continue the delivery of our products while addressing the interests of our shareholders, employees, partners and community.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RediTrex Launch</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late 2019, we received approval from the U.S. Food and Drug Administration (“FDA”) for our New Drug Application for RediTrex, our methotrexate product line. RediTrex is a new line of pre-filled syringes specifically designed for ease of handling and dosing accuracy for the subcutaneous administration of methotrexate in patients with arthritis and psoriasis.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late 2020, we received initial product supplies and then provided shipments of RediTrex to select accounts. Due to the pandemic, we delayed the national launch of the product, which was implemented during the third quarter of 2021.</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RediTrex treats patients with severe, active rheumatoid arthritis, and polyarticular juvenile idiopathic arthritis who have difficulty tolerating or responding to orally delivered methotrexate. It is also approved for symptomatic control of severe, recalcitrant, disabling psoriasis in adults who are not adequately responsive to other forms of therapy.</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With more than 54 million Americans living with some form of arthritis, the disease is among the most common causes of work disability in the U.S., according to the CDC. The oral form of methotrexate is typically the first line of treatment for rheumatoid arthritis. As the disease progresses, the dose must be increased to stay effective, often causing intolerable gastrointestinal side effects. Injectable methotrexate has been proven to be more effective than oral delivery, with fewer gastrointestinal reactions. Because of the increased efficacy and tolerability, injectable methotrexate can delay the need to move to costly biologics, lowering overall patient treatment costs. Once disease progression requires the use of biologics, continuing the treatment of injectable methotrexate along with the biologic has been shown to increase overall efficacy.</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injectable methotrexate options available may not optimally meet the needs of arthritis patients who are offered either a vial and syringe for self-injection, or the use of an expensive autoinjector. The vial and syringe method can be difficult for a patient to handle due to limited dexterity in their hands. Additionally, obtaining the exact dose needed while preventing skin exposure to the caustic methotrexate can be quite challenging for many patients. The autoinjectors provide a better alternative to the vial and syringe, but they remove injection control from the patient and can be painful to administer. They are also the most expensive methotrexate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ESG Report</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July 2021, we released our second annual Sustainability Report (the "2020 Sustainability Report"), which details Cumberland’s activities pertaining to our environmental, social and governance (“ESG”) matters. After issuing our inaugural ESG report last year (the "2019 Sustainability Report"), we remain committed to sustainability and to maintaining transparency of our corporate operations. As the largest biopharmaceutical company founded and headquartered in the Mid-South, we hold ourselves to the highest standards of ethical practices and understand the importance of recognizing and addressing our impact on our constituents, the community and the environment.</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2020 Sustainability Report notes that in 2020 we provided nearly 2.5 million patient doses of our products, safely disposed of over 4,000 pounds of expired and damaged products and had no product recalls. We also had no Company brands listed on the FDA’s MedWatch Safety Alerts for Human Medical Products, no Company product issues identified by FDA from their Adverse Event Reporting System and no clinical trials terminated due to failure to practice good clinical standards.</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2020 Sustainability Report also highlights several initiatives we implemented as part of our commitment to delivering high-quality pharmaceutical products to improve patient care. For example, we continued a program to serialize all commercial products sold in the United States, allowing us to track every unit distributed, which helps to prevent counterfeit drugs from entering the market under the Cumberland brand. In addition, through our coupon program, Cumberland can cover up to 90% of patient prescription costs for our gastrointestinal products.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2020 Sustainability Report also highlights our investment in our employees through our continuing education programs, employee development initiatives and employee recognition awards.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Cumberland’s workforce is 46% women – and 18% of our employees are minorities.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Ifetroban Clinical Studies</w:t>
      </w:r>
    </w:p>
    <w:p>
      <w:pPr>
        <w:spacing w:after="0" w:line="129"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We have been evaluating our ifetroban product candidate in a series of clinical studies. We are sponsoring Phase II clinical programs to evaluate our ifetroban product candidates in 1) patients with cardiomyopathy associated with Duchenne Muscular Dystrophy, a rare, fatal, genetic neuromuscular disease that results in deterioration of the skeletal, heart and lung muscles, 2) Systemic Sclerosis or scleroderma, a debilitating autoimmune disorder characterized by diffuse fibrosis of the skin and internal organs and 3) Aspirin-Exacerbated Respiratory Disease, a severe form of asthma.</w:t>
      </w:r>
    </w:p>
    <w:p>
      <w:pPr>
        <w:spacing w:after="0" w:line="4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Enrollment in these clinical studies was interrupted due to the COVID-19 pandemic. However, many of our clinical study sites have reopened and resumed screening of patients for potential participation into our studies. We are awaiting results from the studies underway before deciding on the best development path for the registration of ifetroban, our first new chemical entity.</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September 2021, our Board of Directors approved a new clinical program for the use of ifetroban to treat Progressive Fibrosing Interstitial Lung Diseases (“PF-ILDs”). Nonclinical studies are complete, and the resulting manuscript has been prepared and submitted for publication. A Phase II clinical study is planned and an application to the FDA is in preparation to support this new clinical program.</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Additional pilot preclinical and clinical studies of ifetroban are underway, including several investigator-initiated trials.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Omeclamox-Pak Supply Update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has partnered with a select group of FDA-approved facilities to manufacture its line of branded pharmaceutical products and has been carefully monitoring its supply chain during the pandemic. The packager for our Omeclamox-Pak product encountered financial difficulties due to the impact of COVID-19, and their operations are currently suspended. We are awaiting the resumption of those operations, while also exploring other alternatives to restart the product’s packaging. Meanwhile, we informed the FDA of a shortage of the Omeclamox-Pak effective October 14, 2020 and have not provided a date for the availability of new inventory.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Renal Colic Study</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clinical trial studying the comparison of intravenous ibuprofen with injectable ketorolac in renal colic pain management demonstrated that ibuprofen is the more rapid-acting drug in controlling pain caused by kidney stones. The study also indicated that the complete relief from pain with ibuprofen was twice as much as that of ketorolac. The findings build upon a body of medical evidence supporting the use of our Caldolor product for the treatment of patient 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21" w:name="page22"/>
    <w:bookmarkEnd w:id="21"/>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Hyponatremia Publication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Health Outcome Predictive Evaluation</w:t>
      </w:r>
      <w:r>
        <w:rPr>
          <w:rFonts w:ascii="Arial" w:cs="Arial" w:eastAsia="Arial" w:hAnsi="Arial"/>
          <w:sz w:val="14"/>
          <w:szCs w:val="14"/>
          <w:color w:val="auto"/>
        </w:rPr>
        <w:t xml:space="preserve"> (HOPE) </w:t>
      </w:r>
      <w:r>
        <w:rPr>
          <w:rFonts w:ascii="Arial" w:cs="Arial" w:eastAsia="Arial" w:hAnsi="Arial"/>
          <w:sz w:val="14"/>
          <w:szCs w:val="14"/>
          <w:i w:val="1"/>
          <w:iCs w:val="1"/>
          <w:color w:val="auto"/>
        </w:rPr>
        <w:t>COVID-19 Registry Analysis</w:t>
      </w:r>
      <w:r>
        <w:rPr>
          <w:rFonts w:ascii="Arial" w:cs="Arial" w:eastAsia="Arial" w:hAnsi="Arial"/>
          <w:sz w:val="16"/>
          <w:szCs w:val="16"/>
          <w:i w:val="1"/>
          <w:iCs w:val="1"/>
          <w:color w:val="auto"/>
        </w:rPr>
        <w:t>,</w:t>
      </w:r>
      <w:r>
        <w:rPr>
          <w:rFonts w:ascii="Arial" w:cs="Arial" w:eastAsia="Arial" w:hAnsi="Arial"/>
          <w:sz w:val="14"/>
          <w:szCs w:val="14"/>
          <w:color w:val="auto"/>
        </w:rPr>
        <w:t xml:space="preserve"> an international study of over 4,000 patients published in November 2020, found that patients hospitalized with COVID-19 had a high risk of developing hyponatremia. These COVID-19 patients also had a higher incidence of mortality due to their hyponatremia. The study results support the use of an intravenous vaptan to treat hyponatremia in critically ill patients afflicted with COVID-19.</w:t>
      </w:r>
    </w:p>
    <w:p>
      <w:pPr>
        <w:spacing w:after="0" w:line="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Hyponatremia, an imbalance of serum sodium to body water, is the most common electrolyte disorder among hospitalized patients. Our Vaprisol product is one of two branded prescription products indicated for the treatment of hyponatremia, and the only intravenously administered branded treatment. Vaprisol has a proven day-1 response rate to normalize serum sodium levels in hyponatremic patients and move them out of the Intensive Care Unit as efficiently as possible.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Line of Credit</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October 28, 2021, we entered into an amendment to renew our Revolving Credit Loan Agreement with Pinnacle Bank. The amendment extended the term of the loan agreement for a three-year period ending in October 2024. The facility provides for a principal balance available for borrowing up to $15 million and an opportunity to request an increase in availability to $20 million. The interest rate on funds borrowed under the facility ranges from 30-day LIBOR plus 175 to 275 basis points depending on the funded debt ratio.</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Vibativ International Agreements</w:t>
      </w:r>
    </w:p>
    <w:p>
      <w:pPr>
        <w:spacing w:after="0" w:line="119" w:lineRule="exact"/>
        <w:rPr>
          <w:sz w:val="20"/>
          <w:szCs w:val="20"/>
          <w:color w:val="auto"/>
        </w:rPr>
      </w:pPr>
    </w:p>
    <w:p>
      <w:pPr>
        <w:ind w:left="520" w:hanging="260"/>
        <w:spacing w:after="0" w:line="28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August 25, 2021, we signed an agreement with Verity Pharmaceuticals International Limited to license and commercialize Vibativ in Puerto Rico. Verity is a specialty pharmaceutical company with commercial operations in the U.S. and Canada.</w:t>
      </w:r>
    </w:p>
    <w:p>
      <w:pPr>
        <w:spacing w:after="0" w:line="79" w:lineRule="exact"/>
        <w:rPr>
          <w:rFonts w:ascii="Arial" w:cs="Arial" w:eastAsia="Arial" w:hAnsi="Arial"/>
          <w:sz w:val="14"/>
          <w:szCs w:val="14"/>
          <w:color w:val="auto"/>
        </w:rPr>
      </w:pPr>
    </w:p>
    <w:p>
      <w:pPr>
        <w:jc w:val="both"/>
        <w:ind w:left="520"/>
        <w:spacing w:after="0" w:line="297" w:lineRule="auto"/>
        <w:rPr>
          <w:rFonts w:ascii="Arial" w:cs="Arial" w:eastAsia="Arial" w:hAnsi="Arial"/>
          <w:sz w:val="14"/>
          <w:szCs w:val="14"/>
          <w:color w:val="auto"/>
        </w:rPr>
      </w:pPr>
      <w:r>
        <w:rPr>
          <w:rFonts w:ascii="Arial" w:cs="Arial" w:eastAsia="Arial" w:hAnsi="Arial"/>
          <w:sz w:val="13"/>
          <w:szCs w:val="13"/>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 November 2018, Cumberland reached an agreement to acquire Vibativ from Theravance Biopharma and assume global responsibility for the product.</w:t>
      </w:r>
    </w:p>
    <w:p>
      <w:pPr>
        <w:spacing w:after="0" w:line="70" w:lineRule="exact"/>
        <w:rPr>
          <w:rFonts w:ascii="Arial" w:cs="Arial" w:eastAsia="Arial" w:hAnsi="Arial"/>
          <w:sz w:val="14"/>
          <w:szCs w:val="14"/>
          <w:color w:val="auto"/>
        </w:rPr>
      </w:pPr>
    </w:p>
    <w:p>
      <w:pPr>
        <w:jc w:val="both"/>
        <w:ind w:left="520" w:hanging="260"/>
        <w:spacing w:after="0" w:line="262"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SciClone Pharmaceuticals (Holdings) Limited has licensed our Vibativ product for sale and distribution in China. In February 2021, SciClone completed an initial public offering and listing of their shares on the Hong Kong stock exchange. In June 2021, SciClone submitted an application to the Chinese regulatory authority for the approval of Vibativ in that country. In October 2021, we were informed by SciClone that the filing was accepted by the regulatory agency for review. SciClone expects a review period of up to twelve months for their application and believes that the potential for Vibativ in China may be significant.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Despite the challenges of operating during a pandemic, Cumberland remains committed to our mission of providing innovative products that improve the quality of care for patients and address poorly met medical needs. We are working to fulfill this mission by building a portfolio of innovative and differentiated products through a multifaceted strategy that includes development of new candidates and acquisition of established brands. Our resulting, diversified product line has enabled us to weather external challenges, while our team has remained responsive to the evolving medical market. We are prepared for and look forward to future opportunities to carry out our 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9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2020 Annual Report on Form 10-K.</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Estimates and Judgments</w:t>
      </w:r>
    </w:p>
    <w:p>
      <w:pPr>
        <w:spacing w:after="0" w:line="9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These estimates, judgments and assumptions are most critical with respect to our accounting for revenue recognition, inventories, fair value of contingent consideration liability associated with a business combination, share-based compensation and intangible assets.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20"/>
                <w:szCs w:val="20"/>
                <w:color w:val="auto"/>
              </w:rPr>
            </w:pPr>
            <w:r>
              <w:rPr>
                <w:rFonts w:ascii="Arial" w:cs="Arial" w:eastAsia="Arial" w:hAnsi="Arial"/>
                <w:sz w:val="14"/>
                <w:szCs w:val="14"/>
                <w:b w:val="1"/>
                <w:bCs w:val="1"/>
                <w:color w:val="auto"/>
              </w:rPr>
              <w:t>RESULTS OF OPERATIONS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September 30, 2021 compared to the three months ended September 30, 2020</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460" w:type="dxa"/>
            <w:vAlign w:val="bottom"/>
            <w:gridSpan w:val="7"/>
          </w:tcPr>
          <w:p>
            <w:pPr>
              <w:spacing w:after="0"/>
              <w:rPr>
                <w:sz w:val="20"/>
                <w:szCs w:val="20"/>
                <w:color w:val="auto"/>
              </w:rPr>
            </w:pPr>
            <w:r>
              <w:rPr>
                <w:rFonts w:ascii="Arial" w:cs="Arial" w:eastAsia="Arial" w:hAnsi="Arial"/>
                <w:sz w:val="14"/>
                <w:szCs w:val="14"/>
                <w:color w:val="auto"/>
                <w:w w:val="95"/>
              </w:rPr>
              <w:t>The following table presents the unaudited interim statements of operations for continuing operations for the three months ended September 30, 2021 and 2020:</w:t>
            </w: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269"/>
              <w:spacing w:after="0"/>
              <w:rPr>
                <w:sz w:val="20"/>
                <w:szCs w:val="20"/>
                <w:color w:val="auto"/>
              </w:rPr>
            </w:pPr>
            <w:r>
              <w:rPr>
                <w:rFonts w:ascii="Arial" w:cs="Arial" w:eastAsia="Arial" w:hAnsi="Arial"/>
                <w:sz w:val="14"/>
                <w:szCs w:val="14"/>
                <w:b w:val="1"/>
                <w:bCs w:val="1"/>
                <w:color w:val="auto"/>
                <w:w w:val="90"/>
              </w:rPr>
              <w:t>Three months ended September 30,</w:t>
            </w: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4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8,072,540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9,250,689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(1,178,149)</w:t>
            </w:r>
          </w:p>
        </w:tc>
        <w:tc>
          <w:tcPr>
            <w:tcW w:w="0" w:type="dxa"/>
            <w:vAlign w:val="bottom"/>
          </w:tcPr>
          <w:p>
            <w:pPr>
              <w:spacing w:after="0"/>
              <w:rPr>
                <w:sz w:val="1"/>
                <w:szCs w:val="1"/>
                <w:color w:val="auto"/>
              </w:rPr>
            </w:pP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1,328,027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2,142,839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(814,812)</w:t>
            </w:r>
          </w:p>
        </w:tc>
        <w:tc>
          <w:tcPr>
            <w:tcW w:w="0" w:type="dxa"/>
            <w:vAlign w:val="bottom"/>
          </w:tcPr>
          <w:p>
            <w:pPr>
              <w:spacing w:after="0"/>
              <w:rPr>
                <w:sz w:val="1"/>
                <w:szCs w:val="1"/>
                <w:color w:val="auto"/>
              </w:rPr>
            </w:pP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Selling and marketing</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3,800,288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3,587,842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212,446</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1,453,873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1,230,335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223,538</w:t>
            </w:r>
          </w:p>
        </w:tc>
        <w:tc>
          <w:tcPr>
            <w:tcW w:w="0" w:type="dxa"/>
            <w:vAlign w:val="bottom"/>
          </w:tcPr>
          <w:p>
            <w:pPr>
              <w:spacing w:after="0"/>
              <w:rPr>
                <w:sz w:val="1"/>
                <w:szCs w:val="1"/>
                <w:color w:val="auto"/>
              </w:rPr>
            </w:pP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2,039,799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2,381,273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(341,474)</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1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1,013,948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1,117,086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(103,138)</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1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9,635,935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10,459,375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(823,440)</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(1,563,395)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(1,208,686)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(354,709)</w:t>
            </w:r>
          </w:p>
        </w:tc>
        <w:tc>
          <w:tcPr>
            <w:tcW w:w="0" w:type="dxa"/>
            <w:vAlign w:val="bottom"/>
          </w:tcPr>
          <w:p>
            <w:pPr>
              <w:spacing w:after="0"/>
              <w:rPr>
                <w:sz w:val="1"/>
                <w:szCs w:val="1"/>
                <w:color w:val="auto"/>
              </w:rPr>
            </w:pP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7,394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12,004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(4,610)</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(75,210)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55,189</w:t>
            </w:r>
          </w:p>
        </w:tc>
        <w:tc>
          <w:tcPr>
            <w:tcW w:w="0" w:type="dxa"/>
            <w:vAlign w:val="bottom"/>
          </w:tcPr>
          <w:p>
            <w:pPr>
              <w:spacing w:after="0"/>
              <w:rPr>
                <w:sz w:val="1"/>
                <w:szCs w:val="1"/>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(1,576,022)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(1,271,892)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(304,130)</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10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(1,583,480)</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(1,275,620)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(307,860)</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The following table summarizes net revenues by product for the periods presented:</w:t>
            </w: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269"/>
              <w:spacing w:after="0"/>
              <w:rPr>
                <w:sz w:val="20"/>
                <w:szCs w:val="20"/>
                <w:color w:val="auto"/>
              </w:rPr>
            </w:pPr>
            <w:r>
              <w:rPr>
                <w:rFonts w:ascii="Arial" w:cs="Arial" w:eastAsia="Arial" w:hAnsi="Arial"/>
                <w:sz w:val="14"/>
                <w:szCs w:val="14"/>
                <w:b w:val="1"/>
                <w:bCs w:val="1"/>
                <w:color w:val="auto"/>
                <w:w w:val="90"/>
              </w:rPr>
              <w:t>Three months ended September 30,</w:t>
            </w: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4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0"/>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Arial" w:cs="Arial" w:eastAsia="Arial" w:hAnsi="Arial"/>
                <w:sz w:val="14"/>
                <w:szCs w:val="14"/>
                <w:color w:val="auto"/>
              </w:rPr>
              <w:t>Kristalose</w:t>
            </w:r>
          </w:p>
        </w:tc>
        <w:tc>
          <w:tcPr>
            <w:tcW w:w="1100" w:type="dxa"/>
            <w:vAlign w:val="bottom"/>
          </w:tcPr>
          <w:p>
            <w:pPr>
              <w:jc w:val="right"/>
              <w:ind w:right="949"/>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4,012,746</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3,615,557</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397,189</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Vibativ</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1,896,584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2,813,249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(916,665)</w:t>
            </w: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Arial" w:cs="Arial" w:eastAsia="Arial" w:hAnsi="Arial"/>
                <w:sz w:val="14"/>
                <w:szCs w:val="14"/>
                <w:color w:val="auto"/>
              </w:rPr>
              <w:t>Caldolor</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1,255,669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1,416,146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(160,477)</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Vaprisol</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325,774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406,162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(80,388)</w:t>
            </w: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Arial" w:cs="Arial" w:eastAsia="Arial" w:hAnsi="Arial"/>
                <w:sz w:val="14"/>
                <w:szCs w:val="14"/>
                <w:color w:val="auto"/>
              </w:rPr>
              <w:t>Acetadote</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368,733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218,462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150,271</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Omeclamox-Pak</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516,066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(493,377)</w:t>
            </w: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Arial" w:cs="Arial" w:eastAsia="Arial" w:hAnsi="Arial"/>
                <w:sz w:val="14"/>
                <w:szCs w:val="14"/>
                <w:color w:val="auto"/>
              </w:rPr>
              <w:t>RediTrex</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11,459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11,459</w:t>
            </w:r>
          </w:p>
        </w:tc>
        <w:tc>
          <w:tcPr>
            <w:tcW w:w="0" w:type="dxa"/>
            <w:vAlign w:val="bottom"/>
          </w:tcPr>
          <w:p>
            <w:pPr>
              <w:spacing w:after="0"/>
              <w:rPr>
                <w:sz w:val="1"/>
                <w:szCs w:val="1"/>
                <w:color w:val="auto"/>
              </w:rPr>
            </w:pPr>
          </w:p>
        </w:tc>
      </w:tr>
      <w:tr>
        <w:trPr>
          <w:trHeight w:val="18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1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178,886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265,047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(86,161)</w:t>
            </w:r>
          </w:p>
        </w:tc>
        <w:tc>
          <w:tcPr>
            <w:tcW w:w="0" w:type="dxa"/>
            <w:vAlign w:val="bottom"/>
          </w:tcPr>
          <w:p>
            <w:pPr>
              <w:spacing w:after="0"/>
              <w:rPr>
                <w:sz w:val="1"/>
                <w:szCs w:val="1"/>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4"/>
                <w:szCs w:val="14"/>
                <w:color w:val="auto"/>
              </w:rPr>
              <w:t>Total net revenues</w:t>
            </w:r>
          </w:p>
        </w:tc>
        <w:tc>
          <w:tcPr>
            <w:tcW w:w="1100" w:type="dxa"/>
            <w:vAlign w:val="bottom"/>
            <w:tcBorders>
              <w:bottom w:val="single" w:sz="8" w:color="auto"/>
            </w:tcBorders>
          </w:tcPr>
          <w:p>
            <w:pPr>
              <w:jc w:val="right"/>
              <w:ind w:right="94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8,072,540</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9,250,689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(1,178,149)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Net revenues. </w:t>
      </w:r>
      <w:r>
        <w:rPr>
          <w:rFonts w:ascii="Arial" w:cs="Arial" w:eastAsia="Arial" w:hAnsi="Arial"/>
          <w:sz w:val="14"/>
          <w:szCs w:val="14"/>
          <w:color w:val="auto"/>
        </w:rPr>
        <w:t>Net revenues for the three months ended September 30, 2021, were $8.1 million compared to $9.3 million for the three months ended September 30, 2020. As detailed in the table</w:t>
      </w:r>
      <w:r>
        <w:rPr>
          <w:rFonts w:ascii="Arial" w:cs="Arial" w:eastAsia="Arial" w:hAnsi="Arial"/>
          <w:sz w:val="14"/>
          <w:szCs w:val="14"/>
          <w:i w:val="1"/>
          <w:iCs w:val="1"/>
          <w:color w:val="auto"/>
        </w:rPr>
        <w:t xml:space="preserve"> </w:t>
      </w:r>
      <w:r>
        <w:rPr>
          <w:rFonts w:ascii="Arial" w:cs="Arial" w:eastAsia="Arial" w:hAnsi="Arial"/>
          <w:sz w:val="14"/>
          <w:szCs w:val="14"/>
          <w:color w:val="auto"/>
        </w:rPr>
        <w:t>above, net revenue increased for two of our marketed products: Kristalose and Acetadote during the quarter.</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Kristalose revenue increased by 11.0% during the third quarter of 2021 to $4.0 million, when compared to the prior year period. The increase was primarily the result of growth in shipments of the product to our wholesale customers.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Acetadote revenue includes net sales of our Acetadote brand and our share of net sales from our Authorized Generic. During the quarter, there was an increase of $0.2 million in the product's revenue when compared to the prior year period as a result of higher sales volumes for the Authorized Generic.</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Vaprisol revenue was $0.3 million for the third quarter of 2021, a decrease of $0.1 million. This decrease of net sales compared to the third quarter of 2020 is primarily due to cyclical buying trends.</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Caldolor revenue was $1.3 million for the third quarter of 2021, a decrease of $0.2 million compared to the same period last year. The decrease was the result of lower international shipments of the product, due to order timing.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4" w:name="page25"/>
    <w:bookmarkEnd w:id="24"/>
    <w:p>
      <w:pPr>
        <w:jc w:val="both"/>
        <w:spacing w:after="0" w:line="281" w:lineRule="auto"/>
        <w:rPr>
          <w:sz w:val="20"/>
          <w:szCs w:val="20"/>
          <w:color w:val="auto"/>
        </w:rPr>
      </w:pPr>
      <w:r>
        <w:rPr>
          <w:rFonts w:ascii="Arial" w:cs="Arial" w:eastAsia="Arial" w:hAnsi="Arial"/>
          <w:sz w:val="14"/>
          <w:szCs w:val="14"/>
          <w:color w:val="auto"/>
        </w:rPr>
        <w:t>Vibativ revenue was $1.9 million for the three months ended September 30, 2021, compared to $2.8 million the same period last year. The decrease was a result of customer buying patterns during the year.</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Omeclamox-Pak had no sales for the third quarter of 2021,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third quarter of 2021 was positively impacted by various revenue adjustments.</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Cost of products sold</w:t>
      </w:r>
      <w:r>
        <w:rPr>
          <w:rFonts w:ascii="Arial" w:cs="Arial" w:eastAsia="Arial" w:hAnsi="Arial"/>
          <w:sz w:val="14"/>
          <w:szCs w:val="14"/>
          <w:color w:val="auto"/>
        </w:rPr>
        <w:t>. Cost of products sold for the third quarter of 2021 and 2020 were $1.3 million and $2.1 million, respectively. Cost of products sold, as a percentage of net revenues, were 16.5%</w:t>
      </w:r>
      <w:r>
        <w:rPr>
          <w:rFonts w:ascii="Arial" w:cs="Arial" w:eastAsia="Arial" w:hAnsi="Arial"/>
          <w:sz w:val="14"/>
          <w:szCs w:val="14"/>
          <w:i w:val="1"/>
          <w:iCs w:val="1"/>
          <w:color w:val="auto"/>
        </w:rPr>
        <w:t xml:space="preserve"> </w:t>
      </w:r>
      <w:r>
        <w:rPr>
          <w:rFonts w:ascii="Arial" w:cs="Arial" w:eastAsia="Arial" w:hAnsi="Arial"/>
          <w:sz w:val="14"/>
          <w:szCs w:val="14"/>
          <w:color w:val="auto"/>
        </w:rPr>
        <w:t>during the three months ended September 30, 2021, compared to 23.2% during the three months ended September 30, 2020. This change in costs of products sold as a percentage of revenue was attributable to a change in the product sales mix, particularly the increase of Kristalose product sales.</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 for the third quarter of 2021 increased $0.2 million compared to the prior year period. This increase is primarily attributable to an increase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marketing spending for Kristalose and Vibativ. Lower royalty costs were partially offset by an increase in direct promotional spending, meeting costs and travel expenses during the third quarter of 2021.</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Research and development costs for the third quarter of 2021 and 2020 were $1.5 million and $1.2 million, respectively. A portion of our research and development costs</w:t>
      </w:r>
      <w:r>
        <w:rPr>
          <w:rFonts w:ascii="Arial" w:cs="Arial" w:eastAsia="Arial" w:hAnsi="Arial"/>
          <w:sz w:val="14"/>
          <w:szCs w:val="14"/>
          <w:i w:val="1"/>
          <w:iCs w:val="1"/>
          <w:color w:val="auto"/>
        </w:rPr>
        <w:t xml:space="preserve"> </w:t>
      </w:r>
      <w:r>
        <w:rPr>
          <w:rFonts w:ascii="Arial" w:cs="Arial" w:eastAsia="Arial" w:hAnsi="Arial"/>
          <w:sz w:val="14"/>
          <w:szCs w:val="14"/>
          <w:color w:val="auto"/>
        </w:rPr>
        <w:t>is variable based on the number of trials, study sites, number of patients and the cost per patient in each of our clinical programs. We continue to fund our ongoing clinical initiatives associated with our pipeline products.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 for the third quarter of 2021 were $2.0 million, which were $0.3 million lower than the third quarter of 2020. There were declines in</w:t>
      </w:r>
      <w:r>
        <w:rPr>
          <w:rFonts w:ascii="Arial" w:cs="Arial" w:eastAsia="Arial" w:hAnsi="Arial"/>
          <w:sz w:val="14"/>
          <w:szCs w:val="14"/>
          <w:i w:val="1"/>
          <w:iCs w:val="1"/>
          <w:color w:val="auto"/>
        </w:rPr>
        <w:t xml:space="preserve"> </w:t>
      </w:r>
      <w:r>
        <w:rPr>
          <w:rFonts w:ascii="Arial" w:cs="Arial" w:eastAsia="Arial" w:hAnsi="Arial"/>
          <w:sz w:val="14"/>
          <w:szCs w:val="14"/>
          <w:color w:val="auto"/>
        </w:rPr>
        <w:t>salaries and stock-based compensation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spacing w:after="0"/>
              <w:rPr>
                <w:sz w:val="20"/>
                <w:szCs w:val="20"/>
                <w:color w:val="auto"/>
              </w:rPr>
            </w:pPr>
            <w:r>
              <w:rPr>
                <w:rFonts w:ascii="Arial" w:cs="Arial" w:eastAsia="Arial" w:hAnsi="Arial"/>
                <w:sz w:val="14"/>
                <w:szCs w:val="14"/>
                <w:color w:val="auto"/>
              </w:rPr>
              <w:t>The components of the statements of operations discussed above reflect the following impacts from Vibativ:</w:t>
            </w:r>
          </w:p>
        </w:tc>
        <w:tc>
          <w:tcPr>
            <w:tcW w:w="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2"/>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Financial Impact of Vibativ</w:t>
            </w:r>
          </w:p>
        </w:tc>
        <w:tc>
          <w:tcPr>
            <w:tcW w:w="5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4"/>
          </w:tcPr>
          <w:p>
            <w:pPr>
              <w:jc w:val="right"/>
              <w:ind w:right="1089"/>
              <w:spacing w:after="0"/>
              <w:rPr>
                <w:sz w:val="20"/>
                <w:szCs w:val="20"/>
                <w:color w:val="auto"/>
              </w:rPr>
            </w:pPr>
            <w:r>
              <w:rPr>
                <w:rFonts w:ascii="Arial" w:cs="Arial" w:eastAsia="Arial" w:hAnsi="Arial"/>
                <w:sz w:val="14"/>
                <w:szCs w:val="14"/>
                <w:b w:val="1"/>
                <w:bCs w:val="1"/>
                <w:color w:val="auto"/>
              </w:rPr>
              <w:t>Three months ended September 30,</w:t>
            </w:r>
          </w:p>
        </w:tc>
      </w:tr>
      <w:tr>
        <w:trPr>
          <w:trHeight w:val="171"/>
        </w:trPr>
        <w:tc>
          <w:tcPr>
            <w:tcW w:w="68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2020</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1,896,584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2,813,249</w:t>
            </w:r>
          </w:p>
        </w:tc>
      </w:tr>
      <w:tr>
        <w:trPr>
          <w:trHeight w:val="180"/>
        </w:trPr>
        <w:tc>
          <w:tcPr>
            <w:tcW w:w="680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Cost of products sold </w:t>
            </w:r>
            <w:r>
              <w:rPr>
                <w:rFonts w:ascii="Arial" w:cs="Arial" w:eastAsia="Arial" w:hAnsi="Arial"/>
                <w:sz w:val="18"/>
                <w:szCs w:val="18"/>
                <w:color w:val="auto"/>
                <w:vertAlign w:val="superscript"/>
              </w:rPr>
              <w:t>(1)</w:t>
            </w: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407,386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945,067</w:t>
            </w: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Royalty and operating expenses</w:t>
            </w:r>
          </w:p>
        </w:tc>
        <w:tc>
          <w:tcPr>
            <w:tcW w:w="5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455,814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650,500</w:t>
            </w: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Vibativ contribution</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1,033,384</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1,217,682</w:t>
            </w:r>
          </w:p>
        </w:tc>
      </w:tr>
      <w:tr>
        <w:trPr>
          <w:trHeight w:val="20"/>
        </w:trPr>
        <w:tc>
          <w:tcPr>
            <w:tcW w:w="6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120" w:hanging="115"/>
        <w:spacing w:after="0"/>
        <w:tabs>
          <w:tab w:leader="none" w:pos="1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The Vibativ inventory included in the costs of product sold during the period was acquired and paid for by Cumberland as part of the acquisition of the brand during 2018.</w:t>
      </w:r>
    </w:p>
    <w:p>
      <w:pPr>
        <w:spacing w:after="0" w:line="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Amortization. </w:t>
      </w:r>
      <w:r>
        <w:rPr>
          <w:rFonts w:ascii="Arial" w:cs="Arial" w:eastAsia="Arial" w:hAnsi="Arial"/>
          <w:sz w:val="14"/>
          <w:szCs w:val="14"/>
          <w:color w:val="auto"/>
        </w:rPr>
        <w:t>Amortization expense is the ratable use of our capitalized intangible assets including product and license rights, patents, trademarks and patent defense costs. Amortization for the three</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September 30, 2021, and three months ended September 30, 2020, totaled approximately $1.0 million and $1.1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 expense for the three months ended September 30, 2021, was comparable to the income tax expense for the three months ended September 30, 2020.</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September 30, 2021, we had approximately $44 million of net operating loss carryforwards resulting from the exercise of nonqualified stock options that have historically been used to significantly offset income tax obligations. We expect to continue to pay minimal income taxes during 2021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 2021 compared to the nine months ended September 30,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360" w:type="dxa"/>
            <w:vAlign w:val="bottom"/>
            <w:gridSpan w:val="12"/>
          </w:tcPr>
          <w:p>
            <w:pPr>
              <w:spacing w:after="0"/>
              <w:rPr>
                <w:sz w:val="20"/>
                <w:szCs w:val="20"/>
                <w:color w:val="auto"/>
              </w:rPr>
            </w:pPr>
            <w:r>
              <w:rPr>
                <w:rFonts w:ascii="Arial" w:cs="Arial" w:eastAsia="Arial" w:hAnsi="Arial"/>
                <w:sz w:val="14"/>
                <w:szCs w:val="14"/>
                <w:color w:val="auto"/>
                <w:w w:val="94"/>
              </w:rPr>
              <w:t>The following table presents the unaudited interim statements of operations for continuing operations for the nine months ended September 30, 2021 and 2020: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9"/>
          </w:tcPr>
          <w:p>
            <w:pPr>
              <w:jc w:val="center"/>
              <w:ind w:right="249"/>
              <w:spacing w:after="0"/>
              <w:rPr>
                <w:sz w:val="20"/>
                <w:szCs w:val="20"/>
                <w:color w:val="auto"/>
              </w:rPr>
            </w:pPr>
            <w:r>
              <w:rPr>
                <w:rFonts w:ascii="Arial" w:cs="Arial" w:eastAsia="Arial" w:hAnsi="Arial"/>
                <w:sz w:val="14"/>
                <w:szCs w:val="14"/>
                <w:b w:val="1"/>
                <w:bCs w:val="1"/>
                <w:color w:val="auto"/>
                <w:w w:val="89"/>
              </w:rPr>
              <w:t>Nine months ended September 30,</w:t>
            </w:r>
          </w:p>
        </w:tc>
        <w:tc>
          <w:tcPr>
            <w:tcW w:w="1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68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080" w:type="dxa"/>
            <w:vAlign w:val="bottom"/>
            <w:tcBorders>
              <w:top w:val="single" w:sz="8" w:color="auto"/>
            </w:tcBorders>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27,665,182</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27,179,600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485,582</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5,486,005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6,387,002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(900,997)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rPr>
                <w:sz w:val="20"/>
                <w:szCs w:val="20"/>
                <w:color w:val="auto"/>
              </w:rPr>
            </w:pPr>
            <w:r>
              <w:rPr>
                <w:rFonts w:ascii="Arial" w:cs="Arial" w:eastAsia="Arial" w:hAnsi="Arial"/>
                <w:sz w:val="14"/>
                <w:szCs w:val="14"/>
                <w:color w:val="auto"/>
              </w:rPr>
              <w:t>Selling and marketing</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8"/>
              </w:rPr>
              <w:t>11,709,445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11,160,924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548,521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4,071,638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4,374,392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(302,754)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6,367,438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6,608,321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(240,883)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3,354,080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3,284,610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69,470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30,988,606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31,815,249</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(826,643)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(3,323,424)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(4,635,649)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1,312,225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19,411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70,553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(51,142)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2,187,140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2,187,140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(70,297)</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(227,730)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157,433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(1,187,170)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(4,792,826)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3,605,656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(22,375)</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(45,423)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23,048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080" w:type="dxa"/>
            <w:vAlign w:val="bottom"/>
            <w:tcBorders>
              <w:bottom w:val="single" w:sz="8" w:color="auto"/>
            </w:tcBorders>
            <w:gridSpan w:val="2"/>
            <w:shd w:val="clear" w:color="auto" w:fill="CCEEFF"/>
          </w:tcPr>
          <w:p>
            <w:pPr>
              <w:jc w:val="right"/>
              <w:ind w:right="9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(1,209,545)</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(4,838,249)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3,628,704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summarizes net revenues by product for the periods presented:</w:t>
            </w:r>
          </w:p>
        </w:tc>
        <w:tc>
          <w:tcPr>
            <w:tcW w:w="20" w:type="dxa"/>
            <w:vAlign w:val="bottom"/>
            <w:tcBorders>
              <w:top w:val="single" w:sz="8" w:color="CCEEFF"/>
              <w:bottom w:val="single" w:sz="8" w:color="auto"/>
            </w:tcBorders>
          </w:tcPr>
          <w:p>
            <w:pPr>
              <w:spacing w:after="0"/>
              <w:rPr>
                <w:sz w:val="3"/>
                <w:szCs w:val="3"/>
                <w:color w:val="auto"/>
              </w:rPr>
            </w:pPr>
          </w:p>
        </w:tc>
        <w:tc>
          <w:tcPr>
            <w:tcW w:w="1060" w:type="dxa"/>
            <w:vAlign w:val="bottom"/>
            <w:tcBorders>
              <w:top w:val="single" w:sz="8" w:color="CCEEFF"/>
              <w:bottom w:val="single" w:sz="8" w:color="auto"/>
            </w:tcBorders>
          </w:tcPr>
          <w:p>
            <w:pPr>
              <w:spacing w:after="0"/>
              <w:rPr>
                <w:sz w:val="3"/>
                <w:szCs w:val="3"/>
                <w:color w:val="auto"/>
              </w:rPr>
            </w:pPr>
          </w:p>
        </w:tc>
        <w:tc>
          <w:tcPr>
            <w:tcW w:w="680" w:type="dxa"/>
            <w:vAlign w:val="bottom"/>
            <w:tcBorders>
              <w:top w:val="single" w:sz="8" w:color="CCEEFF"/>
              <w:bottom w:val="single" w:sz="8" w:color="auto"/>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380" w:type="dxa"/>
            <w:vAlign w:val="bottom"/>
            <w:tcBorders>
              <w:top w:val="single" w:sz="8" w:color="CCEEFF"/>
              <w:bottom w:val="single" w:sz="8" w:color="auto"/>
            </w:tcBorders>
          </w:tcPr>
          <w:p>
            <w:pPr>
              <w:spacing w:after="0"/>
              <w:rPr>
                <w:sz w:val="3"/>
                <w:szCs w:val="3"/>
                <w:color w:val="auto"/>
              </w:rPr>
            </w:pPr>
          </w:p>
        </w:tc>
        <w:tc>
          <w:tcPr>
            <w:tcW w:w="136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340" w:type="dxa"/>
            <w:vAlign w:val="bottom"/>
            <w:tcBorders>
              <w:top w:val="single" w:sz="8" w:color="CCEEFF"/>
              <w:bottom w:val="single" w:sz="8" w:color="auto"/>
            </w:tcBorders>
          </w:tcPr>
          <w:p>
            <w:pPr>
              <w:spacing w:after="0"/>
              <w:rPr>
                <w:sz w:val="3"/>
                <w:szCs w:val="3"/>
                <w:color w:val="auto"/>
              </w:rPr>
            </w:pPr>
          </w:p>
        </w:tc>
        <w:tc>
          <w:tcPr>
            <w:tcW w:w="140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CCEEFF"/>
            </w:tcBorders>
            <w:shd w:val="clear" w:color="auto" w:fill="CCEEFF"/>
          </w:tcPr>
          <w:p>
            <w:pPr>
              <w:spacing w:after="0"/>
              <w:rPr>
                <w:sz w:val="3"/>
                <w:szCs w:val="3"/>
                <w:color w:val="auto"/>
              </w:rPr>
            </w:pPr>
          </w:p>
        </w:tc>
        <w:tc>
          <w:tcPr>
            <w:tcW w:w="20" w:type="dxa"/>
            <w:vAlign w:val="bottom"/>
            <w:tcBorders>
              <w:top w:val="single" w:sz="8" w:color="CCEEFF"/>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9"/>
          </w:tcPr>
          <w:p>
            <w:pPr>
              <w:jc w:val="center"/>
              <w:ind w:right="249"/>
              <w:spacing w:after="0"/>
              <w:rPr>
                <w:sz w:val="20"/>
                <w:szCs w:val="20"/>
                <w:color w:val="auto"/>
              </w:rPr>
            </w:pPr>
            <w:r>
              <w:rPr>
                <w:rFonts w:ascii="Arial" w:cs="Arial" w:eastAsia="Arial" w:hAnsi="Arial"/>
                <w:sz w:val="14"/>
                <w:szCs w:val="14"/>
                <w:b w:val="1"/>
                <w:bCs w:val="1"/>
                <w:color w:val="auto"/>
                <w:w w:val="89"/>
              </w:rPr>
              <w:t>Nine months ended September 30,</w:t>
            </w:r>
          </w:p>
        </w:tc>
        <w:tc>
          <w:tcPr>
            <w:tcW w:w="1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80"/>
              <w:spacing w:after="0"/>
              <w:rPr>
                <w:sz w:val="20"/>
                <w:szCs w:val="20"/>
                <w:color w:val="auto"/>
              </w:rPr>
            </w:pPr>
            <w:r>
              <w:rPr>
                <w:rFonts w:ascii="Arial" w:cs="Arial" w:eastAsia="Arial" w:hAnsi="Arial"/>
                <w:sz w:val="14"/>
                <w:szCs w:val="14"/>
                <w:color w:val="auto"/>
              </w:rPr>
              <w:t>Kristalose</w:t>
            </w:r>
          </w:p>
        </w:tc>
        <w:tc>
          <w:tcPr>
            <w:tcW w:w="1080" w:type="dxa"/>
            <w:vAlign w:val="bottom"/>
            <w:gridSpan w:val="2"/>
          </w:tcPr>
          <w:p>
            <w:pPr>
              <w:jc w:val="right"/>
              <w:ind w:right="909"/>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12,286,729</w:t>
            </w:r>
          </w:p>
        </w:tc>
        <w:tc>
          <w:tcPr>
            <w:tcW w:w="500" w:type="dxa"/>
            <w:vAlign w:val="bottom"/>
            <w:gridSpan w:val="4"/>
          </w:tcPr>
          <w:p>
            <w:pPr>
              <w:jc w:val="right"/>
              <w:ind w:right="22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10,387,046</w:t>
            </w:r>
          </w:p>
        </w:tc>
        <w:tc>
          <w:tcPr>
            <w:tcW w:w="20" w:type="dxa"/>
            <w:vAlign w:val="bottom"/>
          </w:tcPr>
          <w:p>
            <w:pPr>
              <w:spacing w:after="0"/>
              <w:rPr>
                <w:sz w:val="15"/>
                <w:szCs w:val="15"/>
                <w:color w:val="auto"/>
              </w:rPr>
            </w:pPr>
          </w:p>
        </w:tc>
        <w:tc>
          <w:tcPr>
            <w:tcW w:w="42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1,899,683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Vibativ</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8,799,891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8,551,125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248,766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80"/>
              <w:spacing w:after="0"/>
              <w:rPr>
                <w:sz w:val="20"/>
                <w:szCs w:val="20"/>
                <w:color w:val="auto"/>
              </w:rPr>
            </w:pPr>
            <w:r>
              <w:rPr>
                <w:rFonts w:ascii="Arial" w:cs="Arial" w:eastAsia="Arial" w:hAnsi="Arial"/>
                <w:sz w:val="14"/>
                <w:szCs w:val="14"/>
                <w:color w:val="auto"/>
              </w:rPr>
              <w:t>Caldolor</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3,734,273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3,677,434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56,839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Vaprisol</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1,861,130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790,817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1,070,313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80"/>
              <w:spacing w:after="0"/>
              <w:rPr>
                <w:sz w:val="20"/>
                <w:szCs w:val="20"/>
                <w:color w:val="auto"/>
              </w:rPr>
            </w:pPr>
            <w:r>
              <w:rPr>
                <w:rFonts w:ascii="Arial" w:cs="Arial" w:eastAsia="Arial" w:hAnsi="Arial"/>
                <w:sz w:val="14"/>
                <w:szCs w:val="14"/>
                <w:color w:val="auto"/>
              </w:rPr>
              <w:t>Acetadote</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638,704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1,527,173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(888,469)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Omeclamox-Pak</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(451,683)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640,435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(1,092,118)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80"/>
              <w:spacing w:after="0"/>
              <w:rPr>
                <w:sz w:val="20"/>
                <w:szCs w:val="20"/>
                <w:color w:val="auto"/>
              </w:rPr>
            </w:pPr>
            <w:r>
              <w:rPr>
                <w:rFonts w:ascii="Arial" w:cs="Arial" w:eastAsia="Arial" w:hAnsi="Arial"/>
                <w:sz w:val="14"/>
                <w:szCs w:val="14"/>
                <w:color w:val="auto"/>
              </w:rPr>
              <w:t>RediTrex</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(13,291)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(13,291)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809,429</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1,605,570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(796,141)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580" w:type="dxa"/>
            <w:vAlign w:val="bottom"/>
          </w:tcPr>
          <w:p>
            <w:pPr>
              <w:ind w:left="20"/>
              <w:spacing w:after="0"/>
              <w:rPr>
                <w:sz w:val="20"/>
                <w:szCs w:val="20"/>
                <w:color w:val="auto"/>
              </w:rPr>
            </w:pPr>
            <w:r>
              <w:rPr>
                <w:rFonts w:ascii="Arial" w:cs="Arial" w:eastAsia="Arial" w:hAnsi="Arial"/>
                <w:sz w:val="14"/>
                <w:szCs w:val="14"/>
                <w:color w:val="auto"/>
              </w:rPr>
              <w:t>Total net revenues</w:t>
            </w:r>
          </w:p>
        </w:tc>
        <w:tc>
          <w:tcPr>
            <w:tcW w:w="2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96"/>
              </w:rPr>
              <w:t>27,665,182</w:t>
            </w:r>
          </w:p>
        </w:tc>
        <w:tc>
          <w:tcPr>
            <w:tcW w:w="2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27,179,600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485,582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320"/>
        <w:spacing w:after="0" w:line="321" w:lineRule="auto"/>
        <w:rPr>
          <w:sz w:val="20"/>
          <w:szCs w:val="20"/>
          <w:color w:val="auto"/>
        </w:rPr>
      </w:pPr>
      <w:r>
        <w:rPr>
          <w:rFonts w:ascii="Arial" w:cs="Arial" w:eastAsia="Arial" w:hAnsi="Arial"/>
          <w:sz w:val="13"/>
          <w:szCs w:val="13"/>
          <w:i w:val="1"/>
          <w:iCs w:val="1"/>
          <w:color w:val="auto"/>
        </w:rPr>
        <w:t xml:space="preserve">Net revenues. </w:t>
      </w:r>
      <w:r>
        <w:rPr>
          <w:rFonts w:ascii="Arial" w:cs="Arial" w:eastAsia="Arial" w:hAnsi="Arial"/>
          <w:sz w:val="13"/>
          <w:szCs w:val="13"/>
          <w:color w:val="auto"/>
        </w:rPr>
        <w:t>Net revenues for the nine months ended September 30, 2021, were $27.7 million compared to $27.2 million for the nine months ended September 30, 2020. As detailed in the table</w:t>
      </w:r>
      <w:r>
        <w:rPr>
          <w:rFonts w:ascii="Arial" w:cs="Arial" w:eastAsia="Arial" w:hAnsi="Arial"/>
          <w:sz w:val="13"/>
          <w:szCs w:val="13"/>
          <w:i w:val="1"/>
          <w:iCs w:val="1"/>
          <w:color w:val="auto"/>
        </w:rPr>
        <w:t xml:space="preserve"> </w:t>
      </w:r>
      <w:r>
        <w:rPr>
          <w:rFonts w:ascii="Arial" w:cs="Arial" w:eastAsia="Arial" w:hAnsi="Arial"/>
          <w:sz w:val="13"/>
          <w:szCs w:val="13"/>
          <w:color w:val="auto"/>
        </w:rPr>
        <w:t>above, net revenue increased for our marketed products: Kristalose, Vibativ, Caldolor and Vaprisol during the first nine months of 2021 resulting in an overall 1.8% revenue increase.</w:t>
      </w:r>
    </w:p>
    <w:p>
      <w:pPr>
        <w:spacing w:after="0" w:line="2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Kristalose revenue was $12.3 million during the first nine months of 2021, an increase of $1.9 million when compared with the prior year period. Revenue increased due to continued strong sales volume from our Foxland distributor and other wholesalers.</w:t>
      </w:r>
    </w:p>
    <w:p>
      <w:pPr>
        <w:spacing w:after="0" w:line="4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Vibativ revenue was $8.8 million for the nine months ended September 30, 2021, an increase of $0.2 million over the same period last year. The 2.9% increase in net revenue was a result of improved sales volume for the product during the first quarter of 2021.</w:t>
      </w:r>
    </w:p>
    <w:p>
      <w:pPr>
        <w:spacing w:after="0" w:line="4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Vaprisol revenue was $1.9 million for the first nine months of 2021, which is an increase of net sales of $1.1 million compared to the first nine months of 2020 primarily due to increased sales volumes which is the result of increased utilization in supporting patients impacted by COVID-19 infections.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6" w:name="page27"/>
    <w:bookmarkEnd w:id="26"/>
    <w:p>
      <w:pPr>
        <w:jc w:val="both"/>
        <w:spacing w:after="0" w:line="267" w:lineRule="auto"/>
        <w:rPr>
          <w:sz w:val="20"/>
          <w:szCs w:val="20"/>
          <w:color w:val="auto"/>
        </w:rPr>
      </w:pPr>
      <w:r>
        <w:rPr>
          <w:rFonts w:ascii="Arial" w:cs="Arial" w:eastAsia="Arial" w:hAnsi="Arial"/>
          <w:sz w:val="14"/>
          <w:szCs w:val="14"/>
          <w:color w:val="auto"/>
        </w:rPr>
        <w:t>Omeclamox-Pak had no sales for the nine months ended September 30, 2021,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first three quarters of 2021 was negatively impacted by product returns during the period.</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Acetadote revenue includes net sales of our Acetadote brand and our share of net sales from our Authorized Generic. There was a decrease of $0.9 million in the product's year to date revenue for the nine months ended September 30, 2021, when compared to the prior year period as a result of lower sales volumes for our Authorized Generic.</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Caldolor revenue was $3.7 million for the first three quarters of 2021, an increase of $0.1 million compared to the same period last year. Domestic shipments of the RTU bag product increased in the third quarter of 2021.</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Cost of products sold</w:t>
      </w:r>
      <w:r>
        <w:rPr>
          <w:rFonts w:ascii="Arial" w:cs="Arial" w:eastAsia="Arial" w:hAnsi="Arial"/>
          <w:sz w:val="14"/>
          <w:szCs w:val="14"/>
          <w:color w:val="auto"/>
        </w:rPr>
        <w:t>. Cost of products sold for first nine months of 2021 and 2020 were $5.5 million and $6.4 million, respectively. In 2021, we have realized savings for the Authorized Generic of</w:t>
      </w:r>
      <w:r>
        <w:rPr>
          <w:rFonts w:ascii="Arial" w:cs="Arial" w:eastAsia="Arial" w:hAnsi="Arial"/>
          <w:sz w:val="14"/>
          <w:szCs w:val="14"/>
          <w:i w:val="1"/>
          <w:iCs w:val="1"/>
          <w:color w:val="auto"/>
        </w:rPr>
        <w:t xml:space="preserve"> </w:t>
      </w:r>
      <w:r>
        <w:rPr>
          <w:rFonts w:ascii="Arial" w:cs="Arial" w:eastAsia="Arial" w:hAnsi="Arial"/>
          <w:sz w:val="14"/>
          <w:szCs w:val="14"/>
          <w:color w:val="auto"/>
        </w:rPr>
        <w:t>$0.4 million, Omeclamox-Pak of $0.2 million and Vibativ of $0.3 million.</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 for the nine months ended September 30, 2021, increased $0.5 million compared to the prior year period. This increase is primarily attributable</w:t>
      </w:r>
      <w:r>
        <w:rPr>
          <w:rFonts w:ascii="Arial" w:cs="Arial" w:eastAsia="Arial" w:hAnsi="Arial"/>
          <w:sz w:val="14"/>
          <w:szCs w:val="14"/>
          <w:i w:val="1"/>
          <w:iCs w:val="1"/>
          <w:color w:val="auto"/>
        </w:rPr>
        <w:t xml:space="preserve"> </w:t>
      </w:r>
      <w:r>
        <w:rPr>
          <w:rFonts w:ascii="Arial" w:cs="Arial" w:eastAsia="Arial" w:hAnsi="Arial"/>
          <w:sz w:val="14"/>
          <w:szCs w:val="14"/>
          <w:color w:val="auto"/>
        </w:rPr>
        <w:t>to increases in royalty costs as well as an increase in direct sales promotion costs and dispensing fees.</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i w:val="1"/>
          <w:iCs w:val="1"/>
          <w:color w:val="auto"/>
        </w:rPr>
        <w:t>Research and development</w:t>
      </w:r>
      <w:r>
        <w:rPr>
          <w:rFonts w:ascii="Arial" w:cs="Arial" w:eastAsia="Arial" w:hAnsi="Arial"/>
          <w:sz w:val="13"/>
          <w:szCs w:val="13"/>
          <w:color w:val="auto"/>
        </w:rPr>
        <w:t>. Research and development costs were $4.1 million for the first nine months of 2021 compared to $4.4 million for the same period last year. A portion of our research and</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costs is variable based on the number of trials, study sites, cost of the per patient study protocol and patients involved in the development of our new product candidates. We continue to fund our ongoing clinical initiatives associated with our pipeline products. We experienced a decrease in study activity and salaries offset by an increase in our consulting fees.</w:t>
      </w:r>
    </w:p>
    <w:p>
      <w:pPr>
        <w:spacing w:after="0" w:line="3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 for the nine months ended September 30, 2021, remained consistent with $6.4 million from $6.6 million during the nine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September 30, 2020. In 2021, we experienced lower salary and non cash stock based compensation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spacing w:after="0"/>
              <w:rPr>
                <w:sz w:val="20"/>
                <w:szCs w:val="20"/>
                <w:color w:val="auto"/>
              </w:rPr>
            </w:pPr>
            <w:r>
              <w:rPr>
                <w:rFonts w:ascii="Arial" w:cs="Arial" w:eastAsia="Arial" w:hAnsi="Arial"/>
                <w:sz w:val="14"/>
                <w:szCs w:val="14"/>
                <w:color w:val="auto"/>
              </w:rPr>
              <w:t>The</w:t>
            </w:r>
          </w:p>
        </w:tc>
        <w:tc>
          <w:tcPr>
            <w:tcW w:w="1280" w:type="dxa"/>
            <w:vAlign w:val="bottom"/>
          </w:tcPr>
          <w:p>
            <w:pPr>
              <w:ind w:left="200"/>
              <w:spacing w:after="0"/>
              <w:rPr>
                <w:sz w:val="20"/>
                <w:szCs w:val="20"/>
                <w:color w:val="auto"/>
              </w:rPr>
            </w:pPr>
            <w:r>
              <w:rPr>
                <w:rFonts w:ascii="Arial" w:cs="Arial" w:eastAsia="Arial" w:hAnsi="Arial"/>
                <w:sz w:val="14"/>
                <w:szCs w:val="14"/>
                <w:color w:val="auto"/>
              </w:rPr>
              <w:t>components</w:t>
            </w:r>
          </w:p>
        </w:tc>
        <w:tc>
          <w:tcPr>
            <w:tcW w:w="340" w:type="dxa"/>
            <w:vAlign w:val="bottom"/>
          </w:tcPr>
          <w:p>
            <w:pPr>
              <w:ind w:left="20"/>
              <w:spacing w:after="0"/>
              <w:rPr>
                <w:sz w:val="20"/>
                <w:szCs w:val="20"/>
                <w:color w:val="auto"/>
              </w:rPr>
            </w:pPr>
            <w:r>
              <w:rPr>
                <w:rFonts w:ascii="Arial" w:cs="Arial" w:eastAsia="Arial" w:hAnsi="Arial"/>
                <w:sz w:val="14"/>
                <w:szCs w:val="14"/>
                <w:color w:val="auto"/>
              </w:rPr>
              <w:t>of</w:t>
            </w:r>
          </w:p>
        </w:tc>
        <w:tc>
          <w:tcPr>
            <w:tcW w:w="560" w:type="dxa"/>
            <w:vAlign w:val="bottom"/>
          </w:tcPr>
          <w:p>
            <w:pPr>
              <w:ind w:left="200"/>
              <w:spacing w:after="0"/>
              <w:rPr>
                <w:sz w:val="20"/>
                <w:szCs w:val="20"/>
                <w:color w:val="auto"/>
              </w:rPr>
            </w:pPr>
            <w:r>
              <w:rPr>
                <w:rFonts w:ascii="Arial" w:cs="Arial" w:eastAsia="Arial" w:hAnsi="Arial"/>
                <w:sz w:val="14"/>
                <w:szCs w:val="14"/>
                <w:color w:val="auto"/>
              </w:rPr>
              <w:t>the</w:t>
            </w:r>
          </w:p>
        </w:tc>
        <w:tc>
          <w:tcPr>
            <w:tcW w:w="1000" w:type="dxa"/>
            <w:vAlign w:val="bottom"/>
          </w:tcPr>
          <w:p>
            <w:pPr>
              <w:ind w:left="220"/>
              <w:spacing w:after="0"/>
              <w:rPr>
                <w:sz w:val="20"/>
                <w:szCs w:val="20"/>
                <w:color w:val="auto"/>
              </w:rPr>
            </w:pPr>
            <w:r>
              <w:rPr>
                <w:rFonts w:ascii="Arial" w:cs="Arial" w:eastAsia="Arial" w:hAnsi="Arial"/>
                <w:sz w:val="14"/>
                <w:szCs w:val="14"/>
                <w:color w:val="auto"/>
              </w:rPr>
              <w:t>statements</w:t>
            </w:r>
          </w:p>
        </w:tc>
        <w:tc>
          <w:tcPr>
            <w:tcW w:w="520" w:type="dxa"/>
            <w:vAlign w:val="bottom"/>
          </w:tcPr>
          <w:p>
            <w:pPr>
              <w:ind w:left="220"/>
              <w:spacing w:after="0"/>
              <w:rPr>
                <w:sz w:val="20"/>
                <w:szCs w:val="20"/>
                <w:color w:val="auto"/>
              </w:rPr>
            </w:pPr>
            <w:r>
              <w:rPr>
                <w:rFonts w:ascii="Arial" w:cs="Arial" w:eastAsia="Arial" w:hAnsi="Arial"/>
                <w:sz w:val="14"/>
                <w:szCs w:val="14"/>
                <w:color w:val="auto"/>
              </w:rPr>
              <w:t>of</w:t>
            </w:r>
          </w:p>
        </w:tc>
        <w:tc>
          <w:tcPr>
            <w:tcW w:w="1000" w:type="dxa"/>
            <w:vAlign w:val="bottom"/>
          </w:tcPr>
          <w:p>
            <w:pPr>
              <w:ind w:left="220"/>
              <w:spacing w:after="0"/>
              <w:rPr>
                <w:sz w:val="20"/>
                <w:szCs w:val="20"/>
                <w:color w:val="auto"/>
              </w:rPr>
            </w:pPr>
            <w:r>
              <w:rPr>
                <w:rFonts w:ascii="Arial" w:cs="Arial" w:eastAsia="Arial" w:hAnsi="Arial"/>
                <w:sz w:val="14"/>
                <w:szCs w:val="14"/>
                <w:color w:val="auto"/>
              </w:rPr>
              <w:t>operations</w:t>
            </w:r>
          </w:p>
        </w:tc>
        <w:tc>
          <w:tcPr>
            <w:tcW w:w="940" w:type="dxa"/>
            <w:vAlign w:val="bottom"/>
          </w:tcPr>
          <w:p>
            <w:pPr>
              <w:ind w:left="200"/>
              <w:spacing w:after="0"/>
              <w:rPr>
                <w:sz w:val="20"/>
                <w:szCs w:val="20"/>
                <w:color w:val="auto"/>
              </w:rPr>
            </w:pPr>
            <w:r>
              <w:rPr>
                <w:rFonts w:ascii="Arial" w:cs="Arial" w:eastAsia="Arial" w:hAnsi="Arial"/>
                <w:sz w:val="14"/>
                <w:szCs w:val="14"/>
                <w:color w:val="auto"/>
              </w:rPr>
              <w:t>discussed</w:t>
            </w:r>
          </w:p>
        </w:tc>
        <w:tc>
          <w:tcPr>
            <w:tcW w:w="780" w:type="dxa"/>
            <w:vAlign w:val="bottom"/>
            <w:gridSpan w:val="2"/>
          </w:tcPr>
          <w:p>
            <w:pPr>
              <w:jc w:val="right"/>
              <w:ind w:right="169"/>
              <w:spacing w:after="0"/>
              <w:rPr>
                <w:sz w:val="20"/>
                <w:szCs w:val="20"/>
                <w:color w:val="auto"/>
              </w:rPr>
            </w:pPr>
            <w:r>
              <w:rPr>
                <w:rFonts w:ascii="Arial" w:cs="Arial" w:eastAsia="Arial" w:hAnsi="Arial"/>
                <w:sz w:val="14"/>
                <w:szCs w:val="14"/>
                <w:color w:val="auto"/>
              </w:rPr>
              <w:t>above</w:t>
            </w:r>
          </w:p>
        </w:tc>
        <w:tc>
          <w:tcPr>
            <w:tcW w:w="600" w:type="dxa"/>
            <w:vAlign w:val="bottom"/>
          </w:tcPr>
          <w:p>
            <w:pPr>
              <w:ind w:left="160"/>
              <w:spacing w:after="0"/>
              <w:rPr>
                <w:sz w:val="20"/>
                <w:szCs w:val="20"/>
                <w:color w:val="auto"/>
              </w:rPr>
            </w:pPr>
            <w:r>
              <w:rPr>
                <w:rFonts w:ascii="Arial" w:cs="Arial" w:eastAsia="Arial" w:hAnsi="Arial"/>
                <w:sz w:val="14"/>
                <w:szCs w:val="14"/>
                <w:color w:val="auto"/>
              </w:rPr>
              <w:t>reflect</w:t>
            </w:r>
          </w:p>
        </w:tc>
        <w:tc>
          <w:tcPr>
            <w:tcW w:w="600" w:type="dxa"/>
            <w:vAlign w:val="bottom"/>
          </w:tcPr>
          <w:p>
            <w:pPr>
              <w:ind w:left="340"/>
              <w:spacing w:after="0"/>
              <w:rPr>
                <w:sz w:val="20"/>
                <w:szCs w:val="20"/>
                <w:color w:val="auto"/>
              </w:rPr>
            </w:pPr>
            <w:r>
              <w:rPr>
                <w:rFonts w:ascii="Arial" w:cs="Arial" w:eastAsia="Arial" w:hAnsi="Arial"/>
                <w:sz w:val="14"/>
                <w:szCs w:val="14"/>
                <w:color w:val="auto"/>
              </w:rPr>
              <w:t>the</w:t>
            </w:r>
          </w:p>
        </w:tc>
        <w:tc>
          <w:tcPr>
            <w:tcW w:w="1080" w:type="dxa"/>
            <w:vAlign w:val="bottom"/>
            <w:gridSpan w:val="3"/>
          </w:tcPr>
          <w:p>
            <w:pPr>
              <w:jc w:val="right"/>
              <w:ind w:right="149"/>
              <w:spacing w:after="0"/>
              <w:rPr>
                <w:sz w:val="20"/>
                <w:szCs w:val="20"/>
                <w:color w:val="auto"/>
              </w:rPr>
            </w:pPr>
            <w:r>
              <w:rPr>
                <w:rFonts w:ascii="Arial" w:cs="Arial" w:eastAsia="Arial" w:hAnsi="Arial"/>
                <w:sz w:val="14"/>
                <w:szCs w:val="14"/>
                <w:color w:val="auto"/>
              </w:rPr>
              <w:t>following</w:t>
            </w:r>
          </w:p>
        </w:tc>
        <w:tc>
          <w:tcPr>
            <w:tcW w:w="660" w:type="dxa"/>
            <w:vAlign w:val="bottom"/>
          </w:tcPr>
          <w:p>
            <w:pPr>
              <w:ind w:left="180"/>
              <w:spacing w:after="0"/>
              <w:rPr>
                <w:sz w:val="20"/>
                <w:szCs w:val="20"/>
                <w:color w:val="auto"/>
              </w:rPr>
            </w:pPr>
            <w:r>
              <w:rPr>
                <w:rFonts w:ascii="Arial" w:cs="Arial" w:eastAsia="Arial" w:hAnsi="Arial"/>
                <w:sz w:val="14"/>
                <w:szCs w:val="14"/>
                <w:color w:val="auto"/>
                <w:w w:val="95"/>
              </w:rPr>
              <w:t>impacts</w:t>
            </w:r>
          </w:p>
        </w:tc>
        <w:tc>
          <w:tcPr>
            <w:tcW w:w="640" w:type="dxa"/>
            <w:vAlign w:val="bottom"/>
          </w:tcPr>
          <w:p>
            <w:pPr>
              <w:jc w:val="right"/>
              <w:spacing w:after="0"/>
              <w:rPr>
                <w:sz w:val="20"/>
                <w:szCs w:val="20"/>
                <w:color w:val="auto"/>
              </w:rPr>
            </w:pPr>
            <w:r>
              <w:rPr>
                <w:rFonts w:ascii="Arial" w:cs="Arial" w:eastAsia="Arial" w:hAnsi="Arial"/>
                <w:sz w:val="14"/>
                <w:szCs w:val="14"/>
                <w:color w:val="auto"/>
              </w:rPr>
              <w:t>from</w:t>
            </w:r>
          </w:p>
        </w:tc>
        <w:tc>
          <w:tcPr>
            <w:tcW w:w="860" w:type="dxa"/>
            <w:vAlign w:val="bottom"/>
            <w:gridSpan w:val="2"/>
          </w:tcPr>
          <w:p>
            <w:pPr>
              <w:ind w:left="400"/>
              <w:spacing w:after="0"/>
              <w:rPr>
                <w:sz w:val="20"/>
                <w:szCs w:val="20"/>
                <w:color w:val="auto"/>
              </w:rPr>
            </w:pPr>
            <w:r>
              <w:rPr>
                <w:rFonts w:ascii="Arial" w:cs="Arial" w:eastAsia="Arial" w:hAnsi="Arial"/>
                <w:sz w:val="14"/>
                <w:szCs w:val="14"/>
                <w:color w:val="auto"/>
                <w:w w:val="95"/>
              </w:rPr>
              <w:t>Vibativ:</w:t>
            </w:r>
          </w:p>
        </w:tc>
      </w:tr>
      <w:tr>
        <w:trPr>
          <w:trHeight w:val="202"/>
        </w:trPr>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Financial Impact of Vibativ</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71"/>
        </w:trPr>
        <w:tc>
          <w:tcPr>
            <w:tcW w:w="4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8,799,891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8,551,126</w:t>
            </w:r>
          </w:p>
        </w:tc>
        <w:tc>
          <w:tcPr>
            <w:tcW w:w="220" w:type="dxa"/>
            <w:vAlign w:val="bottom"/>
          </w:tcPr>
          <w:p>
            <w:pPr>
              <w:spacing w:after="0"/>
              <w:rPr>
                <w:sz w:val="14"/>
                <w:szCs w:val="14"/>
                <w:color w:val="auto"/>
              </w:rPr>
            </w:pPr>
          </w:p>
        </w:tc>
      </w:tr>
      <w:tr>
        <w:trPr>
          <w:trHeight w:val="180"/>
        </w:trPr>
        <w:tc>
          <w:tcPr>
            <w:tcW w:w="17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Cost of products sold </w:t>
            </w:r>
            <w:r>
              <w:rPr>
                <w:rFonts w:ascii="Arial" w:cs="Arial" w:eastAsia="Arial" w:hAnsi="Arial"/>
                <w:sz w:val="18"/>
                <w:szCs w:val="18"/>
                <w:color w:val="auto"/>
                <w:vertAlign w:val="superscript"/>
              </w:rPr>
              <w:t>(1)</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2,542,348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2,765,812</w:t>
            </w:r>
          </w:p>
        </w:tc>
        <w:tc>
          <w:tcPr>
            <w:tcW w:w="220" w:type="dxa"/>
            <w:vAlign w:val="bottom"/>
          </w:tcPr>
          <w:p>
            <w:pPr>
              <w:spacing w:after="0"/>
              <w:rPr>
                <w:sz w:val="15"/>
                <w:szCs w:val="15"/>
                <w:color w:val="auto"/>
              </w:rPr>
            </w:pPr>
          </w:p>
        </w:tc>
      </w:tr>
      <w:tr>
        <w:trPr>
          <w:trHeight w:val="180"/>
        </w:trPr>
        <w:tc>
          <w:tcPr>
            <w:tcW w:w="2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9"/>
              </w:rPr>
              <w:t>Royalty and operating expenses</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1,725,889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1,403,677</w:t>
            </w:r>
          </w:p>
        </w:tc>
        <w:tc>
          <w:tcPr>
            <w:tcW w:w="220" w:type="dxa"/>
            <w:vAlign w:val="bottom"/>
          </w:tcPr>
          <w:p>
            <w:pPr>
              <w:spacing w:after="0"/>
              <w:rPr>
                <w:sz w:val="15"/>
                <w:szCs w:val="15"/>
                <w:color w:val="auto"/>
              </w:rPr>
            </w:pPr>
          </w:p>
        </w:tc>
      </w:tr>
      <w:tr>
        <w:trPr>
          <w:trHeight w:val="171"/>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Vibativ contribution</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4,531,654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4,381,637</w:t>
            </w:r>
          </w:p>
        </w:tc>
        <w:tc>
          <w:tcPr>
            <w:tcW w:w="220" w:type="dxa"/>
            <w:vAlign w:val="bottom"/>
          </w:tcPr>
          <w:p>
            <w:pPr>
              <w:spacing w:after="0"/>
              <w:rPr>
                <w:sz w:val="14"/>
                <w:szCs w:val="14"/>
                <w:color w:val="auto"/>
              </w:rPr>
            </w:pPr>
          </w:p>
        </w:tc>
      </w:tr>
      <w:tr>
        <w:trPr>
          <w:trHeight w:val="20"/>
        </w:trPr>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5"/>
        <w:spacing w:after="0"/>
        <w:tabs>
          <w:tab w:leader="none" w:pos="120" w:val="left"/>
        </w:tabs>
        <w:numPr>
          <w:ilvl w:val="0"/>
          <w:numId w:val="6"/>
        </w:numPr>
        <w:rPr>
          <w:rFonts w:ascii="Arial" w:cs="Arial" w:eastAsia="Arial" w:hAnsi="Arial"/>
          <w:sz w:val="14"/>
          <w:szCs w:val="14"/>
          <w:color w:val="auto"/>
          <w:vertAlign w:val="superscript"/>
        </w:rPr>
      </w:pPr>
      <w:r>
        <w:rPr>
          <w:rFonts w:ascii="Arial" w:cs="Arial" w:eastAsia="Arial" w:hAnsi="Arial"/>
          <w:sz w:val="11"/>
          <w:szCs w:val="11"/>
          <w:color w:val="auto"/>
        </w:rPr>
        <w:t>The Vibativ inventory included in the costs of product sold during the period was acquired and paid for by Cumberland as part of the acquisition of the brand during 2018.</w:t>
      </w:r>
    </w:p>
    <w:p>
      <w:pPr>
        <w:spacing w:after="0" w:line="72"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 xml:space="preserve">Amortization. </w:t>
      </w:r>
      <w:r>
        <w:rPr>
          <w:rFonts w:ascii="Arial" w:cs="Arial" w:eastAsia="Arial" w:hAnsi="Arial"/>
          <w:sz w:val="14"/>
          <w:szCs w:val="14"/>
          <w:color w:val="auto"/>
        </w:rPr>
        <w:t>Amortization expense is the ratable use of our capitalized intangible assets including product and license rights, patents, trademarks and patent defense costs. Amortization for the nine</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September 30, 2021, and nine months ended September 30, 2020, totaled approximately $3.4 million and $3.3 million, respectively.</w:t>
      </w:r>
    </w:p>
    <w:p>
      <w:pPr>
        <w:spacing w:after="0" w:line="47"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 expense (benefit) for the nine months ended September 30, 2021, as a percentage of income (loss) from continuing operations before income taxes, was 1.9% compared to</w:t>
      </w:r>
      <w:r>
        <w:rPr>
          <w:rFonts w:ascii="Arial" w:cs="Arial" w:eastAsia="Arial" w:hAnsi="Arial"/>
          <w:sz w:val="14"/>
          <w:szCs w:val="14"/>
          <w:i w:val="1"/>
          <w:iCs w:val="1"/>
          <w:color w:val="auto"/>
        </w:rPr>
        <w:t xml:space="preserve"> </w:t>
      </w:r>
      <w:r>
        <w:rPr>
          <w:rFonts w:ascii="Arial" w:cs="Arial" w:eastAsia="Arial" w:hAnsi="Arial"/>
          <w:sz w:val="14"/>
          <w:szCs w:val="14"/>
          <w:color w:val="auto"/>
        </w:rPr>
        <w:t>0.9%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Working Capital</w:t>
      </w:r>
    </w:p>
    <w:p>
      <w:pPr>
        <w:spacing w:after="0" w:line="9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primary sources of liquidity are cash equivalents, cash flows from operations and the amounts borrowed and available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liquidity and working capital as of September 30, 2021 and December 31,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6"/>
                <w:szCs w:val="16"/>
                <w:color w:val="auto"/>
              </w:rPr>
            </w:pPr>
          </w:p>
        </w:tc>
        <w:tc>
          <w:tcPr>
            <w:tcW w:w="1880" w:type="dxa"/>
            <w:vAlign w:val="bottom"/>
          </w:tcPr>
          <w:p>
            <w:pPr>
              <w:jc w:val="right"/>
              <w:ind w:right="449"/>
              <w:spacing w:after="0"/>
              <w:rPr>
                <w:sz w:val="20"/>
                <w:szCs w:val="20"/>
                <w:color w:val="auto"/>
              </w:rPr>
            </w:pPr>
            <w:r>
              <w:rPr>
                <w:rFonts w:ascii="Arial" w:cs="Arial" w:eastAsia="Arial" w:hAnsi="Arial"/>
                <w:sz w:val="14"/>
                <w:szCs w:val="14"/>
                <w:b w:val="1"/>
                <w:bCs w:val="1"/>
                <w:color w:val="auto"/>
              </w:rPr>
              <w:t>December 31, 2020</w:t>
            </w:r>
          </w:p>
        </w:tc>
      </w:tr>
      <w:tr>
        <w:trPr>
          <w:trHeight w:val="76"/>
        </w:trPr>
        <w:tc>
          <w:tcPr>
            <w:tcW w:w="67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9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880" w:type="dxa"/>
            <w:vAlign w:val="bottom"/>
            <w:tcBorders>
              <w:top w:val="single" w:sz="8" w:color="auto"/>
            </w:tcBorders>
          </w:tcPr>
          <w:p>
            <w:pPr>
              <w:spacing w:after="0"/>
              <w:rPr>
                <w:sz w:val="6"/>
                <w:szCs w:val="6"/>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25,843,231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24,753,796</w:t>
            </w:r>
          </w:p>
        </w:tc>
      </w:tr>
      <w:tr>
        <w:trPr>
          <w:trHeight w:val="161"/>
        </w:trPr>
        <w:tc>
          <w:tcPr>
            <w:tcW w:w="6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 (current assets less current liabilities)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29,270,145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24,302,146</w:t>
            </w:r>
          </w:p>
        </w:tc>
      </w:tr>
      <w:tr>
        <w:trPr>
          <w:trHeight w:val="180"/>
        </w:trPr>
        <w:tc>
          <w:tcPr>
            <w:tcW w:w="6720" w:type="dxa"/>
            <w:vAlign w:val="bottom"/>
          </w:tcPr>
          <w:p>
            <w:pPr>
              <w:ind w:left="20"/>
              <w:spacing w:after="0"/>
              <w:rPr>
                <w:sz w:val="20"/>
                <w:szCs w:val="20"/>
                <w:color w:val="auto"/>
              </w:rPr>
            </w:pPr>
            <w:r>
              <w:rPr>
                <w:rFonts w:ascii="Arial" w:cs="Arial" w:eastAsia="Arial" w:hAnsi="Arial"/>
                <w:sz w:val="14"/>
                <w:szCs w:val="14"/>
                <w:color w:val="auto"/>
              </w:rPr>
              <w:t>Current ratio (multiple of current assets to current liabilities)</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1"/>
        </w:trPr>
        <w:tc>
          <w:tcPr>
            <w:tcW w:w="6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180"/>
        </w:trPr>
        <w:tc>
          <w:tcPr>
            <w:tcW w:w="6720" w:type="dxa"/>
            <w:vAlign w:val="bottom"/>
          </w:tcPr>
          <w:p>
            <w:pPr>
              <w:ind w:left="20"/>
              <w:spacing w:after="0"/>
              <w:rPr>
                <w:sz w:val="20"/>
                <w:szCs w:val="20"/>
                <w:color w:val="auto"/>
              </w:rPr>
            </w:pPr>
            <w:r>
              <w:rPr>
                <w:rFonts w:ascii="Arial" w:cs="Arial" w:eastAsia="Arial" w:hAnsi="Arial"/>
                <w:sz w:val="14"/>
                <w:szCs w:val="14"/>
                <w:color w:val="auto"/>
              </w:rPr>
              <w:t>Revolving line of credit availability</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2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net changes in cash and cash equivalents for the nine months ended September 30, 2021 and September 30,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368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Borders>
              <w:bottom w:val="single" w:sz="8" w:color="auto"/>
            </w:tcBorders>
          </w:tcPr>
          <w:p>
            <w:pPr>
              <w:spacing w:after="0"/>
              <w:rPr>
                <w:sz w:val="16"/>
                <w:szCs w:val="16"/>
                <w:color w:val="auto"/>
              </w:rPr>
            </w:pPr>
          </w:p>
        </w:tc>
      </w:tr>
      <w:tr>
        <w:trPr>
          <w:trHeight w:val="171"/>
        </w:trPr>
        <w:tc>
          <w:tcPr>
            <w:tcW w:w="6720" w:type="dxa"/>
            <w:vAlign w:val="bottom"/>
          </w:tcPr>
          <w:p>
            <w:pPr>
              <w:spacing w:after="0"/>
              <w:rPr>
                <w:sz w:val="14"/>
                <w:szCs w:val="14"/>
                <w:color w:val="auto"/>
              </w:rPr>
            </w:pPr>
          </w:p>
        </w:tc>
        <w:tc>
          <w:tcPr>
            <w:tcW w:w="13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r>
      <w:tr>
        <w:trPr>
          <w:trHeight w:val="65"/>
        </w:trPr>
        <w:tc>
          <w:tcPr>
            <w:tcW w:w="6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1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67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1360" w:type="dxa"/>
            <w:vAlign w:val="bottom"/>
          </w:tcPr>
          <w:p>
            <w:pPr>
              <w:jc w:val="right"/>
              <w:ind w:right="120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4,382,763</w:t>
            </w:r>
          </w:p>
        </w:tc>
        <w:tc>
          <w:tcPr>
            <w:tcW w:w="120" w:type="dxa"/>
            <w:vAlign w:val="bottom"/>
          </w:tcPr>
          <w:p>
            <w:pPr>
              <w:spacing w:after="0"/>
              <w:rPr>
                <w:sz w:val="15"/>
                <w:szCs w:val="15"/>
                <w:color w:val="auto"/>
              </w:rPr>
            </w:pPr>
          </w:p>
        </w:tc>
        <w:tc>
          <w:tcPr>
            <w:tcW w:w="1380" w:type="dxa"/>
            <w:vAlign w:val="bottom"/>
          </w:tcPr>
          <w:p>
            <w:pPr>
              <w:jc w:val="right"/>
              <w:ind w:right="1229"/>
              <w:spacing w:after="0"/>
              <w:rPr>
                <w:sz w:val="20"/>
                <w:szCs w:val="20"/>
                <w:color w:val="auto"/>
              </w:rPr>
            </w:pPr>
            <w:r>
              <w:rPr>
                <w:rFonts w:ascii="Arial" w:cs="Arial" w:eastAsia="Arial" w:hAnsi="Arial"/>
                <w:sz w:val="14"/>
                <w:szCs w:val="14"/>
                <w:color w:val="auto"/>
                <w:w w:val="76"/>
              </w:rPr>
              <w:t>$</w:t>
            </w:r>
          </w:p>
        </w:tc>
        <w:tc>
          <w:tcPr>
            <w:tcW w:w="800" w:type="dxa"/>
            <w:vAlign w:val="bottom"/>
          </w:tcPr>
          <w:p>
            <w:pPr>
              <w:jc w:val="center"/>
              <w:ind w:left="69"/>
              <w:spacing w:after="0"/>
              <w:rPr>
                <w:sz w:val="20"/>
                <w:szCs w:val="20"/>
                <w:color w:val="auto"/>
              </w:rPr>
            </w:pPr>
            <w:r>
              <w:rPr>
                <w:rFonts w:ascii="Arial" w:cs="Arial" w:eastAsia="Arial" w:hAnsi="Arial"/>
                <w:sz w:val="14"/>
                <w:szCs w:val="14"/>
                <w:color w:val="auto"/>
                <w:w w:val="93"/>
              </w:rPr>
              <w:t>4,561,140</w:t>
            </w:r>
          </w:p>
        </w:tc>
      </w:tr>
      <w:tr>
        <w:trPr>
          <w:trHeight w:val="181"/>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(475,098)</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2"/>
              </w:rPr>
              <w:t>(1,441,768)</w:t>
            </w:r>
          </w:p>
        </w:tc>
      </w:tr>
      <w:tr>
        <w:trPr>
          <w:trHeight w:val="18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1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(2,818,230)</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color w:val="auto"/>
                <w:w w:val="92"/>
              </w:rPr>
              <w:t>(4,685,477)</w:t>
            </w: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1,089,435</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center"/>
              <w:ind w:left="29"/>
              <w:spacing w:after="0"/>
              <w:rPr>
                <w:sz w:val="20"/>
                <w:szCs w:val="20"/>
                <w:color w:val="auto"/>
              </w:rPr>
            </w:pPr>
            <w:r>
              <w:rPr>
                <w:rFonts w:ascii="Arial" w:cs="Arial" w:eastAsia="Arial" w:hAnsi="Arial"/>
                <w:sz w:val="14"/>
                <w:szCs w:val="14"/>
                <w:color w:val="auto"/>
                <w:w w:val="92"/>
              </w:rPr>
              <w:t>(1,566,105)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net $1.1 million increase in cash and cash equivalents for the nine months ended September 30, 2021, was primarily attributable to cash provided by operating activities, partially offset by cash used in investing and financing activities. Cash provided by operating activities of $4.4 million was positively impacted by decreases in inventory of $2.6 million and accounts receivable of $2.5 million, as well as the add back of non-cash expenses of depreciation, amortization and share-based compensation expense totaling $4.0 million. Operating activities were also offset by the decrease in accounts payable of $2.9 million and the forgiveness of our PPP Loan of $2.2 million. Cash used in investing activities was the result of additions to intangibles of $0.2 million and the payment of $0.2 million to the WHC JV. Our financing activities included the $1.0 million in cash used to repurchase shares of our common stock as well as the $1.8 million used for the payment of royalties to Theravance for sales of Vibativ.</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net $1.6 million decrease in cash and cash equivalents for the nine months ended September 30, 2020, was primarily attributable to cash used in investing and financing activities. Cash provided by operating activities of $4.6 million was positively impacted by decreases in inventory of $1.7 million, as well as the add back of non-cash expenses of depreciation, amortization and share-based compensation expense totaling $4.3 million. Cash used by investing activities was the result of additions to intangibles of $1.8 million, including the payment of $1.0 million for RediTrex, equipment of $0.1 million and partially offset by proceeds from surrender of life insurance policies of $0.4 million. Our financing activities included the net repayment of $1.5 million on our revolving line of credit, the $1.6 million in cash used to repurchase shares of our common stock as well as the $0.8 million used for the repurchase of a portion of CET's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Debt Agreement</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October 28, 2021, the Company and Pinnacle Bank entered into a Fourth Amendment to the Revolving Credit Note and Fifth Amendment ("Fifth Amendment") to the Revolving Credit Loan Agreement to renew the Revolving Credit Loan.</w:t>
      </w:r>
    </w:p>
    <w:p>
      <w:pPr>
        <w:spacing w:after="0" w:line="79"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original Pinnacle Agreement was dated July 2017. Beginning on August 14, 2018, and continuing until October 7, 2020, the Company and Pinnacle Bank entered into a series of amendments to extend and update the Revolving Credit Note and Revolving Credit Agreement. The most recent amendment dated October 28, 2021, extends the maturity date three years through October 1, 2024.</w:t>
      </w:r>
    </w:p>
    <w:p>
      <w:pPr>
        <w:spacing w:after="0" w:line="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Consistent with prior Amendments, the Fifth Amendment provides for a principal balance available for borrowing of up to $15 million. The Company has the right to request an increase of up to an additional $5 million providing a maximum principal available of up to $20 million upon the satisfaction of certain conditions and with the approval of Pinnacle Bank. Also consistent with prior Amendments, the Company is required to maintain either a Funded Debt Ratio covenant or a Tangible Capital Ratio covenant.</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interest rate on the Pinnacle Agreement is based on LIBOR plus an interest rate spread. The pricing under the Fourth Amendment provides for an interest rate spread of 1.75% to 2.75% above LIBOR with a minimum LIBOR of 0.90%. The applicable interest rate under the Pinnacle Agreement was 3.65% at September 30, 2021. In addition, a fee of 0.25% per year is charged on the unused line of credit. Interest and the unused line fee are payable quarterly.</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September 30, 2021 and December 31, 2020, the Company had $15.0 million in borrowings outstanding under its revolving credit facility. The Company was in compliance with the Tangible Capital Ratio financial covenant as of September 30, 2021.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Paycheck Protection Program Loan</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 For a summary of the material terms of the Paycheck Protection Program loan, see Note 6 to the accompanying unaudited condensed consolidated financial statements.</w:t>
      </w:r>
    </w:p>
    <w:p>
      <w:pPr>
        <w:spacing w:after="0" w:line="57"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Under the terms of the PPP, certain amounts of the loan may be forgiven if they are used for qualifying expenses as described in the CARES Act, including qualifying payroll costs, covered rent payments, and covered utilities. Cumberland used the PPP loan funds for such qualifying expenses. Due to assistance from our PPP loan, the Company did not lay off or furlough any employees as a result of the COVID-19 pandemic.</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In October 2020, Cumberland submitted a request for the loan’s forgiveness. On June 11, 2021, the Company received a formal notice from the SBA that the full amount of the loan was forgiven.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 months ended September 30, 2021 and 2020, we did not engage in any off-balance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57"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September 30, 2021.</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interest rate risk related to borrowings under our line of credit is based on LIBOR plus an interest rate spread. The pricing under the Fourth Amendment of the Pinnacle Agreement provides for an interest rate spread of 1.75% to 2.75% above LIBOR with a minimum LIBOR of 0.90%. The applicable interest rate under the Pinnacle Agreement was 3.65% at September 30, 2021. As of September 30, 2021, we had $15.0 million in borrowings outstanding under our revolving credit facility.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 Rate Risk</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nine months ended September 30, 2021 and 2020. Neither a five percent increase nor decrease from current exchange rates would have a material effect on our operating results or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three months ended September 30, 2021,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4"/>
          <w:szCs w:val="14"/>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to the other information set forth in this quarterly report, an investor should consider the risk factors included in the Company's Annual Report on Form 10-K for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w:t>
      </w:r>
    </w:p>
    <w:p>
      <w:pPr>
        <w:spacing w:after="0" w:line="8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activity, by month, during the three months ended September 30, 2021: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tcPr>
          <w:p>
            <w:pPr>
              <w:jc w:val="center"/>
              <w:ind w:right="300"/>
              <w:spacing w:after="0"/>
              <w:rPr>
                <w:sz w:val="20"/>
                <w:szCs w:val="20"/>
                <w:color w:val="auto"/>
              </w:rPr>
            </w:pPr>
            <w:r>
              <w:rPr>
                <w:rFonts w:ascii="Arial" w:cs="Arial" w:eastAsia="Arial" w:hAnsi="Arial"/>
                <w:sz w:val="11"/>
                <w:szCs w:val="11"/>
                <w:b w:val="1"/>
                <w:bCs w:val="1"/>
                <w:color w:val="auto"/>
                <w:w w:val="96"/>
              </w:rPr>
              <w:t>Maximum Number</w:t>
            </w:r>
          </w:p>
        </w:tc>
        <w:tc>
          <w:tcPr>
            <w:tcW w:w="0" w:type="dxa"/>
            <w:vAlign w:val="bottom"/>
          </w:tcPr>
          <w:p>
            <w:pPr>
              <w:spacing w:after="0"/>
              <w:rPr>
                <w:sz w:val="1"/>
                <w:szCs w:val="1"/>
                <w:color w:val="auto"/>
              </w:rPr>
            </w:pPr>
          </w:p>
        </w:tc>
      </w:tr>
      <w:tr>
        <w:trPr>
          <w:trHeight w:val="106"/>
        </w:trPr>
        <w:tc>
          <w:tcPr>
            <w:tcW w:w="4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4"/>
              </w:rPr>
              <w:t>(or Approximate</w:t>
            </w:r>
          </w:p>
        </w:tc>
        <w:tc>
          <w:tcPr>
            <w:tcW w:w="0" w:type="dxa"/>
            <w:vAlign w:val="bottom"/>
          </w:tcPr>
          <w:p>
            <w:pPr>
              <w:spacing w:after="0"/>
              <w:rPr>
                <w:sz w:val="1"/>
                <w:szCs w:val="1"/>
                <w:color w:val="auto"/>
              </w:rPr>
            </w:pPr>
          </w:p>
        </w:tc>
      </w:tr>
      <w:tr>
        <w:trPr>
          <w:trHeight w:val="106"/>
        </w:trPr>
        <w:tc>
          <w:tcPr>
            <w:tcW w:w="4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4"/>
              </w:rPr>
              <w:t>Dollar Value) of</w:t>
            </w:r>
          </w:p>
        </w:tc>
        <w:tc>
          <w:tcPr>
            <w:tcW w:w="0" w:type="dxa"/>
            <w:vAlign w:val="bottom"/>
          </w:tcPr>
          <w:p>
            <w:pPr>
              <w:spacing w:after="0"/>
              <w:rPr>
                <w:sz w:val="1"/>
                <w:szCs w:val="1"/>
                <w:color w:val="auto"/>
              </w:rPr>
            </w:pPr>
          </w:p>
        </w:tc>
      </w:tr>
      <w:tr>
        <w:trPr>
          <w:trHeight w:val="106"/>
        </w:trPr>
        <w:tc>
          <w:tcPr>
            <w:tcW w:w="430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Total Number of</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92"/>
              </w:rPr>
              <w:t>Average</w:t>
            </w:r>
          </w:p>
        </w:tc>
        <w:tc>
          <w:tcPr>
            <w:tcW w:w="360" w:type="dxa"/>
            <w:vAlign w:val="bottom"/>
          </w:tcPr>
          <w:p>
            <w:pPr>
              <w:spacing w:after="0"/>
              <w:rPr>
                <w:sz w:val="9"/>
                <w:szCs w:val="9"/>
                <w:color w:val="auto"/>
              </w:rPr>
            </w:pPr>
          </w:p>
        </w:tc>
        <w:tc>
          <w:tcPr>
            <w:tcW w:w="1840" w:type="dxa"/>
            <w:vAlign w:val="bottom"/>
          </w:tcPr>
          <w:p>
            <w:pPr>
              <w:jc w:val="center"/>
              <w:ind w:right="320"/>
              <w:spacing w:after="0" w:line="106" w:lineRule="exact"/>
              <w:rPr>
                <w:sz w:val="20"/>
                <w:szCs w:val="20"/>
                <w:color w:val="auto"/>
              </w:rPr>
            </w:pPr>
            <w:r>
              <w:rPr>
                <w:rFonts w:ascii="Arial" w:cs="Arial" w:eastAsia="Arial" w:hAnsi="Arial"/>
                <w:sz w:val="11"/>
                <w:szCs w:val="11"/>
                <w:b w:val="1"/>
                <w:bCs w:val="1"/>
                <w:color w:val="auto"/>
                <w:w w:val="92"/>
              </w:rPr>
              <w:t>Shares (or Units)</w:t>
            </w:r>
          </w:p>
        </w:tc>
        <w:tc>
          <w:tcPr>
            <w:tcW w:w="0" w:type="dxa"/>
            <w:vAlign w:val="bottom"/>
          </w:tcPr>
          <w:p>
            <w:pPr>
              <w:spacing w:after="0"/>
              <w:rPr>
                <w:sz w:val="1"/>
                <w:szCs w:val="1"/>
                <w:color w:val="auto"/>
              </w:rPr>
            </w:pPr>
          </w:p>
        </w:tc>
      </w:tr>
      <w:tr>
        <w:trPr>
          <w:trHeight w:val="106"/>
        </w:trPr>
        <w:tc>
          <w:tcPr>
            <w:tcW w:w="430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20"/>
              <w:spacing w:after="0" w:line="106" w:lineRule="exact"/>
              <w:rPr>
                <w:sz w:val="20"/>
                <w:szCs w:val="20"/>
                <w:color w:val="auto"/>
              </w:rPr>
            </w:pPr>
            <w:r>
              <w:rPr>
                <w:rFonts w:ascii="Arial" w:cs="Arial" w:eastAsia="Arial" w:hAnsi="Arial"/>
                <w:sz w:val="11"/>
                <w:szCs w:val="11"/>
                <w:b w:val="1"/>
                <w:bCs w:val="1"/>
                <w:color w:val="auto"/>
                <w:w w:val="95"/>
              </w:rPr>
              <w:t>that May Yet Be</w:t>
            </w:r>
          </w:p>
        </w:tc>
        <w:tc>
          <w:tcPr>
            <w:tcW w:w="0" w:type="dxa"/>
            <w:vAlign w:val="bottom"/>
          </w:tcPr>
          <w:p>
            <w:pPr>
              <w:spacing w:after="0"/>
              <w:rPr>
                <w:sz w:val="1"/>
                <w:szCs w:val="1"/>
                <w:color w:val="auto"/>
              </w:rPr>
            </w:pPr>
          </w:p>
        </w:tc>
      </w:tr>
      <w:tr>
        <w:trPr>
          <w:trHeight w:val="106"/>
        </w:trPr>
        <w:tc>
          <w:tcPr>
            <w:tcW w:w="4300" w:type="dxa"/>
            <w:vAlign w:val="bottom"/>
          </w:tcPr>
          <w:p>
            <w:pPr>
              <w:spacing w:after="0"/>
              <w:rPr>
                <w:sz w:val="9"/>
                <w:szCs w:val="9"/>
                <w:color w:val="auto"/>
              </w:rPr>
            </w:pPr>
          </w:p>
        </w:tc>
        <w:tc>
          <w:tcPr>
            <w:tcW w:w="22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3"/>
              </w:rPr>
              <w:t>Shares or Units</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tcPr>
          <w:p>
            <w:pPr>
              <w:jc w:val="center"/>
              <w:ind w:right="500"/>
              <w:spacing w:after="0" w:line="106" w:lineRule="exact"/>
              <w:rPr>
                <w:sz w:val="20"/>
                <w:szCs w:val="20"/>
                <w:color w:val="auto"/>
              </w:rPr>
            </w:pPr>
            <w:r>
              <w:rPr>
                <w:rFonts w:ascii="Arial" w:cs="Arial" w:eastAsia="Arial" w:hAnsi="Arial"/>
                <w:sz w:val="11"/>
                <w:szCs w:val="11"/>
                <w:b w:val="1"/>
                <w:bCs w:val="1"/>
                <w:color w:val="auto"/>
                <w:w w:val="90"/>
              </w:rPr>
              <w:t>Price Paid</w:t>
            </w: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2"/>
              </w:rPr>
              <w:t>Purchased Under</w:t>
            </w:r>
          </w:p>
        </w:tc>
        <w:tc>
          <w:tcPr>
            <w:tcW w:w="0" w:type="dxa"/>
            <w:vAlign w:val="bottom"/>
          </w:tcPr>
          <w:p>
            <w:pPr>
              <w:spacing w:after="0"/>
              <w:rPr>
                <w:sz w:val="1"/>
                <w:szCs w:val="1"/>
                <w:color w:val="auto"/>
              </w:rPr>
            </w:pPr>
          </w:p>
        </w:tc>
      </w:tr>
      <w:tr>
        <w:trPr>
          <w:trHeight w:val="106"/>
        </w:trPr>
        <w:tc>
          <w:tcPr>
            <w:tcW w:w="430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22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Purchased, which were also Part of the</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tcPr>
          <w:p>
            <w:pPr>
              <w:jc w:val="center"/>
              <w:ind w:right="500"/>
              <w:spacing w:after="0" w:line="106" w:lineRule="exact"/>
              <w:rPr>
                <w:sz w:val="20"/>
                <w:szCs w:val="20"/>
                <w:color w:val="auto"/>
              </w:rPr>
            </w:pPr>
            <w:r>
              <w:rPr>
                <w:rFonts w:ascii="Arial" w:cs="Arial" w:eastAsia="Arial" w:hAnsi="Arial"/>
                <w:sz w:val="11"/>
                <w:szCs w:val="11"/>
                <w:b w:val="1"/>
                <w:bCs w:val="1"/>
                <w:color w:val="auto"/>
                <w:w w:val="94"/>
              </w:rPr>
              <w:t>per Share</w:t>
            </w: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88"/>
              </w:rPr>
              <w:t>the Plans or</w:t>
            </w:r>
          </w:p>
        </w:tc>
        <w:tc>
          <w:tcPr>
            <w:tcW w:w="0" w:type="dxa"/>
            <w:vAlign w:val="bottom"/>
          </w:tcPr>
          <w:p>
            <w:pPr>
              <w:spacing w:after="0"/>
              <w:rPr>
                <w:sz w:val="1"/>
                <w:szCs w:val="1"/>
                <w:color w:val="auto"/>
              </w:rPr>
            </w:pPr>
          </w:p>
        </w:tc>
      </w:tr>
      <w:tr>
        <w:trPr>
          <w:trHeight w:val="148"/>
        </w:trPr>
        <w:tc>
          <w:tcPr>
            <w:tcW w:w="4300" w:type="dxa"/>
            <w:vAlign w:val="bottom"/>
            <w:vMerge w:val="continue"/>
          </w:tcPr>
          <w:p>
            <w:pPr>
              <w:spacing w:after="0"/>
              <w:rPr>
                <w:sz w:val="12"/>
                <w:szCs w:val="12"/>
                <w:color w:val="auto"/>
              </w:rPr>
            </w:pPr>
          </w:p>
        </w:tc>
        <w:tc>
          <w:tcPr>
            <w:tcW w:w="2200" w:type="dxa"/>
            <w:vAlign w:val="bottom"/>
          </w:tcPr>
          <w:p>
            <w:pPr>
              <w:jc w:val="center"/>
              <w:spacing w:after="0"/>
              <w:rPr>
                <w:sz w:val="20"/>
                <w:szCs w:val="20"/>
                <w:color w:val="auto"/>
              </w:rPr>
            </w:pPr>
            <w:r>
              <w:rPr>
                <w:rFonts w:ascii="Arial" w:cs="Arial" w:eastAsia="Arial" w:hAnsi="Arial"/>
                <w:sz w:val="11"/>
                <w:szCs w:val="11"/>
                <w:b w:val="1"/>
                <w:bCs w:val="1"/>
                <w:color w:val="auto"/>
                <w:w w:val="92"/>
              </w:rPr>
              <w:t>Publicly Announced Plans or Programs</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rPr>
              <w:t>(or Unit)</w:t>
            </w:r>
          </w:p>
        </w:tc>
        <w:tc>
          <w:tcPr>
            <w:tcW w:w="360" w:type="dxa"/>
            <w:vAlign w:val="bottom"/>
          </w:tcPr>
          <w:p>
            <w:pPr>
              <w:spacing w:after="0"/>
              <w:rPr>
                <w:sz w:val="12"/>
                <w:szCs w:val="12"/>
                <w:color w:val="auto"/>
              </w:rPr>
            </w:pPr>
          </w:p>
        </w:tc>
        <w:tc>
          <w:tcPr>
            <w:tcW w:w="1840" w:type="dxa"/>
            <w:vAlign w:val="bottom"/>
          </w:tcPr>
          <w:p>
            <w:pPr>
              <w:jc w:val="right"/>
              <w:ind w:right="700"/>
              <w:spacing w:after="0"/>
              <w:rPr>
                <w:sz w:val="20"/>
                <w:szCs w:val="20"/>
                <w:color w:val="auto"/>
              </w:rPr>
            </w:pPr>
            <w:r>
              <w:rPr>
                <w:rFonts w:ascii="Arial" w:cs="Arial" w:eastAsia="Arial" w:hAnsi="Arial"/>
                <w:sz w:val="11"/>
                <w:szCs w:val="11"/>
                <w:b w:val="1"/>
                <w:bCs w:val="1"/>
                <w:color w:val="auto"/>
              </w:rPr>
              <w:t>Programs</w:t>
            </w: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July</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39,264</w:t>
            </w:r>
          </w:p>
        </w:tc>
        <w:tc>
          <w:tcPr>
            <w:tcW w:w="4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5,273,299</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August</w:t>
            </w:r>
          </w:p>
        </w:tc>
        <w:tc>
          <w:tcPr>
            <w:tcW w:w="2200" w:type="dxa"/>
            <w:vAlign w:val="bottom"/>
          </w:tcPr>
          <w:p>
            <w:pPr>
              <w:jc w:val="center"/>
              <w:spacing w:after="0"/>
              <w:rPr>
                <w:sz w:val="20"/>
                <w:szCs w:val="20"/>
                <w:color w:val="auto"/>
              </w:rPr>
            </w:pPr>
            <w:r>
              <w:rPr>
                <w:rFonts w:ascii="Arial" w:cs="Arial" w:eastAsia="Arial" w:hAnsi="Arial"/>
                <w:sz w:val="14"/>
                <w:szCs w:val="14"/>
                <w:color w:val="auto"/>
                <w:w w:val="93"/>
              </w:rPr>
              <w:t>24,424</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5,200,518</w:t>
            </w: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12,720</w:t>
            </w:r>
          </w:p>
        </w:tc>
        <w:tc>
          <w:tcPr>
            <w:tcW w:w="42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w w:val="90"/>
              </w:rPr>
              <w:t>(1)</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5,164,448</w:t>
            </w:r>
          </w:p>
        </w:tc>
        <w:tc>
          <w:tcPr>
            <w:tcW w:w="0" w:type="dxa"/>
            <w:vAlign w:val="bottom"/>
          </w:tcPr>
          <w:p>
            <w:pPr>
              <w:spacing w:after="0"/>
              <w:rPr>
                <w:sz w:val="1"/>
                <w:szCs w:val="1"/>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4"/>
                <w:szCs w:val="14"/>
                <w:color w:val="auto"/>
              </w:rPr>
              <w:t>Total</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76,408</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5580" w:right="3500" w:hanging="5575"/>
        <w:spacing w:after="0" w:line="908" w:lineRule="auto"/>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Of this amount, 281 shares were repurchased directly through private purchases at the then-current fair market value of common stock.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-323215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Arial" w:cs="Arial" w:eastAsia="Arial" w:hAnsi="Arial"/>
                <w:sz w:val="14"/>
                <w:szCs w:val="14"/>
                <w:b w:val="1"/>
                <w:bCs w:val="1"/>
                <w:color w:val="auto"/>
              </w:rPr>
              <w:t>Item 6. Exhibits</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4"/>
        </w:trPr>
        <w:tc>
          <w:tcPr>
            <w:tcW w:w="1400" w:type="dxa"/>
            <w:vAlign w:val="bottom"/>
          </w:tcPr>
          <w:p>
            <w:pPr>
              <w:ind w:left="20"/>
              <w:spacing w:after="0"/>
              <w:rPr>
                <w:sz w:val="20"/>
                <w:szCs w:val="20"/>
                <w:color w:val="auto"/>
              </w:rPr>
            </w:pPr>
            <w:r>
              <w:rPr>
                <w:rFonts w:ascii="Arial" w:cs="Arial" w:eastAsia="Arial" w:hAnsi="Arial"/>
                <w:sz w:val="14"/>
                <w:szCs w:val="14"/>
                <w:color w:val="auto"/>
              </w:rPr>
              <w:t>No.</w:t>
            </w:r>
          </w:p>
        </w:tc>
        <w:tc>
          <w:tcPr>
            <w:tcW w:w="8500" w:type="dxa"/>
            <w:vAlign w:val="bottom"/>
            <w:gridSpan w:val="8"/>
          </w:tcPr>
          <w:p>
            <w:pPr>
              <w:spacing w:after="0"/>
              <w:rPr>
                <w:sz w:val="20"/>
                <w:szCs w:val="20"/>
                <w:color w:val="auto"/>
              </w:rPr>
            </w:pPr>
            <w:r>
              <w:rPr>
                <w:rFonts w:ascii="Arial" w:cs="Arial" w:eastAsia="Arial" w:hAnsi="Arial"/>
                <w:sz w:val="14"/>
                <w:szCs w:val="14"/>
                <w:color w:val="auto"/>
              </w:rPr>
              <w:t>Description</w:t>
            </w:r>
          </w:p>
        </w:tc>
      </w:tr>
      <w:tr>
        <w:trPr>
          <w:trHeight w:val="329"/>
        </w:trPr>
        <w:tc>
          <w:tcPr>
            <w:tcW w:w="1400" w:type="dxa"/>
            <w:vAlign w:val="bottom"/>
          </w:tcPr>
          <w:p>
            <w:pPr>
              <w:ind w:left="20"/>
              <w:spacing w:after="0"/>
              <w:rPr>
                <w:sz w:val="20"/>
                <w:szCs w:val="20"/>
                <w:color w:val="auto"/>
              </w:rPr>
            </w:pPr>
            <w:r>
              <w:rPr>
                <w:rFonts w:ascii="Arial" w:cs="Arial" w:eastAsia="Arial" w:hAnsi="Arial"/>
                <w:sz w:val="14"/>
                <w:szCs w:val="14"/>
                <w:color w:val="auto"/>
              </w:rPr>
              <w:t>10.1*</w:t>
            </w:r>
          </w:p>
        </w:tc>
        <w:tc>
          <w:tcPr>
            <w:tcW w:w="8500" w:type="dxa"/>
            <w:vAlign w:val="bottom"/>
            <w:gridSpan w:val="8"/>
          </w:tcPr>
          <w:p>
            <w:pPr>
              <w:spacing w:after="0"/>
              <w:rPr>
                <w:rFonts w:ascii="Arial" w:cs="Arial" w:eastAsia="Arial" w:hAnsi="Arial"/>
                <w:sz w:val="14"/>
                <w:szCs w:val="14"/>
                <w:color w:val="0000FF"/>
                <w:w w:val="96"/>
              </w:rPr>
            </w:pPr>
            <w:hyperlink w:anchor="page34">
              <w:r>
                <w:rPr>
                  <w:rFonts w:ascii="Arial" w:cs="Arial" w:eastAsia="Arial" w:hAnsi="Arial"/>
                  <w:sz w:val="14"/>
                  <w:szCs w:val="14"/>
                  <w:color w:val="0000FF"/>
                  <w:w w:val="96"/>
                </w:rPr>
                <w:t>Fourth Amendment to Revolving Credit Note and Fifth Amendment to Revolving Credit Loan Agreement, dated as of October 28, 2021, by and</w:t>
              </w:r>
            </w:hyperlink>
          </w:p>
        </w:tc>
      </w:tr>
      <w:tr>
        <w:trPr>
          <w:trHeight w:val="129"/>
        </w:trPr>
        <w:tc>
          <w:tcPr>
            <w:tcW w:w="1400" w:type="dxa"/>
            <w:vAlign w:val="bottom"/>
          </w:tcPr>
          <w:p>
            <w:pPr>
              <w:spacing w:after="0"/>
              <w:rPr>
                <w:sz w:val="11"/>
                <w:szCs w:val="11"/>
                <w:color w:val="auto"/>
              </w:rPr>
            </w:pPr>
          </w:p>
        </w:tc>
        <w:tc>
          <w:tcPr>
            <w:tcW w:w="846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w:anchor="page34">
              <w:r>
                <w:rPr>
                  <w:rFonts w:ascii="Arial" w:cs="Arial" w:eastAsia="Arial" w:hAnsi="Arial"/>
                  <w:sz w:val="14"/>
                  <w:szCs w:val="14"/>
                  <w:color w:val="0000FF"/>
                </w:rPr>
                <w:t>between Cumberland Pharmaceuticals Inc. and Pinnacle Bank.</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40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400" w:type="dxa"/>
            <w:vAlign w:val="bottom"/>
          </w:tcPr>
          <w:p>
            <w:pPr>
              <w:ind w:left="20"/>
              <w:spacing w:after="0"/>
              <w:rPr>
                <w:sz w:val="20"/>
                <w:szCs w:val="20"/>
                <w:color w:val="auto"/>
              </w:rPr>
            </w:pPr>
            <w:r>
              <w:rPr>
                <w:rFonts w:ascii="Arial" w:cs="Arial" w:eastAsia="Arial" w:hAnsi="Arial"/>
                <w:sz w:val="14"/>
                <w:szCs w:val="14"/>
                <w:color w:val="auto"/>
              </w:rPr>
              <w:t>31.1*</w:t>
            </w:r>
          </w:p>
        </w:tc>
        <w:tc>
          <w:tcPr>
            <w:tcW w:w="8500" w:type="dxa"/>
            <w:vAlign w:val="bottom"/>
            <w:gridSpan w:val="8"/>
          </w:tcPr>
          <w:p>
            <w:pPr>
              <w:spacing w:after="0"/>
              <w:rPr>
                <w:rFonts w:ascii="Arial" w:cs="Arial" w:eastAsia="Arial" w:hAnsi="Arial"/>
                <w:sz w:val="14"/>
                <w:szCs w:val="14"/>
                <w:color w:val="0000FF"/>
                <w:w w:val="95"/>
              </w:rPr>
            </w:pPr>
            <w:hyperlink w:anchor="page47">
              <w:r>
                <w:rPr>
                  <w:rFonts w:ascii="Arial" w:cs="Arial" w:eastAsia="Arial" w:hAnsi="Arial"/>
                  <w:sz w:val="14"/>
                  <w:szCs w:val="14"/>
                  <w:color w:val="0000FF"/>
                  <w:w w:val="95"/>
                </w:rPr>
                <w:t>Certification of Chief Executive Officer Pursuant to Rule 13-14(a) of the Securities Exchange Act of 1934 as Adopted Pursuant to Section 302 of</w:t>
              </w:r>
            </w:hyperlink>
          </w:p>
        </w:tc>
      </w:tr>
      <w:tr>
        <w:trPr>
          <w:trHeight w:val="118"/>
        </w:trPr>
        <w:tc>
          <w:tcPr>
            <w:tcW w:w="1400" w:type="dxa"/>
            <w:vAlign w:val="bottom"/>
          </w:tcPr>
          <w:p>
            <w:pPr>
              <w:spacing w:after="0"/>
              <w:rPr>
                <w:sz w:val="10"/>
                <w:szCs w:val="10"/>
                <w:color w:val="auto"/>
              </w:rPr>
            </w:pPr>
          </w:p>
        </w:tc>
        <w:tc>
          <w:tcPr>
            <w:tcW w:w="18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7"/>
              </w:rPr>
            </w:pPr>
            <w:hyperlink w:anchor="page47">
              <w:r>
                <w:rPr>
                  <w:rFonts w:ascii="Arial" w:cs="Arial" w:eastAsia="Arial" w:hAnsi="Arial"/>
                  <w:sz w:val="13"/>
                  <w:szCs w:val="13"/>
                  <w:color w:val="0000FF"/>
                  <w:w w:val="97"/>
                </w:rPr>
                <w:t>the Sarbanes-Oxley Act of 2002.</w:t>
              </w:r>
            </w:hyperlink>
          </w:p>
        </w:tc>
        <w:tc>
          <w:tcPr>
            <w:tcW w:w="6580" w:type="dxa"/>
            <w:vAlign w:val="bottom"/>
            <w:tcBorders>
              <w:top w:val="single" w:sz="8" w:color="0000FF"/>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341"/>
        </w:trPr>
        <w:tc>
          <w:tcPr>
            <w:tcW w:w="1400" w:type="dxa"/>
            <w:vAlign w:val="bottom"/>
          </w:tcPr>
          <w:p>
            <w:pPr>
              <w:ind w:left="20"/>
              <w:spacing w:after="0"/>
              <w:rPr>
                <w:sz w:val="20"/>
                <w:szCs w:val="20"/>
                <w:color w:val="auto"/>
              </w:rPr>
            </w:pPr>
            <w:r>
              <w:rPr>
                <w:rFonts w:ascii="Arial" w:cs="Arial" w:eastAsia="Arial" w:hAnsi="Arial"/>
                <w:sz w:val="14"/>
                <w:szCs w:val="14"/>
                <w:color w:val="auto"/>
              </w:rPr>
              <w:t>31.2*</w:t>
            </w:r>
          </w:p>
        </w:tc>
        <w:tc>
          <w:tcPr>
            <w:tcW w:w="8500" w:type="dxa"/>
            <w:vAlign w:val="bottom"/>
            <w:gridSpan w:val="8"/>
          </w:tcPr>
          <w:p>
            <w:pPr>
              <w:spacing w:after="0"/>
              <w:rPr>
                <w:rFonts w:ascii="Arial" w:cs="Arial" w:eastAsia="Arial" w:hAnsi="Arial"/>
                <w:sz w:val="14"/>
                <w:szCs w:val="14"/>
                <w:color w:val="0000FF"/>
                <w:w w:val="93"/>
              </w:rPr>
            </w:pPr>
            <w:hyperlink w:anchor="page48">
              <w:r>
                <w:rPr>
                  <w:rFonts w:ascii="Arial" w:cs="Arial" w:eastAsia="Arial" w:hAnsi="Arial"/>
                  <w:sz w:val="14"/>
                  <w:szCs w:val="14"/>
                  <w:color w:val="0000FF"/>
                  <w:w w:val="93"/>
                </w:rPr>
                <w:t>Certification of Chief Financial Officer Pursuant to Rule 13-14(a) of the Securities Exchange Act of 1934 as Adopted Pursuant to Section 302 of the</w:t>
              </w:r>
            </w:hyperlink>
          </w:p>
        </w:tc>
      </w:tr>
      <w:tr>
        <w:trPr>
          <w:trHeight w:val="118"/>
        </w:trPr>
        <w:tc>
          <w:tcPr>
            <w:tcW w:w="1400" w:type="dxa"/>
            <w:vAlign w:val="bottom"/>
          </w:tcPr>
          <w:p>
            <w:pPr>
              <w:spacing w:after="0"/>
              <w:rPr>
                <w:sz w:val="10"/>
                <w:szCs w:val="10"/>
                <w:color w:val="auto"/>
              </w:rPr>
            </w:pPr>
          </w:p>
        </w:tc>
        <w:tc>
          <w:tcPr>
            <w:tcW w:w="8420" w:type="dxa"/>
            <w:vAlign w:val="bottom"/>
            <w:tcBorders>
              <w:top w:val="single" w:sz="8" w:color="0000FF"/>
            </w:tcBorders>
            <w:gridSpan w:val="4"/>
          </w:tcPr>
          <w:p>
            <w:pPr>
              <w:spacing w:after="0" w:line="118" w:lineRule="exact"/>
              <w:rPr>
                <w:rFonts w:ascii="Arial" w:cs="Arial" w:eastAsia="Arial" w:hAnsi="Arial"/>
                <w:sz w:val="13"/>
                <w:szCs w:val="13"/>
                <w:color w:val="0000FF"/>
              </w:rPr>
            </w:pPr>
            <w:hyperlink w:anchor="page48">
              <w:r>
                <w:rPr>
                  <w:rFonts w:ascii="Arial" w:cs="Arial" w:eastAsia="Arial" w:hAnsi="Arial"/>
                  <w:sz w:val="13"/>
                  <w:szCs w:val="13"/>
                  <w:color w:val="0000FF"/>
                </w:rPr>
                <w:t>Sarbanes-Oxley Act of 2002.</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0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1400" w:type="dxa"/>
            <w:vAlign w:val="bottom"/>
          </w:tcPr>
          <w:p>
            <w:pPr>
              <w:ind w:left="20"/>
              <w:spacing w:after="0"/>
              <w:rPr>
                <w:sz w:val="20"/>
                <w:szCs w:val="20"/>
                <w:color w:val="auto"/>
              </w:rPr>
            </w:pPr>
            <w:r>
              <w:rPr>
                <w:rFonts w:ascii="Arial" w:cs="Arial" w:eastAsia="Arial" w:hAnsi="Arial"/>
                <w:sz w:val="14"/>
                <w:szCs w:val="14"/>
                <w:color w:val="auto"/>
              </w:rPr>
              <w:t>32.1**</w:t>
            </w:r>
          </w:p>
        </w:tc>
        <w:tc>
          <w:tcPr>
            <w:tcW w:w="8500" w:type="dxa"/>
            <w:vAlign w:val="bottom"/>
            <w:gridSpan w:val="8"/>
          </w:tcPr>
          <w:p>
            <w:pPr>
              <w:spacing w:after="0"/>
              <w:rPr>
                <w:rFonts w:ascii="Arial" w:cs="Arial" w:eastAsia="Arial" w:hAnsi="Arial"/>
                <w:sz w:val="14"/>
                <w:szCs w:val="14"/>
                <w:color w:val="0000FF"/>
                <w:w w:val="96"/>
              </w:rPr>
            </w:pPr>
            <w:hyperlink w:anchor="page49">
              <w:r>
                <w:rPr>
                  <w:rFonts w:ascii="Arial" w:cs="Arial" w:eastAsia="Arial" w:hAnsi="Arial"/>
                  <w:sz w:val="14"/>
                  <w:szCs w:val="14"/>
                  <w:color w:val="0000FF"/>
                  <w:w w:val="96"/>
                </w:rPr>
                <w:t>Certification of Chief Executive and Principal Financial Officer Pursuant to 18 U.S.C. Section 1350, as Adopted Pursuant to Section 906 of the</w:t>
              </w:r>
            </w:hyperlink>
          </w:p>
        </w:tc>
      </w:tr>
      <w:tr>
        <w:trPr>
          <w:trHeight w:val="118"/>
        </w:trPr>
        <w:tc>
          <w:tcPr>
            <w:tcW w:w="1400" w:type="dxa"/>
            <w:vAlign w:val="bottom"/>
          </w:tcPr>
          <w:p>
            <w:pPr>
              <w:spacing w:after="0"/>
              <w:rPr>
                <w:sz w:val="10"/>
                <w:szCs w:val="10"/>
                <w:color w:val="auto"/>
              </w:rPr>
            </w:pPr>
          </w:p>
        </w:tc>
        <w:tc>
          <w:tcPr>
            <w:tcW w:w="8480" w:type="dxa"/>
            <w:vAlign w:val="bottom"/>
            <w:tcBorders>
              <w:top w:val="single" w:sz="8" w:color="0000FF"/>
            </w:tcBorders>
            <w:gridSpan w:val="7"/>
          </w:tcPr>
          <w:p>
            <w:pPr>
              <w:spacing w:after="0" w:line="118" w:lineRule="exact"/>
              <w:rPr>
                <w:rFonts w:ascii="Arial" w:cs="Arial" w:eastAsia="Arial" w:hAnsi="Arial"/>
                <w:sz w:val="13"/>
                <w:szCs w:val="13"/>
                <w:color w:val="0000FF"/>
              </w:rPr>
            </w:pPr>
            <w:hyperlink w:anchor="page49">
              <w:r>
                <w:rPr>
                  <w:rFonts w:ascii="Arial" w:cs="Arial" w:eastAsia="Arial" w:hAnsi="Arial"/>
                  <w:sz w:val="13"/>
                  <w:szCs w:val="13"/>
                  <w:color w:val="0000FF"/>
                </w:rPr>
                <w:t>Sarbanes-Oxley Act of 2002.</w:t>
              </w:r>
            </w:hyperlink>
          </w:p>
        </w:tc>
        <w:tc>
          <w:tcPr>
            <w:tcW w:w="20" w:type="dxa"/>
            <w:vAlign w:val="bottom"/>
          </w:tcPr>
          <w:p>
            <w:pPr>
              <w:spacing w:after="0"/>
              <w:rPr>
                <w:sz w:val="10"/>
                <w:szCs w:val="10"/>
                <w:color w:val="auto"/>
              </w:rPr>
            </w:pPr>
          </w:p>
        </w:tc>
      </w:tr>
      <w:tr>
        <w:trPr>
          <w:trHeight w:val="20"/>
        </w:trPr>
        <w:tc>
          <w:tcPr>
            <w:tcW w:w="140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r>
      <w:tr>
        <w:trPr>
          <w:trHeight w:val="330"/>
        </w:trPr>
        <w:tc>
          <w:tcPr>
            <w:tcW w:w="1400" w:type="dxa"/>
            <w:vAlign w:val="bottom"/>
          </w:tcPr>
          <w:p>
            <w:pPr>
              <w:ind w:left="20"/>
              <w:spacing w:after="0"/>
              <w:rPr>
                <w:sz w:val="20"/>
                <w:szCs w:val="20"/>
                <w:color w:val="auto"/>
              </w:rPr>
            </w:pPr>
            <w:r>
              <w:rPr>
                <w:rFonts w:ascii="Arial" w:cs="Arial" w:eastAsia="Arial" w:hAnsi="Arial"/>
                <w:sz w:val="14"/>
                <w:szCs w:val="14"/>
                <w:color w:val="auto"/>
              </w:rPr>
              <w:t>101.INS*</w:t>
            </w:r>
          </w:p>
        </w:tc>
        <w:tc>
          <w:tcPr>
            <w:tcW w:w="8500" w:type="dxa"/>
            <w:vAlign w:val="bottom"/>
            <w:gridSpan w:val="8"/>
          </w:tcPr>
          <w:p>
            <w:pPr>
              <w:spacing w:after="0"/>
              <w:rPr>
                <w:sz w:val="20"/>
                <w:szCs w:val="20"/>
                <w:color w:val="auto"/>
              </w:rPr>
            </w:pPr>
            <w:r>
              <w:rPr>
                <w:rFonts w:ascii="Arial" w:cs="Arial" w:eastAsia="Arial" w:hAnsi="Arial"/>
                <w:sz w:val="14"/>
                <w:szCs w:val="14"/>
                <w:color w:val="auto"/>
              </w:rPr>
              <w:t>INLINE XBRL INSTANCE DOCUMENT - THE INSTANCE DOCUMENT DOES NOT APPEAR IN THE INTERACTIVE DATA FILE</w:t>
            </w:r>
          </w:p>
        </w:tc>
      </w:tr>
      <w:tr>
        <w:trPr>
          <w:trHeight w:val="180"/>
        </w:trPr>
        <w:tc>
          <w:tcPr>
            <w:tcW w:w="1400" w:type="dxa"/>
            <w:vAlign w:val="bottom"/>
          </w:tcPr>
          <w:p>
            <w:pPr>
              <w:spacing w:after="0"/>
              <w:rPr>
                <w:sz w:val="15"/>
                <w:szCs w:val="15"/>
                <w:color w:val="auto"/>
              </w:rPr>
            </w:pPr>
          </w:p>
        </w:tc>
        <w:tc>
          <w:tcPr>
            <w:tcW w:w="8500" w:type="dxa"/>
            <w:vAlign w:val="bottom"/>
            <w:gridSpan w:val="8"/>
          </w:tcPr>
          <w:p>
            <w:pPr>
              <w:spacing w:after="0"/>
              <w:rPr>
                <w:sz w:val="20"/>
                <w:szCs w:val="20"/>
                <w:color w:val="auto"/>
              </w:rPr>
            </w:pPr>
            <w:r>
              <w:rPr>
                <w:rFonts w:ascii="Arial" w:cs="Arial" w:eastAsia="Arial" w:hAnsi="Arial"/>
                <w:sz w:val="14"/>
                <w:szCs w:val="14"/>
                <w:color w:val="auto"/>
              </w:rPr>
              <w:t>BECAUSE ITS XBRL TAGS ARE EMBEDDED WITHIN THE INLINE XBRL DOCUMENT.</w:t>
            </w:r>
          </w:p>
        </w:tc>
      </w:tr>
      <w:tr>
        <w:trPr>
          <w:trHeight w:val="361"/>
        </w:trPr>
        <w:tc>
          <w:tcPr>
            <w:tcW w:w="1400" w:type="dxa"/>
            <w:vAlign w:val="bottom"/>
          </w:tcPr>
          <w:p>
            <w:pPr>
              <w:ind w:left="20"/>
              <w:spacing w:after="0"/>
              <w:rPr>
                <w:sz w:val="20"/>
                <w:szCs w:val="20"/>
                <w:color w:val="auto"/>
              </w:rPr>
            </w:pPr>
            <w:r>
              <w:rPr>
                <w:rFonts w:ascii="Arial" w:cs="Arial" w:eastAsia="Arial" w:hAnsi="Arial"/>
                <w:sz w:val="14"/>
                <w:szCs w:val="14"/>
                <w:color w:val="auto"/>
              </w:rPr>
              <w:t>101.SCH*</w:t>
            </w:r>
          </w:p>
        </w:tc>
        <w:tc>
          <w:tcPr>
            <w:tcW w:w="850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361"/>
        </w:trPr>
        <w:tc>
          <w:tcPr>
            <w:tcW w:w="1400" w:type="dxa"/>
            <w:vAlign w:val="bottom"/>
          </w:tcPr>
          <w:p>
            <w:pPr>
              <w:ind w:left="20"/>
              <w:spacing w:after="0"/>
              <w:rPr>
                <w:sz w:val="20"/>
                <w:szCs w:val="20"/>
                <w:color w:val="auto"/>
              </w:rPr>
            </w:pPr>
            <w:r>
              <w:rPr>
                <w:rFonts w:ascii="Arial" w:cs="Arial" w:eastAsia="Arial" w:hAnsi="Arial"/>
                <w:sz w:val="14"/>
                <w:szCs w:val="14"/>
                <w:color w:val="auto"/>
              </w:rPr>
              <w:t>101.CAL*</w:t>
            </w:r>
          </w:p>
        </w:tc>
        <w:tc>
          <w:tcPr>
            <w:tcW w:w="8500" w:type="dxa"/>
            <w:vAlign w:val="bottom"/>
            <w:gridSpan w:val="8"/>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361"/>
        </w:trPr>
        <w:tc>
          <w:tcPr>
            <w:tcW w:w="1400" w:type="dxa"/>
            <w:vAlign w:val="bottom"/>
          </w:tcPr>
          <w:p>
            <w:pPr>
              <w:ind w:left="20"/>
              <w:spacing w:after="0"/>
              <w:rPr>
                <w:sz w:val="20"/>
                <w:szCs w:val="20"/>
                <w:color w:val="auto"/>
              </w:rPr>
            </w:pPr>
            <w:r>
              <w:rPr>
                <w:rFonts w:ascii="Arial" w:cs="Arial" w:eastAsia="Arial" w:hAnsi="Arial"/>
                <w:sz w:val="14"/>
                <w:szCs w:val="14"/>
                <w:color w:val="auto"/>
              </w:rPr>
              <w:t>101.DEF*</w:t>
            </w:r>
          </w:p>
        </w:tc>
        <w:tc>
          <w:tcPr>
            <w:tcW w:w="8500" w:type="dxa"/>
            <w:vAlign w:val="bottom"/>
            <w:gridSpan w:val="8"/>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361"/>
        </w:trPr>
        <w:tc>
          <w:tcPr>
            <w:tcW w:w="1400" w:type="dxa"/>
            <w:vAlign w:val="bottom"/>
          </w:tcPr>
          <w:p>
            <w:pPr>
              <w:ind w:left="20"/>
              <w:spacing w:after="0"/>
              <w:rPr>
                <w:sz w:val="20"/>
                <w:szCs w:val="20"/>
                <w:color w:val="auto"/>
              </w:rPr>
            </w:pPr>
            <w:r>
              <w:rPr>
                <w:rFonts w:ascii="Arial" w:cs="Arial" w:eastAsia="Arial" w:hAnsi="Arial"/>
                <w:sz w:val="14"/>
                <w:szCs w:val="14"/>
                <w:color w:val="auto"/>
              </w:rPr>
              <w:t>101.LAB*</w:t>
            </w:r>
          </w:p>
        </w:tc>
        <w:tc>
          <w:tcPr>
            <w:tcW w:w="8500" w:type="dxa"/>
            <w:vAlign w:val="bottom"/>
            <w:gridSpan w:val="8"/>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361"/>
        </w:trPr>
        <w:tc>
          <w:tcPr>
            <w:tcW w:w="1400" w:type="dxa"/>
            <w:vAlign w:val="bottom"/>
          </w:tcPr>
          <w:p>
            <w:pPr>
              <w:ind w:left="20"/>
              <w:spacing w:after="0"/>
              <w:rPr>
                <w:sz w:val="20"/>
                <w:szCs w:val="20"/>
                <w:color w:val="auto"/>
              </w:rPr>
            </w:pPr>
            <w:r>
              <w:rPr>
                <w:rFonts w:ascii="Arial" w:cs="Arial" w:eastAsia="Arial" w:hAnsi="Arial"/>
                <w:sz w:val="14"/>
                <w:szCs w:val="14"/>
                <w:color w:val="auto"/>
              </w:rPr>
              <w:t>101.PRE*</w:t>
            </w:r>
          </w:p>
        </w:tc>
        <w:tc>
          <w:tcPr>
            <w:tcW w:w="850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181" w:lineRule="exact"/>
        <w:rPr>
          <w:sz w:val="20"/>
          <w:szCs w:val="20"/>
          <w:color w:val="auto"/>
        </w:rPr>
      </w:pPr>
    </w:p>
    <w:p>
      <w:pPr>
        <w:ind w:left="1400" w:hanging="1381"/>
        <w:spacing w:after="0"/>
        <w:tabs>
          <w:tab w:leader="none" w:pos="14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199"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Filed herewith.</w:t>
      </w:r>
    </w:p>
    <w:p>
      <w:pPr>
        <w:spacing w:after="0" w:line="19" w:lineRule="exact"/>
        <w:rPr>
          <w:rFonts w:ascii="Arial" w:cs="Arial" w:eastAsia="Arial" w:hAnsi="Arial"/>
          <w:sz w:val="14"/>
          <w:szCs w:val="14"/>
          <w:color w:val="auto"/>
        </w:rPr>
      </w:pPr>
    </w:p>
    <w:p>
      <w:pPr>
        <w:ind w:left="1400" w:hanging="394"/>
        <w:spacing w:after="0"/>
        <w:tabs>
          <w:tab w:leader="none" w:pos="1400" w:val="left"/>
        </w:tabs>
        <w:numPr>
          <w:ilvl w:val="1"/>
          <w:numId w:val="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01" w:right="1440" w:bottom="1440" w:gutter="0" w:footer="0" w:header="0"/>
        </w:sectPr>
      </w:pPr>
    </w:p>
    <w:bookmarkStart w:id="32" w:name="page33"/>
    <w:bookmarkEnd w:id="32"/>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64" w:lineRule="exact"/>
        <w:rPr>
          <w:sz w:val="20"/>
          <w:szCs w:val="20"/>
          <w:color w:val="auto"/>
        </w:rPr>
      </w:pPr>
    </w:p>
    <w:tbl>
      <w:tblPr>
        <w:tblLayout w:type="fixed"/>
        <w:tblInd w:w="740" w:type="dxa"/>
        <w:tblCellMar>
          <w:top w:w="0" w:type="dxa"/>
          <w:left w:w="0" w:type="dxa"/>
          <w:bottom w:w="0" w:type="dxa"/>
          <w:right w:w="0" w:type="dxa"/>
        </w:tblCellMar>
      </w:tblPr>
      <w:tr>
        <w:trPr>
          <w:trHeight w:val="180"/>
        </w:trPr>
        <w:tc>
          <w:tcPr>
            <w:tcW w:w="3160" w:type="dxa"/>
            <w:vAlign w:val="bottom"/>
          </w:tcPr>
          <w:p>
            <w:pPr>
              <w:spacing w:after="0"/>
              <w:rPr>
                <w:sz w:val="15"/>
                <w:szCs w:val="15"/>
                <w:color w:val="auto"/>
              </w:rPr>
            </w:pPr>
          </w:p>
        </w:tc>
        <w:tc>
          <w:tcPr>
            <w:tcW w:w="7200" w:type="dxa"/>
            <w:vAlign w:val="bottom"/>
            <w:gridSpan w:val="2"/>
          </w:tcPr>
          <w:p>
            <w:pPr>
              <w:ind w:left="2440"/>
              <w:spacing w:after="0"/>
              <w:rPr>
                <w:sz w:val="20"/>
                <w:szCs w:val="20"/>
                <w:color w:val="auto"/>
              </w:rPr>
            </w:pPr>
            <w:r>
              <w:rPr>
                <w:rFonts w:ascii="Arial" w:cs="Arial" w:eastAsia="Arial" w:hAnsi="Arial"/>
                <w:sz w:val="14"/>
                <w:szCs w:val="14"/>
                <w:color w:val="auto"/>
              </w:rPr>
              <w:t>Cumberland Pharmaceuticals Inc.</w:t>
            </w:r>
          </w:p>
        </w:tc>
      </w:tr>
      <w:tr>
        <w:trPr>
          <w:trHeight w:val="393"/>
        </w:trPr>
        <w:tc>
          <w:tcPr>
            <w:tcW w:w="3160" w:type="dxa"/>
            <w:vAlign w:val="bottom"/>
          </w:tcPr>
          <w:p>
            <w:pPr>
              <w:spacing w:after="0"/>
              <w:rPr>
                <w:sz w:val="20"/>
                <w:szCs w:val="20"/>
                <w:color w:val="auto"/>
              </w:rPr>
            </w:pPr>
            <w:r>
              <w:rPr>
                <w:rFonts w:ascii="Arial" w:cs="Arial" w:eastAsia="Arial" w:hAnsi="Arial"/>
                <w:sz w:val="14"/>
                <w:szCs w:val="14"/>
                <w:color w:val="auto"/>
              </w:rPr>
              <w:t>Date: November 12, 2021</w:t>
            </w:r>
          </w:p>
        </w:tc>
        <w:tc>
          <w:tcPr>
            <w:tcW w:w="2880" w:type="dxa"/>
            <w:vAlign w:val="bottom"/>
          </w:tcPr>
          <w:p>
            <w:pPr>
              <w:ind w:left="2440"/>
              <w:spacing w:after="0"/>
              <w:rPr>
                <w:sz w:val="20"/>
                <w:szCs w:val="20"/>
                <w:color w:val="auto"/>
              </w:rPr>
            </w:pPr>
            <w:r>
              <w:rPr>
                <w:rFonts w:ascii="Arial" w:cs="Arial" w:eastAsia="Arial" w:hAnsi="Arial"/>
                <w:sz w:val="14"/>
                <w:szCs w:val="14"/>
                <w:color w:val="auto"/>
              </w:rPr>
              <w:t>By:</w:t>
            </w:r>
          </w:p>
        </w:tc>
        <w:tc>
          <w:tcPr>
            <w:tcW w:w="43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/s/ John Hamm</w:t>
            </w:r>
          </w:p>
        </w:tc>
      </w:tr>
      <w:tr>
        <w:trPr>
          <w:trHeight w:val="171"/>
        </w:trPr>
        <w:tc>
          <w:tcPr>
            <w:tcW w:w="3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Arial" w:cs="Arial" w:eastAsia="Arial" w:hAnsi="Arial"/>
                <w:sz w:val="14"/>
                <w:szCs w:val="14"/>
                <w:color w:val="auto"/>
              </w:rPr>
              <w:t>John Hamm</w:t>
            </w:r>
          </w:p>
        </w:tc>
      </w:tr>
      <w:tr>
        <w:trPr>
          <w:trHeight w:val="180"/>
        </w:trPr>
        <w:tc>
          <w:tcPr>
            <w:tcW w:w="3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320" w:type="dxa"/>
            <w:vAlign w:val="bottom"/>
          </w:tcPr>
          <w:p>
            <w:pPr>
              <w:ind w:left="300"/>
              <w:spacing w:after="0"/>
              <w:rPr>
                <w:sz w:val="20"/>
                <w:szCs w:val="20"/>
                <w:color w:val="auto"/>
              </w:rPr>
            </w:pPr>
            <w:r>
              <w:rPr>
                <w:rFonts w:ascii="Arial" w:cs="Arial" w:eastAsia="Arial" w:hAnsi="Arial"/>
                <w:sz w:val="14"/>
                <w:szCs w:val="14"/>
                <w:color w:val="auto"/>
              </w:rPr>
              <w:t>Chief Financial Officer and Duly Authorized Officer</w:t>
            </w:r>
          </w:p>
        </w:tc>
      </w:tr>
      <w:tr>
        <w:trPr>
          <w:trHeight w:val="902"/>
        </w:trPr>
        <w:tc>
          <w:tcPr>
            <w:tcW w:w="3160" w:type="dxa"/>
            <w:vAlign w:val="bottom"/>
          </w:tcPr>
          <w:p>
            <w:pPr>
              <w:spacing w:after="0"/>
              <w:rPr>
                <w:sz w:val="24"/>
                <w:szCs w:val="24"/>
                <w:color w:val="auto"/>
              </w:rPr>
            </w:pPr>
          </w:p>
        </w:tc>
        <w:tc>
          <w:tcPr>
            <w:tcW w:w="2880" w:type="dxa"/>
            <w:vAlign w:val="bottom"/>
          </w:tcPr>
          <w:p>
            <w:pPr>
              <w:jc w:val="right"/>
              <w:ind w:right="989"/>
              <w:spacing w:after="0"/>
              <w:rPr>
                <w:sz w:val="20"/>
                <w:szCs w:val="20"/>
                <w:color w:val="auto"/>
              </w:rPr>
            </w:pPr>
            <w:r>
              <w:rPr>
                <w:rFonts w:ascii="Arial" w:cs="Arial" w:eastAsia="Arial" w:hAnsi="Arial"/>
                <w:sz w:val="14"/>
                <w:szCs w:val="14"/>
                <w:color w:val="auto"/>
              </w:rPr>
              <w:t>31</w:t>
            </w:r>
          </w:p>
        </w:tc>
        <w:tc>
          <w:tcPr>
            <w:tcW w:w="4320" w:type="dxa"/>
            <w:vAlign w:val="bottom"/>
          </w:tcPr>
          <w:p>
            <w:pPr>
              <w:spacing w:after="0"/>
              <w:rPr>
                <w:sz w:val="24"/>
                <w:szCs w:val="24"/>
                <w:color w:val="auto"/>
              </w:rPr>
            </w:pPr>
          </w:p>
        </w:tc>
      </w:tr>
    </w:tbl>
    <w:p>
      <w:pPr>
        <w:sectPr>
          <w:pgSz w:w="11900" w:h="16838" w:orient="portrait"/>
          <w:cols w:equalWidth="0" w:num="1">
            <w:col w:w="11100"/>
          </w:cols>
          <w:pgMar w:left="300" w:top="1016" w:right="499"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A.J. Kazimi, certify that:</w:t>
      </w:r>
    </w:p>
    <w:p>
      <w:pPr>
        <w:spacing w:after="0" w:line="41" w:lineRule="exact"/>
        <w:rPr>
          <w:sz w:val="20"/>
          <w:szCs w:val="20"/>
          <w:color w:val="auto"/>
        </w:rPr>
      </w:pPr>
    </w:p>
    <w:p>
      <w:pPr>
        <w:ind w:left="680" w:hanging="661"/>
        <w:spacing w:after="0"/>
        <w:tabs>
          <w:tab w:leader="none" w:pos="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 have reviewed this Form 10-Q of Cumberland Pharmaceuticals Inc.;</w:t>
      </w:r>
    </w:p>
    <w:p>
      <w:pPr>
        <w:spacing w:after="0" w:line="115" w:lineRule="exact"/>
        <w:rPr>
          <w:sz w:val="20"/>
          <w:szCs w:val="20"/>
          <w:color w:val="auto"/>
        </w:rPr>
      </w:pPr>
    </w:p>
    <w:p>
      <w:pPr>
        <w:ind w:left="680" w:right="560" w:hanging="661"/>
        <w:spacing w:after="0" w:line="236" w:lineRule="auto"/>
        <w:tabs>
          <w:tab w:leader="none" w:pos="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80" w:right="660" w:hanging="661"/>
        <w:spacing w:after="0" w:line="236" w:lineRule="auto"/>
        <w:tabs>
          <w:tab w:leader="none" w:pos="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sz w:val="20"/>
          <w:szCs w:val="20"/>
          <w:color w:val="auto"/>
        </w:rPr>
      </w:pPr>
    </w:p>
    <w:p>
      <w:pPr>
        <w:ind w:left="680" w:right="220" w:hanging="661"/>
        <w:spacing w:after="0" w:line="236" w:lineRule="auto"/>
        <w:tabs>
          <w:tab w:leader="none" w:pos="6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Arial" w:cs="Arial" w:eastAsia="Arial" w:hAnsi="Arial"/>
          <w:sz w:val="14"/>
          <w:szCs w:val="14"/>
          <w:color w:val="auto"/>
        </w:rPr>
      </w:pPr>
    </w:p>
    <w:p>
      <w:pPr>
        <w:ind w:left="420" w:right="160" w:hanging="245"/>
        <w:spacing w:after="0" w:line="280" w:lineRule="auto"/>
        <w:tabs>
          <w:tab w:leader="none" w:pos="412" w:val="left"/>
        </w:tabs>
        <w:numPr>
          <w:ilvl w:val="1"/>
          <w:numId w:val="1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20" w:hanging="245"/>
        <w:spacing w:after="0" w:line="272" w:lineRule="auto"/>
        <w:tabs>
          <w:tab w:leader="none" w:pos="420" w:val="left"/>
        </w:tabs>
        <w:numPr>
          <w:ilvl w:val="1"/>
          <w:numId w:val="1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20" w:right="80" w:hanging="245"/>
        <w:spacing w:after="0" w:line="253" w:lineRule="auto"/>
        <w:tabs>
          <w:tab w:leader="none" w:pos="412" w:val="left"/>
        </w:tabs>
        <w:numPr>
          <w:ilvl w:val="1"/>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00" w:hanging="245"/>
        <w:spacing w:after="0" w:line="289" w:lineRule="auto"/>
        <w:tabs>
          <w:tab w:leader="none" w:pos="420" w:val="left"/>
        </w:tabs>
        <w:numPr>
          <w:ilvl w:val="1"/>
          <w:numId w:val="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80" w:right="360" w:hanging="661"/>
        <w:spacing w:after="0" w:line="236" w:lineRule="auto"/>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4"/>
          <w:szCs w:val="14"/>
          <w:color w:val="auto"/>
        </w:rPr>
      </w:pPr>
    </w:p>
    <w:p>
      <w:pPr>
        <w:ind w:left="420" w:right="60" w:hanging="245"/>
        <w:spacing w:after="0" w:line="260" w:lineRule="auto"/>
        <w:tabs>
          <w:tab w:leader="none" w:pos="412"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45"/>
        <w:spacing w:after="0"/>
        <w:tabs>
          <w:tab w:leader="none" w:pos="4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tbl>
      <w:tblPr>
        <w:tblLayout w:type="fixed"/>
        <w:tblInd w:w="4820" w:type="dxa"/>
        <w:tblCellMar>
          <w:top w:w="0" w:type="dxa"/>
          <w:left w:w="0" w:type="dxa"/>
          <w:bottom w:w="0" w:type="dxa"/>
          <w:right w:w="0" w:type="dxa"/>
        </w:tblCellMar>
      </w:tblPr>
      <w:tr>
        <w:trPr>
          <w:trHeight w:val="180"/>
        </w:trPr>
        <w:tc>
          <w:tcPr>
            <w:tcW w:w="1420" w:type="dxa"/>
            <w:vAlign w:val="bottom"/>
          </w:tcPr>
          <w:p>
            <w:pPr>
              <w:spacing w:after="0"/>
              <w:rPr>
                <w:sz w:val="20"/>
                <w:szCs w:val="20"/>
                <w:color w:val="auto"/>
              </w:rPr>
            </w:pPr>
            <w:r>
              <w:rPr>
                <w:rFonts w:ascii="Arial" w:cs="Arial" w:eastAsia="Arial" w:hAnsi="Arial"/>
                <w:sz w:val="14"/>
                <w:szCs w:val="14"/>
                <w:color w:val="auto"/>
                <w:w w:val="97"/>
              </w:rPr>
              <w:t>November 12, 2021By:</w:t>
            </w:r>
          </w:p>
        </w:tc>
        <w:tc>
          <w:tcPr>
            <w:tcW w:w="5000" w:type="dxa"/>
            <w:vAlign w:val="bottom"/>
            <w:gridSpan w:val="2"/>
          </w:tcPr>
          <w:p>
            <w:pPr>
              <w:ind w:left="300"/>
              <w:spacing w:after="0"/>
              <w:rPr>
                <w:sz w:val="20"/>
                <w:szCs w:val="20"/>
                <w:color w:val="auto"/>
              </w:rPr>
            </w:pPr>
            <w:r>
              <w:rPr>
                <w:rFonts w:ascii="Arial" w:cs="Arial" w:eastAsia="Arial" w:hAnsi="Arial"/>
                <w:sz w:val="14"/>
                <w:szCs w:val="14"/>
                <w:color w:val="auto"/>
              </w:rPr>
              <w:t>/s/ A.J. Kazimi</w:t>
            </w:r>
          </w:p>
        </w:tc>
      </w:tr>
      <w:tr>
        <w:trPr>
          <w:trHeight w:val="171"/>
        </w:trPr>
        <w:tc>
          <w:tcPr>
            <w:tcW w:w="1420" w:type="dxa"/>
            <w:vAlign w:val="bottom"/>
          </w:tcPr>
          <w:p>
            <w:pPr>
              <w:spacing w:after="0"/>
              <w:rPr>
                <w:sz w:val="14"/>
                <w:szCs w:val="14"/>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w w:val="90"/>
              </w:rPr>
              <w:t>A.J.</w:t>
            </w: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Kazimi</w:t>
            </w:r>
          </w:p>
        </w:tc>
      </w:tr>
      <w:tr>
        <w:trPr>
          <w:trHeight w:val="180"/>
        </w:trPr>
        <w:tc>
          <w:tcPr>
            <w:tcW w:w="1420" w:type="dxa"/>
            <w:vAlign w:val="bottom"/>
          </w:tcPr>
          <w:p>
            <w:pPr>
              <w:spacing w:after="0"/>
              <w:rPr>
                <w:sz w:val="15"/>
                <w:szCs w:val="15"/>
                <w:color w:val="auto"/>
              </w:rPr>
            </w:pPr>
          </w:p>
        </w:tc>
        <w:tc>
          <w:tcPr>
            <w:tcW w:w="5000" w:type="dxa"/>
            <w:vAlign w:val="bottom"/>
            <w:gridSpan w:val="2"/>
          </w:tcPr>
          <w:p>
            <w:pPr>
              <w:ind w:left="3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80"/>
          </w:cols>
          <w:pgMar w:left="300" w:top="761"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John Hamm, certify that:</w:t>
      </w:r>
    </w:p>
    <w:p>
      <w:pPr>
        <w:spacing w:after="0" w:line="41" w:lineRule="exact"/>
        <w:rPr>
          <w:sz w:val="20"/>
          <w:szCs w:val="20"/>
          <w:color w:val="auto"/>
        </w:rPr>
      </w:pPr>
    </w:p>
    <w:p>
      <w:pPr>
        <w:ind w:left="680" w:hanging="661"/>
        <w:spacing w:after="0"/>
        <w:tabs>
          <w:tab w:leader="none" w:pos="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 have reviewed this Form 10-Q of Cumberland Pharmaceuticals Inc.;</w:t>
      </w:r>
    </w:p>
    <w:p>
      <w:pPr>
        <w:spacing w:after="0" w:line="115" w:lineRule="exact"/>
        <w:rPr>
          <w:sz w:val="20"/>
          <w:szCs w:val="20"/>
          <w:color w:val="auto"/>
        </w:rPr>
      </w:pPr>
    </w:p>
    <w:p>
      <w:pPr>
        <w:ind w:left="680" w:right="560" w:hanging="661"/>
        <w:spacing w:after="0" w:line="236"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80" w:right="660" w:hanging="661"/>
        <w:spacing w:after="0" w:line="236"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sz w:val="20"/>
          <w:szCs w:val="20"/>
          <w:color w:val="auto"/>
        </w:rPr>
      </w:pPr>
    </w:p>
    <w:p>
      <w:pPr>
        <w:ind w:left="680" w:right="220" w:hanging="661"/>
        <w:spacing w:after="0" w:line="236"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Arial" w:cs="Arial" w:eastAsia="Arial" w:hAnsi="Arial"/>
          <w:sz w:val="14"/>
          <w:szCs w:val="14"/>
          <w:color w:val="auto"/>
        </w:rPr>
      </w:pPr>
    </w:p>
    <w:p>
      <w:pPr>
        <w:ind w:left="420" w:right="160" w:hanging="245"/>
        <w:spacing w:after="0" w:line="280" w:lineRule="auto"/>
        <w:tabs>
          <w:tab w:leader="none" w:pos="41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20" w:hanging="245"/>
        <w:spacing w:after="0" w:line="272" w:lineRule="auto"/>
        <w:tabs>
          <w:tab w:leader="none" w:pos="420"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20" w:right="80" w:hanging="245"/>
        <w:spacing w:after="0" w:line="253" w:lineRule="auto"/>
        <w:tabs>
          <w:tab w:leader="none" w:pos="412"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00" w:hanging="245"/>
        <w:spacing w:after="0" w:line="289" w:lineRule="auto"/>
        <w:tabs>
          <w:tab w:leader="none" w:pos="420"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80" w:right="360" w:hanging="661"/>
        <w:spacing w:after="0" w:line="236" w:lineRule="auto"/>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4"/>
          <w:szCs w:val="14"/>
          <w:color w:val="auto"/>
        </w:rPr>
      </w:pPr>
    </w:p>
    <w:p>
      <w:pPr>
        <w:ind w:left="420" w:right="60" w:hanging="245"/>
        <w:spacing w:after="0" w:line="260" w:lineRule="auto"/>
        <w:tabs>
          <w:tab w:leader="none" w:pos="412"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45"/>
        <w:spacing w:after="0"/>
        <w:tabs>
          <w:tab w:leader="none" w:pos="4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tbl>
      <w:tblPr>
        <w:tblLayout w:type="fixed"/>
        <w:tblInd w:w="4860" w:type="dxa"/>
        <w:tblCellMar>
          <w:top w:w="0" w:type="dxa"/>
          <w:left w:w="0" w:type="dxa"/>
          <w:bottom w:w="0" w:type="dxa"/>
          <w:right w:w="0" w:type="dxa"/>
        </w:tblCellMar>
      </w:tblPr>
      <w:tr>
        <w:trPr>
          <w:trHeight w:val="180"/>
        </w:trPr>
        <w:tc>
          <w:tcPr>
            <w:tcW w:w="1400" w:type="dxa"/>
            <w:vAlign w:val="bottom"/>
          </w:tcPr>
          <w:p>
            <w:pPr>
              <w:spacing w:after="0"/>
              <w:rPr>
                <w:sz w:val="20"/>
                <w:szCs w:val="20"/>
                <w:color w:val="auto"/>
              </w:rPr>
            </w:pPr>
            <w:r>
              <w:rPr>
                <w:rFonts w:ascii="Arial" w:cs="Arial" w:eastAsia="Arial" w:hAnsi="Arial"/>
                <w:sz w:val="14"/>
                <w:szCs w:val="14"/>
                <w:color w:val="auto"/>
                <w:w w:val="96"/>
              </w:rPr>
              <w:t>November 12, 2021By:</w:t>
            </w:r>
          </w:p>
        </w:tc>
        <w:tc>
          <w:tcPr>
            <w:tcW w:w="4980" w:type="dxa"/>
            <w:vAlign w:val="bottom"/>
            <w:gridSpan w:val="2"/>
          </w:tcPr>
          <w:p>
            <w:pPr>
              <w:ind w:left="280"/>
              <w:spacing w:after="0"/>
              <w:rPr>
                <w:sz w:val="20"/>
                <w:szCs w:val="20"/>
                <w:color w:val="auto"/>
              </w:rPr>
            </w:pPr>
            <w:r>
              <w:rPr>
                <w:rFonts w:ascii="Arial" w:cs="Arial" w:eastAsia="Arial" w:hAnsi="Arial"/>
                <w:sz w:val="14"/>
                <w:szCs w:val="14"/>
                <w:color w:val="auto"/>
              </w:rPr>
              <w:t>/s/ John Hamm</w:t>
            </w:r>
          </w:p>
        </w:tc>
      </w:tr>
      <w:tr>
        <w:trPr>
          <w:trHeight w:val="171"/>
        </w:trPr>
        <w:tc>
          <w:tcPr>
            <w:tcW w:w="1400" w:type="dxa"/>
            <w:vAlign w:val="bottom"/>
          </w:tcPr>
          <w:p>
            <w:pPr>
              <w:spacing w:after="0"/>
              <w:rPr>
                <w:sz w:val="14"/>
                <w:szCs w:val="14"/>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w w:val="72"/>
              </w:rPr>
              <w:t>John</w:t>
            </w:r>
          </w:p>
        </w:tc>
        <w:tc>
          <w:tcPr>
            <w:tcW w:w="44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Hamm</w:t>
            </w:r>
          </w:p>
        </w:tc>
      </w:tr>
      <w:tr>
        <w:trPr>
          <w:trHeight w:val="180"/>
        </w:trPr>
        <w:tc>
          <w:tcPr>
            <w:tcW w:w="1400" w:type="dxa"/>
            <w:vAlign w:val="bottom"/>
          </w:tcPr>
          <w:p>
            <w:pPr>
              <w:spacing w:after="0"/>
              <w:rPr>
                <w:sz w:val="15"/>
                <w:szCs w:val="15"/>
                <w:color w:val="auto"/>
              </w:rPr>
            </w:pPr>
          </w:p>
        </w:tc>
        <w:tc>
          <w:tcPr>
            <w:tcW w:w="4980" w:type="dxa"/>
            <w:vAlign w:val="bottom"/>
            <w:gridSpan w:val="2"/>
          </w:tcPr>
          <w:p>
            <w:pPr>
              <w:ind w:left="2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80"/>
          </w:cols>
          <w:pgMar w:left="300" w:top="761"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26"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In connection with the Quarterly Report on Form 10-Q for the fiscal quarter ended September 30, 2021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spacing w:after="0" w:line="4" w:lineRule="exact"/>
        <w:rPr>
          <w:sz w:val="20"/>
          <w:szCs w:val="20"/>
          <w:color w:val="auto"/>
        </w:rPr>
      </w:pPr>
    </w:p>
    <w:p>
      <w:pPr>
        <w:ind w:left="680" w:hanging="661"/>
        <w:spacing w:after="0"/>
        <w:tabs>
          <w:tab w:leader="none" w:pos="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15" w:lineRule="exact"/>
        <w:rPr>
          <w:sz w:val="20"/>
          <w:szCs w:val="20"/>
          <w:color w:val="auto"/>
        </w:rPr>
      </w:pPr>
    </w:p>
    <w:p>
      <w:pPr>
        <w:ind w:left="680" w:hanging="661"/>
        <w:spacing w:after="0"/>
        <w:tabs>
          <w:tab w:leader="none" w:pos="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278257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82570"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A.J. Kazimi</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Chief Executive Officer</w:t>
      </w:r>
    </w:p>
    <w:p>
      <w:pPr>
        <w:spacing w:after="0" w:line="19" w:lineRule="exact"/>
        <w:rPr>
          <w:sz w:val="20"/>
          <w:szCs w:val="20"/>
          <w:color w:val="auto"/>
        </w:rPr>
      </w:pPr>
    </w:p>
    <w:p>
      <w:pPr>
        <w:ind w:left="3280"/>
        <w:spacing w:after="0"/>
        <w:rPr>
          <w:sz w:val="20"/>
          <w:szCs w:val="20"/>
          <w:color w:val="auto"/>
        </w:rPr>
      </w:pPr>
      <w:r>
        <w:rPr>
          <w:rFonts w:ascii="Arial" w:cs="Arial" w:eastAsia="Arial" w:hAnsi="Arial"/>
          <w:sz w:val="14"/>
          <w:szCs w:val="14"/>
          <w:color w:val="auto"/>
        </w:rPr>
        <w:t>November 12, 2021</w:t>
      </w: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12065</wp:posOffset>
            </wp:positionV>
            <wp:extent cx="27825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82570" cy="698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color w:val="auto"/>
        </w:rPr>
        <w:t>John Hamm</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3280"/>
        <w:spacing w:after="0"/>
        <w:rPr>
          <w:sz w:val="20"/>
          <w:szCs w:val="20"/>
          <w:color w:val="auto"/>
        </w:rPr>
      </w:pPr>
      <w:r>
        <w:rPr>
          <w:rFonts w:ascii="Arial" w:cs="Arial" w:eastAsia="Arial" w:hAnsi="Arial"/>
          <w:sz w:val="14"/>
          <w:szCs w:val="14"/>
          <w:color w:val="auto"/>
        </w:rPr>
        <w:t>November 12, 2021</w:t>
      </w:r>
    </w:p>
    <w:sectPr>
      <w:pgSz w:w="11900" w:h="16838" w:orient="portrait"/>
      <w:cols w:equalWidth="0" w:num="1">
        <w:col w:w="11280"/>
      </w:cols>
      <w:pgMar w:left="300" w:top="7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04"/>
    </w:lvl>
    <w:lvl w:ilvl="1">
      <w:lvlJc w:val="left"/>
      <w:lvlText w:val="*"/>
      <w:numFmt w:val="bullet"/>
      <w:start w:val="1"/>
    </w:lvl>
  </w:abstractNum>
  <w:abstractNum w:abstractNumId="8">
    <w:nsid w:val="1BEFD79F"/>
    <w:multiLevelType w:val="hybridMultilevel"/>
    <w:lvl w:ilvl="0">
      <w:lvlJc w:val="left"/>
      <w:lvlText w:val="%1"/>
      <w:numFmt w:val="decimal"/>
      <w:start w:val="1"/>
    </w:lvl>
    <w:lvl w:ilvl="1">
      <w:lvlJc w:val="left"/>
      <w:lvlText w:val="**"/>
      <w:numFmt w:val="bullet"/>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lvl w:ilvl="1">
      <w:lvlJc w:val="left"/>
      <w:lvlText w:val="%2."/>
      <w:numFmt w:val="lowerLetter"/>
      <w:start w:val="1"/>
    </w:lvl>
  </w:abstractNum>
  <w:abstractNum w:abstractNumId="13">
    <w:nsid w:val="519B500D"/>
    <w:multiLevelType w:val="hybridMultilevel"/>
    <w:lvl w:ilvl="0">
      <w:lvlJc w:val="left"/>
      <w:lvlText w:val="5"/>
      <w:numFmt w:val="bullet"/>
      <w:start w:val="1"/>
    </w:lvl>
    <w:lvl w:ilvl="1">
      <w:lvlJc w:val="left"/>
      <w:lvlText w:val="%2."/>
      <w:numFmt w:val="lowerLetter"/>
      <w:start w:val="1"/>
    </w:lvl>
  </w:abstractNum>
  <w:abstractNum w:abstractNumId="14">
    <w:nsid w:val="431BD7B7"/>
    <w:multiLevelType w:val="hybridMultilevel"/>
    <w:lvl w:ilvl="0">
      <w:lvlJc w:val="left"/>
      <w:lvlText w:val="1"/>
      <w:numFmt w:val="bullet"/>
      <w:start w:val="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3"/>
      <w:numFmt w:val="bullet"/>
      <w:start w:val="1"/>
    </w:lvl>
  </w:abstractNum>
  <w:abstractNum w:abstractNumId="17">
    <w:nsid w:val="257130A3"/>
    <w:multiLevelType w:val="hybridMultilevel"/>
    <w:lvl w:ilvl="0">
      <w:lvlJc w:val="left"/>
      <w:lvlText w:val="4"/>
      <w:numFmt w:val="bullet"/>
      <w:start w:val="1"/>
    </w:lvl>
    <w:lvl w:ilvl="1">
      <w:lvlJc w:val="left"/>
      <w:lvlText w:val="%2."/>
      <w:numFmt w:val="lowerLetter"/>
      <w:start w:val="1"/>
    </w:lvl>
  </w:abstractNum>
  <w:abstractNum w:abstractNumId="18">
    <w:nsid w:val="62BBD95A"/>
    <w:multiLevelType w:val="hybridMultilevel"/>
    <w:lvl w:ilvl="0">
      <w:lvlJc w:val="left"/>
      <w:lvlText w:val="5"/>
      <w:numFmt w:val="bullet"/>
      <w:start w:val="1"/>
    </w:lvl>
    <w:lvl w:ilvl="1">
      <w:lvlJc w:val="left"/>
      <w:lvlText w:val="%2."/>
      <w:numFmt w:val="lowerLetter"/>
      <w:start w:val="1"/>
    </w:lvl>
  </w:abstractNum>
  <w:abstractNum w:abstractNumId="19">
    <w:nsid w:val="436C6125"/>
    <w:multiLevelType w:val="hybridMultilevel"/>
    <w:lvl w:ilvl="0">
      <w:lvlJc w:val="left"/>
      <w:lvlText w:val="1"/>
      <w:numFmt w:val="bullet"/>
      <w:start w:val="1"/>
    </w:lvl>
  </w:abstractNum>
  <w:abstractNum w:abstractNumId="20">
    <w:nsid w:val="628C895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2021-11-12T23:24:24Z</dcterms:created>
  <dcterms:modified xsi:type="dcterms:W3CDTF">2021-11-12T23:24:24Z</dcterms:modified>
</cp:coreProperties>
</file>