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700" w:hanging="654"/>
        <w:spacing w:after="0"/>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19" w:lineRule="exact"/>
        <w:rPr>
          <w:sz w:val="24"/>
          <w:szCs w:val="24"/>
          <w:color w:val="auto"/>
        </w:rPr>
      </w:pPr>
    </w:p>
    <w:p>
      <w:pPr>
        <w:ind w:left="3780"/>
        <w:spacing w:after="0"/>
        <w:tabs>
          <w:tab w:leader="none" w:pos="6660" w:val="left"/>
          <w:tab w:leader="none" w:pos="7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001-33637</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Cumberland Pharmaceuticals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 w:lineRule="exact"/>
        <w:rPr>
          <w:sz w:val="24"/>
          <w:szCs w:val="24"/>
          <w:color w:val="auto"/>
        </w:rPr>
      </w:pPr>
    </w:p>
    <w:tbl>
      <w:tblPr>
        <w:tblLayout w:type="fixed"/>
        <w:tblInd w:w="1470" w:type="dxa"/>
        <w:tblCellMar>
          <w:top w:w="0" w:type="dxa"/>
          <w:left w:w="0" w:type="dxa"/>
          <w:bottom w:w="0" w:type="dxa"/>
          <w:right w:w="0" w:type="dxa"/>
        </w:tblCellMar>
      </w:tblPr>
      <w:tr>
        <w:trPr>
          <w:trHeight w:val="225"/>
        </w:trPr>
        <w:tc>
          <w:tcPr>
            <w:tcW w:w="2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1"/>
              </w:rPr>
              <w:t>Tennessee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tcPr>
          <w:p>
            <w:pPr>
              <w:jc w:val="right"/>
              <w:ind w:right="758"/>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44"/>
        </w:trPr>
        <w:tc>
          <w:tcPr>
            <w:tcW w:w="28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jc w:val="center"/>
              <w:ind w:left="838"/>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Incorporation or Organization)</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46"/>
        </w:trPr>
        <w:tc>
          <w:tcPr>
            <w:tcW w:w="2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2525 West End Avenue, Suite 950,</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80" w:type="dxa"/>
            <w:vAlign w:val="bottom"/>
            <w:vMerge w:val="restart"/>
          </w:tcPr>
          <w:p>
            <w:pPr>
              <w:jc w:val="right"/>
              <w:ind w:right="958"/>
              <w:spacing w:after="0"/>
              <w:rPr>
                <w:sz w:val="20"/>
                <w:szCs w:val="20"/>
                <w:color w:val="auto"/>
              </w:rPr>
            </w:pPr>
            <w:r>
              <w:rPr>
                <w:rFonts w:ascii="Arial" w:cs="Arial" w:eastAsia="Arial" w:hAnsi="Arial"/>
                <w:sz w:val="18"/>
                <w:szCs w:val="18"/>
                <w:b w:val="1"/>
                <w:bCs w:val="1"/>
                <w:color w:val="auto"/>
              </w:rPr>
              <w:t>37203</w:t>
            </w:r>
          </w:p>
        </w:tc>
        <w:tc>
          <w:tcPr>
            <w:tcW w:w="0" w:type="dxa"/>
            <w:vAlign w:val="bottom"/>
          </w:tcPr>
          <w:p>
            <w:pPr>
              <w:spacing w:after="0"/>
              <w:rPr>
                <w:sz w:val="1"/>
                <w:szCs w:val="1"/>
                <w:color w:val="auto"/>
              </w:rPr>
            </w:pPr>
          </w:p>
        </w:tc>
      </w:tr>
      <w:tr>
        <w:trPr>
          <w:trHeight w:val="220"/>
        </w:trPr>
        <w:tc>
          <w:tcPr>
            <w:tcW w:w="2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Nashville, Tennessee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462"/>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(615) 255-0068</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3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0" w:type="dxa"/>
            <w:vAlign w:val="bottom"/>
          </w:tcPr>
          <w:p>
            <w:pPr>
              <w:spacing w:after="0"/>
              <w:rPr>
                <w:sz w:val="1"/>
                <w:szCs w:val="1"/>
                <w:color w:val="auto"/>
              </w:rPr>
            </w:pPr>
          </w:p>
        </w:tc>
      </w:tr>
      <w:tr>
        <w:trPr>
          <w:trHeight w:val="188"/>
        </w:trPr>
        <w:tc>
          <w:tcPr>
            <w:tcW w:w="8360" w:type="dxa"/>
            <w:vAlign w:val="bottom"/>
            <w:tcBorders>
              <w:bottom w:val="single" w:sz="8" w:color="auto"/>
            </w:tcBorders>
            <w:gridSpan w:val="6"/>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360" w:type="dxa"/>
            <w:vAlign w:val="bottom"/>
            <w:tcBorders>
              <w:left w:val="single" w:sz="8" w:color="auto"/>
              <w:right w:val="single" w:sz="8" w:color="auto"/>
            </w:tcBorders>
            <w:gridSpan w:val="6"/>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8"/>
              </w:rPr>
              <w:t>Class</w:t>
            </w:r>
          </w:p>
        </w:tc>
        <w:tc>
          <w:tcPr>
            <w:tcW w:w="206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Trading Symbol</w:t>
            </w:r>
          </w:p>
        </w:tc>
        <w:tc>
          <w:tcPr>
            <w:tcW w:w="3480" w:type="dxa"/>
            <w:vAlign w:val="bottom"/>
            <w:tcBorders>
              <w:right w:val="single" w:sz="8" w:color="auto"/>
            </w:tcBorders>
          </w:tcPr>
          <w:p>
            <w:pPr>
              <w:jc w:val="center"/>
              <w:ind w:right="298"/>
              <w:spacing w:after="0"/>
              <w:rPr>
                <w:sz w:val="20"/>
                <w:szCs w:val="20"/>
                <w:color w:val="auto"/>
              </w:rPr>
            </w:pPr>
            <w:r>
              <w:rPr>
                <w:rFonts w:ascii="Arial" w:cs="Arial" w:eastAsia="Arial" w:hAnsi="Arial"/>
                <w:sz w:val="18"/>
                <w:szCs w:val="18"/>
                <w:color w:val="auto"/>
                <w:w w:val="90"/>
              </w:rPr>
              <w:t>Name of exchange on which registered</w:t>
            </w:r>
          </w:p>
        </w:tc>
        <w:tc>
          <w:tcPr>
            <w:tcW w:w="0" w:type="dxa"/>
            <w:vAlign w:val="bottom"/>
          </w:tcPr>
          <w:p>
            <w:pPr>
              <w:spacing w:after="0"/>
              <w:rPr>
                <w:sz w:val="1"/>
                <w:szCs w:val="1"/>
                <w:color w:val="auto"/>
              </w:rPr>
            </w:pPr>
          </w:p>
        </w:tc>
      </w:tr>
      <w:tr>
        <w:trPr>
          <w:trHeight w:val="223"/>
        </w:trPr>
        <w:tc>
          <w:tcPr>
            <w:tcW w:w="272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CPIX</w:t>
            </w: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480" w:type="dxa"/>
            <w:vAlign w:val="bottom"/>
            <w:tcBorders>
              <w:top w:val="single" w:sz="8" w:color="auto"/>
              <w:bottom w:val="single" w:sz="8" w:color="auto"/>
              <w:right w:val="single" w:sz="8" w:color="auto"/>
            </w:tcBorders>
          </w:tcPr>
          <w:p>
            <w:pPr>
              <w:jc w:val="center"/>
              <w:ind w:right="278"/>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1"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9" w:lineRule="exact"/>
        <w:rPr>
          <w:sz w:val="24"/>
          <w:szCs w:val="24"/>
          <w:color w:val="auto"/>
        </w:rPr>
      </w:pPr>
    </w:p>
    <w:p>
      <w:pPr>
        <w:jc w:val="both"/>
        <w:spacing w:after="0" w:line="28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6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jc w:val="both"/>
        <w:spacing w:after="0" w:line="29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2420" w:type="dxa"/>
            <w:vAlign w:val="bottom"/>
          </w:tcPr>
          <w:p>
            <w:pPr>
              <w:spacing w:after="0"/>
              <w:rPr>
                <w:sz w:val="20"/>
                <w:szCs w:val="20"/>
                <w:color w:val="auto"/>
              </w:rPr>
            </w:pPr>
            <w:r>
              <w:rPr>
                <w:rFonts w:ascii="Arial" w:cs="Arial" w:eastAsia="Arial" w:hAnsi="Arial"/>
                <w:sz w:val="17"/>
                <w:szCs w:val="17"/>
                <w:color w:val="auto"/>
              </w:rPr>
              <w:t>of</w:t>
            </w:r>
          </w:p>
        </w:tc>
        <w:tc>
          <w:tcPr>
            <w:tcW w:w="2900" w:type="dxa"/>
            <w:vAlign w:val="bottom"/>
          </w:tcPr>
          <w:p>
            <w:pPr>
              <w:ind w:left="1040"/>
              <w:spacing w:after="0"/>
              <w:rPr>
                <w:sz w:val="20"/>
                <w:szCs w:val="20"/>
                <w:color w:val="auto"/>
              </w:rPr>
            </w:pPr>
            <w:r>
              <w:rPr>
                <w:rFonts w:ascii="Arial" w:cs="Arial" w:eastAsia="Arial" w:hAnsi="Arial"/>
                <w:sz w:val="17"/>
                <w:szCs w:val="17"/>
                <w:color w:val="auto"/>
              </w:rPr>
              <w:t>the</w:t>
            </w:r>
          </w:p>
        </w:tc>
        <w:tc>
          <w:tcPr>
            <w:tcW w:w="5100" w:type="dxa"/>
            <w:vAlign w:val="bottom"/>
          </w:tcPr>
          <w:p>
            <w:pPr>
              <w:ind w:left="1640"/>
              <w:spacing w:after="0"/>
              <w:rPr>
                <w:sz w:val="20"/>
                <w:szCs w:val="20"/>
                <w:color w:val="auto"/>
              </w:rPr>
            </w:pPr>
            <w:r>
              <w:rPr>
                <w:rFonts w:ascii="Arial" w:cs="Arial" w:eastAsia="Arial" w:hAnsi="Arial"/>
                <w:sz w:val="17"/>
                <w:szCs w:val="17"/>
                <w:color w:val="auto"/>
              </w:rPr>
              <w:t>Exchange</w:t>
            </w:r>
          </w:p>
        </w:tc>
        <w:tc>
          <w:tcPr>
            <w:tcW w:w="820" w:type="dxa"/>
            <w:vAlign w:val="bottom"/>
          </w:tcPr>
          <w:p>
            <w:pPr>
              <w:ind w:left="520"/>
              <w:spacing w:after="0"/>
              <w:rPr>
                <w:sz w:val="20"/>
                <w:szCs w:val="20"/>
                <w:color w:val="auto"/>
              </w:rPr>
            </w:pPr>
            <w:r>
              <w:rPr>
                <w:rFonts w:ascii="Arial" w:cs="Arial" w:eastAsia="Arial" w:hAnsi="Arial"/>
                <w:sz w:val="17"/>
                <w:szCs w:val="17"/>
                <w:color w:val="auto"/>
                <w:w w:val="95"/>
              </w:rPr>
              <w:t>Act.</w:t>
            </w:r>
          </w:p>
        </w:tc>
      </w:tr>
      <w:tr>
        <w:trPr>
          <w:trHeight w:val="216"/>
        </w:trPr>
        <w:tc>
          <w:tcPr>
            <w:tcW w:w="2420" w:type="dxa"/>
            <w:vAlign w:val="bottom"/>
          </w:tcPr>
          <w:p>
            <w:pPr>
              <w:ind w:left="20"/>
              <w:spacing w:after="0"/>
              <w:rPr>
                <w:sz w:val="20"/>
                <w:szCs w:val="20"/>
                <w:color w:val="auto"/>
              </w:rPr>
            </w:pPr>
            <w:r>
              <w:rPr>
                <w:rFonts w:ascii="Arial" w:cs="Arial" w:eastAsia="Arial" w:hAnsi="Arial"/>
                <w:sz w:val="17"/>
                <w:szCs w:val="17"/>
                <w:color w:val="auto"/>
              </w:rPr>
              <w:t>Large accelerated filer</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700"/>
              <w:spacing w:after="0"/>
              <w:rPr>
                <w:sz w:val="20"/>
                <w:szCs w:val="20"/>
                <w:color w:val="auto"/>
              </w:rPr>
            </w:pPr>
            <w:r>
              <w:rPr>
                <w:rFonts w:ascii="Arial" w:cs="Arial" w:eastAsia="Arial" w:hAnsi="Arial"/>
                <w:sz w:val="17"/>
                <w:szCs w:val="17"/>
                <w:color w:val="auto"/>
              </w:rPr>
              <w:t>Accelerated filer</w:t>
            </w:r>
          </w:p>
        </w:tc>
        <w:tc>
          <w:tcPr>
            <w:tcW w:w="82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16"/>
        </w:trPr>
        <w:tc>
          <w:tcPr>
            <w:tcW w:w="2420" w:type="dxa"/>
            <w:vAlign w:val="bottom"/>
          </w:tcPr>
          <w:p>
            <w:pPr>
              <w:ind w:left="20"/>
              <w:spacing w:after="0"/>
              <w:rPr>
                <w:sz w:val="20"/>
                <w:szCs w:val="20"/>
                <w:color w:val="auto"/>
              </w:rPr>
            </w:pPr>
            <w:r>
              <w:rPr>
                <w:rFonts w:ascii="Arial" w:cs="Arial" w:eastAsia="Arial" w:hAnsi="Arial"/>
                <w:sz w:val="17"/>
                <w:szCs w:val="17"/>
                <w:color w:val="auto"/>
              </w:rPr>
              <w:t>Non-accelerated filer</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700"/>
              <w:spacing w:after="0"/>
              <w:rPr>
                <w:sz w:val="20"/>
                <w:szCs w:val="20"/>
                <w:color w:val="auto"/>
              </w:rPr>
            </w:pPr>
            <w:r>
              <w:rPr>
                <w:rFonts w:ascii="Arial" w:cs="Arial" w:eastAsia="Arial" w:hAnsi="Arial"/>
                <w:sz w:val="17"/>
                <w:szCs w:val="17"/>
                <w:color w:val="auto"/>
              </w:rPr>
              <w:t>Smaller reporting company</w:t>
            </w:r>
          </w:p>
        </w:tc>
        <w:tc>
          <w:tcPr>
            <w:tcW w:w="82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69"/>
        </w:trPr>
        <w:tc>
          <w:tcPr>
            <w:tcW w:w="2420" w:type="dxa"/>
            <w:vAlign w:val="bottom"/>
          </w:tcPr>
          <w:p>
            <w:pPr>
              <w:ind w:left="20"/>
              <w:spacing w:after="0"/>
              <w:rPr>
                <w:sz w:val="20"/>
                <w:szCs w:val="20"/>
                <w:color w:val="auto"/>
              </w:rPr>
            </w:pPr>
            <w:r>
              <w:rPr>
                <w:rFonts w:ascii="Arial" w:cs="Arial" w:eastAsia="Arial" w:hAnsi="Arial"/>
                <w:sz w:val="17"/>
                <w:szCs w:val="17"/>
                <w:color w:val="auto"/>
              </w:rPr>
              <w:t>Emerging growth company</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spacing w:after="0"/>
              <w:rPr>
                <w:sz w:val="23"/>
                <w:szCs w:val="23"/>
                <w:color w:val="auto"/>
              </w:rPr>
            </w:pPr>
          </w:p>
        </w:tc>
        <w:tc>
          <w:tcPr>
            <w:tcW w:w="820" w:type="dxa"/>
            <w:vAlign w:val="bottom"/>
          </w:tcPr>
          <w:p>
            <w:pPr>
              <w:spacing w:after="0"/>
              <w:rPr>
                <w:sz w:val="23"/>
                <w:szCs w:val="23"/>
                <w:color w:val="auto"/>
              </w:rPr>
            </w:pPr>
          </w:p>
        </w:tc>
      </w:tr>
    </w:tbl>
    <w:p>
      <w:pPr>
        <w:spacing w:after="0" w:line="169"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6" w:lineRule="exact"/>
        <w:rPr>
          <w:sz w:val="24"/>
          <w:szCs w:val="24"/>
          <w:color w:val="auto"/>
        </w:rPr>
      </w:pPr>
    </w:p>
    <w:p>
      <w:pPr>
        <w:spacing w:after="0" w:line="196" w:lineRule="exact"/>
        <w:tabs>
          <w:tab w:leader="none" w:pos="84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1" w:lineRule="exact"/>
        <w:rPr>
          <w:sz w:val="24"/>
          <w:szCs w:val="24"/>
          <w:color w:val="auto"/>
        </w:rPr>
      </w:pPr>
    </w:p>
    <w:p>
      <w:pPr>
        <w:ind w:right="160"/>
        <w:spacing w:after="0" w:line="274" w:lineRule="auto"/>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 14,879,599 shares of common stock as of August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1" w:name="page2"/>
    <w:bookmarkEnd w:id="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CUMBERLAND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80" w:type="dxa"/>
            <w:vAlign w:val="bottom"/>
            <w:gridSpan w:val="9"/>
          </w:tcPr>
          <w:p>
            <w:pPr>
              <w:spacing w:after="0"/>
              <w:rPr>
                <w:rFonts w:ascii="Arial" w:cs="Arial" w:eastAsia="Arial" w:hAnsi="Arial"/>
                <w:sz w:val="18"/>
                <w:szCs w:val="18"/>
                <w:color w:val="0000FF"/>
                <w:w w:val="97"/>
              </w:rPr>
            </w:pPr>
            <w:hyperlink w:anchor="page2">
              <w:r>
                <w:rPr>
                  <w:rFonts w:ascii="Arial" w:cs="Arial" w:eastAsia="Arial" w:hAnsi="Arial"/>
                  <w:sz w:val="18"/>
                  <w:szCs w:val="18"/>
                  <w:color w:val="0000FF"/>
                  <w:w w:val="97"/>
                </w:rPr>
                <w:t>PART I – FINANCIAL INFORMATION</w:t>
              </w:r>
            </w:hyperlink>
          </w:p>
        </w:tc>
        <w:tc>
          <w:tcPr>
            <w:tcW w:w="6180" w:type="dxa"/>
            <w:vAlign w:val="bottom"/>
            <w:gridSpan w:val="9"/>
          </w:tcPr>
          <w:p>
            <w:pPr>
              <w:spacing w:after="0"/>
              <w:rPr>
                <w:sz w:val="17"/>
                <w:szCs w:val="17"/>
                <w:color w:val="auto"/>
              </w:rPr>
            </w:pPr>
          </w:p>
        </w:tc>
        <w:tc>
          <w:tcPr>
            <w:tcW w:w="2060" w:type="dxa"/>
            <w:vAlign w:val="bottom"/>
            <w:gridSpan w:val="4"/>
          </w:tcPr>
          <w:p>
            <w:pPr>
              <w:jc w:val="right"/>
              <w:ind w:right="60"/>
              <w:spacing w:after="0"/>
              <w:rPr>
                <w:rFonts w:ascii="Arial" w:cs="Arial" w:eastAsia="Arial" w:hAnsi="Arial"/>
                <w:sz w:val="18"/>
                <w:szCs w:val="18"/>
                <w:color w:val="0000FF"/>
              </w:rPr>
            </w:pPr>
            <w:hyperlink w:anchor="page2">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2060" w:type="dxa"/>
            <w:vAlign w:val="bottom"/>
            <w:gridSpan w:val="4"/>
          </w:tcPr>
          <w:p>
            <w:pPr>
              <w:jc w:val="right"/>
              <w:ind w:right="6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9"/>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Condensed Consolidated Balance Sheets</w:t>
              </w:r>
            </w:hyperlink>
          </w:p>
        </w:tc>
        <w:tc>
          <w:tcPr>
            <w:tcW w:w="5780" w:type="dxa"/>
            <w:vAlign w:val="bottom"/>
            <w:gridSpan w:val="7"/>
          </w:tcPr>
          <w:p>
            <w:pPr>
              <w:spacing w:after="0"/>
              <w:rPr>
                <w:sz w:val="24"/>
                <w:szCs w:val="24"/>
                <w:color w:val="auto"/>
              </w:rPr>
            </w:pPr>
          </w:p>
        </w:tc>
        <w:tc>
          <w:tcPr>
            <w:tcW w:w="2060" w:type="dxa"/>
            <w:vAlign w:val="bottom"/>
            <w:gridSpan w:val="4"/>
          </w:tcPr>
          <w:p>
            <w:pPr>
              <w:jc w:val="right"/>
              <w:ind w:right="6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gridSpan w:val="11"/>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w:t>
              </w:r>
            </w:hyperlink>
          </w:p>
        </w:tc>
        <w:tc>
          <w:tcPr>
            <w:tcW w:w="5060" w:type="dxa"/>
            <w:vAlign w:val="bottom"/>
            <w:gridSpan w:val="5"/>
          </w:tcPr>
          <w:p>
            <w:pPr>
              <w:spacing w:after="0"/>
              <w:rPr>
                <w:sz w:val="24"/>
                <w:szCs w:val="24"/>
                <w:color w:val="auto"/>
              </w:rPr>
            </w:pPr>
          </w:p>
        </w:tc>
        <w:tc>
          <w:tcPr>
            <w:tcW w:w="2060" w:type="dxa"/>
            <w:vAlign w:val="bottom"/>
            <w:gridSpan w:val="4"/>
          </w:tcPr>
          <w:p>
            <w:pPr>
              <w:jc w:val="right"/>
              <w:ind w:right="6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Cash Flows</w:t>
              </w:r>
            </w:hyperlink>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Equity</w:t>
              </w:r>
            </w:hyperlink>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14"/>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the Unaudited Condensed Consolidated Financial Statements</w:t>
              </w:r>
            </w:hyperlink>
          </w:p>
        </w:tc>
        <w:tc>
          <w:tcPr>
            <w:tcW w:w="3660" w:type="dxa"/>
            <w:vAlign w:val="bottom"/>
            <w:gridSpan w:val="2"/>
          </w:tcPr>
          <w:p>
            <w:pPr>
              <w:spacing w:after="0"/>
              <w:rPr>
                <w:sz w:val="24"/>
                <w:szCs w:val="24"/>
                <w:color w:val="auto"/>
              </w:rPr>
            </w:pPr>
          </w:p>
        </w:tc>
        <w:tc>
          <w:tcPr>
            <w:tcW w:w="2060" w:type="dxa"/>
            <w:vAlign w:val="bottom"/>
            <w:gridSpan w:val="4"/>
          </w:tcPr>
          <w:p>
            <w:pPr>
              <w:jc w:val="right"/>
              <w:ind w:right="6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rFonts w:ascii="Arial" w:cs="Arial" w:eastAsia="Arial" w:hAnsi="Arial"/>
                <w:sz w:val="18"/>
                <w:szCs w:val="18"/>
                <w:color w:val="0000FF"/>
              </w:rPr>
            </w:pPr>
            <w:hyperlink w:anchor="page16">
              <w:r>
                <w:rPr>
                  <w:rFonts w:ascii="Arial" w:cs="Arial" w:eastAsia="Arial" w:hAnsi="Arial"/>
                  <w:sz w:val="18"/>
                  <w:szCs w:val="18"/>
                  <w:color w:val="0000FF"/>
                </w:rPr>
                <w:t>Item 2. Management’s Discussion and Analysis of Financial Condition and Results of Operations</w:t>
              </w:r>
            </w:hyperlink>
          </w:p>
        </w:tc>
        <w:tc>
          <w:tcPr>
            <w:tcW w:w="2060" w:type="dxa"/>
            <w:vAlign w:val="bottom"/>
            <w:gridSpan w:val="4"/>
          </w:tcPr>
          <w:p>
            <w:pPr>
              <w:jc w:val="right"/>
              <w:ind w:right="60"/>
              <w:spacing w:after="0"/>
              <w:rPr>
                <w:rFonts w:ascii="Arial" w:cs="Arial" w:eastAsia="Arial" w:hAnsi="Arial"/>
                <w:sz w:val="18"/>
                <w:szCs w:val="18"/>
                <w:color w:val="0000FF"/>
              </w:rPr>
            </w:pPr>
            <w:hyperlink w:anchor="page16">
              <w:r>
                <w:rPr>
                  <w:rFonts w:ascii="Arial" w:cs="Arial" w:eastAsia="Arial" w:hAnsi="Arial"/>
                  <w:sz w:val="18"/>
                  <w:szCs w:val="18"/>
                  <w:color w:val="0000FF"/>
                </w:rPr>
                <w:t>15</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gridSpan w:val="14"/>
          </w:tcPr>
          <w:p>
            <w:pPr>
              <w:ind w:left="20"/>
              <w:spacing w:after="0"/>
              <w:rPr>
                <w:rFonts w:ascii="Arial" w:cs="Arial" w:eastAsia="Arial" w:hAnsi="Arial"/>
                <w:sz w:val="18"/>
                <w:szCs w:val="18"/>
                <w:color w:val="0000FF"/>
                <w:w w:val="91"/>
              </w:rPr>
            </w:pPr>
            <w:hyperlink w:anchor="page30">
              <w:r>
                <w:rPr>
                  <w:rFonts w:ascii="Arial" w:cs="Arial" w:eastAsia="Arial" w:hAnsi="Arial"/>
                  <w:sz w:val="18"/>
                  <w:szCs w:val="18"/>
                  <w:color w:val="0000FF"/>
                  <w:w w:val="91"/>
                </w:rPr>
                <w:t>Item 3. Quantitative and Qualitative Disclosures About Market Risk</w:t>
              </w:r>
            </w:hyperlink>
          </w:p>
        </w:tc>
        <w:tc>
          <w:tcPr>
            <w:tcW w:w="210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28</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3920" w:type="dxa"/>
            <w:vAlign w:val="bottom"/>
            <w:tcBorders>
              <w:left w:val="single" w:sz="8" w:color="0000FF"/>
            </w:tcBorders>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Item 4.</w:t>
              </w:r>
            </w:hyperlink>
          </w:p>
        </w:tc>
        <w:tc>
          <w:tcPr>
            <w:tcW w:w="1800" w:type="dxa"/>
            <w:vAlign w:val="bottom"/>
            <w:gridSpan w:val="5"/>
          </w:tcPr>
          <w:p>
            <w:pPr>
              <w:ind w:left="20"/>
              <w:spacing w:after="0"/>
              <w:rPr>
                <w:rFonts w:ascii="Arial" w:cs="Arial" w:eastAsia="Arial" w:hAnsi="Arial"/>
                <w:sz w:val="18"/>
                <w:szCs w:val="18"/>
                <w:color w:val="0000FF"/>
                <w:w w:val="88"/>
              </w:rPr>
            </w:pPr>
            <w:hyperlink w:anchor="page30">
              <w:r>
                <w:rPr>
                  <w:rFonts w:ascii="Arial" w:cs="Arial" w:eastAsia="Arial" w:hAnsi="Arial"/>
                  <w:sz w:val="18"/>
                  <w:szCs w:val="18"/>
                  <w:color w:val="0000FF"/>
                  <w:w w:val="88"/>
                </w:rPr>
                <w:t>Controls and Procedures</w:t>
              </w:r>
            </w:hyperlink>
          </w:p>
        </w:tc>
        <w:tc>
          <w:tcPr>
            <w:tcW w:w="2580" w:type="dxa"/>
            <w:vAlign w:val="bottom"/>
            <w:gridSpan w:val="7"/>
          </w:tcPr>
          <w:p>
            <w:pPr>
              <w:spacing w:after="0"/>
              <w:rPr>
                <w:sz w:val="24"/>
                <w:szCs w:val="24"/>
                <w:color w:val="auto"/>
              </w:rPr>
            </w:pPr>
          </w:p>
        </w:tc>
        <w:tc>
          <w:tcPr>
            <w:tcW w:w="392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28</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160" w:type="dxa"/>
            <w:vAlign w:val="bottom"/>
            <w:gridSpan w:val="1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PART II – OTHER INFORMATION</w:t>
              </w:r>
            </w:hyperlink>
          </w:p>
        </w:tc>
        <w:tc>
          <w:tcPr>
            <w:tcW w:w="2060" w:type="dxa"/>
            <w:vAlign w:val="bottom"/>
            <w:gridSpan w:val="4"/>
          </w:tcPr>
          <w:p>
            <w:pPr>
              <w:jc w:val="right"/>
              <w:ind w:right="60"/>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Item 1.</w:t>
              </w:r>
            </w:hyperlink>
          </w:p>
        </w:tc>
        <w:tc>
          <w:tcPr>
            <w:tcW w:w="1360" w:type="dxa"/>
            <w:vAlign w:val="bottom"/>
            <w:gridSpan w:val="4"/>
          </w:tcPr>
          <w:p>
            <w:pPr>
              <w:ind w:left="20"/>
              <w:spacing w:after="0"/>
              <w:rPr>
                <w:rFonts w:ascii="Arial" w:cs="Arial" w:eastAsia="Arial" w:hAnsi="Arial"/>
                <w:sz w:val="18"/>
                <w:szCs w:val="18"/>
                <w:color w:val="0000FF"/>
                <w:w w:val="88"/>
              </w:rPr>
            </w:pPr>
            <w:hyperlink w:anchor="page31">
              <w:r>
                <w:rPr>
                  <w:rFonts w:ascii="Arial" w:cs="Arial" w:eastAsia="Arial" w:hAnsi="Arial"/>
                  <w:sz w:val="18"/>
                  <w:szCs w:val="18"/>
                  <w:color w:val="0000FF"/>
                  <w:w w:val="88"/>
                </w:rPr>
                <w:t>Legal Proceedings</w:t>
              </w:r>
            </w:hyperlink>
          </w:p>
        </w:tc>
        <w:tc>
          <w:tcPr>
            <w:tcW w:w="440" w:type="dxa"/>
            <w:vAlign w:val="bottom"/>
          </w:tcPr>
          <w:p>
            <w:pPr>
              <w:spacing w:after="0"/>
              <w:rPr>
                <w:sz w:val="24"/>
                <w:szCs w:val="24"/>
                <w:color w:val="auto"/>
              </w:rPr>
            </w:pPr>
          </w:p>
        </w:tc>
        <w:tc>
          <w:tcPr>
            <w:tcW w:w="6500" w:type="dxa"/>
            <w:vAlign w:val="bottom"/>
            <w:gridSpan w:val="10"/>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29</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5"/>
          </w:tcPr>
          <w:p>
            <w:pPr>
              <w:ind w:left="20"/>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Item 1A. Risk Factors</w:t>
              </w:r>
            </w:hyperlink>
          </w:p>
        </w:tc>
        <w:tc>
          <w:tcPr>
            <w:tcW w:w="300" w:type="dxa"/>
            <w:vAlign w:val="bottom"/>
          </w:tcPr>
          <w:p>
            <w:pPr>
              <w:spacing w:after="0"/>
              <w:rPr>
                <w:sz w:val="24"/>
                <w:szCs w:val="24"/>
                <w:color w:val="auto"/>
              </w:rPr>
            </w:pPr>
          </w:p>
        </w:tc>
        <w:tc>
          <w:tcPr>
            <w:tcW w:w="6940" w:type="dxa"/>
            <w:vAlign w:val="bottom"/>
            <w:gridSpan w:val="11"/>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29</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Item 2.</w:t>
              </w:r>
            </w:hyperlink>
          </w:p>
        </w:tc>
        <w:tc>
          <w:tcPr>
            <w:tcW w:w="4380" w:type="dxa"/>
            <w:vAlign w:val="bottom"/>
            <w:gridSpan w:val="12"/>
          </w:tcPr>
          <w:p>
            <w:pPr>
              <w:ind w:left="2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Unregistered Sales of Equity Securities and Use of Proceeds</w:t>
              </w:r>
            </w:hyperlink>
          </w:p>
        </w:tc>
        <w:tc>
          <w:tcPr>
            <w:tcW w:w="392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29</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760" w:type="dxa"/>
            <w:vAlign w:val="bottom"/>
            <w:gridSpan w:val="10"/>
            <w:shd w:val="clear" w:color="auto" w:fill="0000FF"/>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Item 6.</w:t>
              </w:r>
            </w:hyperlink>
          </w:p>
        </w:tc>
        <w:tc>
          <w:tcPr>
            <w:tcW w:w="4380" w:type="dxa"/>
            <w:vAlign w:val="bottom"/>
            <w:gridSpan w:val="12"/>
          </w:tcPr>
          <w:p>
            <w:pPr>
              <w:ind w:left="20"/>
              <w:spacing w:after="0"/>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392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30</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160" w:type="dxa"/>
            <w:vAlign w:val="bottom"/>
            <w:gridSpan w:val="1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SIGNATURES</w:t>
              </w:r>
            </w:hyperlink>
          </w:p>
        </w:tc>
        <w:tc>
          <w:tcPr>
            <w:tcW w:w="2060" w:type="dxa"/>
            <w:vAlign w:val="bottom"/>
            <w:gridSpan w:val="4"/>
          </w:tcPr>
          <w:p>
            <w:pPr>
              <w:jc w:val="right"/>
              <w:ind w:right="6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1283"/>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 – FINANCIAL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2021</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2020</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25,670,462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24,753,796</w:t>
            </w:r>
          </w:p>
        </w:tc>
        <w:tc>
          <w:tcPr>
            <w:tcW w:w="0" w:type="dxa"/>
            <w:vAlign w:val="bottom"/>
          </w:tcPr>
          <w:p>
            <w:pPr>
              <w:spacing w:after="0"/>
              <w:rPr>
                <w:sz w:val="1"/>
                <w:szCs w:val="1"/>
                <w:color w:val="auto"/>
              </w:rPr>
            </w:pPr>
          </w:p>
        </w:tc>
      </w:t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9,147,493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12,377,713</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10,104,219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10,638,157</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1,758,332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2,199,926</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46,680,506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49,969,592</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Non-current inventories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9,880,766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11,656,742</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574,169</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25,888,622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28,118,316</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882,000</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1,535,556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2,028,148</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3,490,768</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3,234,338</w:t>
            </w:r>
          </w:p>
        </w:tc>
        <w:tc>
          <w:tcPr>
            <w:tcW w:w="0" w:type="dxa"/>
            <w:vAlign w:val="bottom"/>
          </w:tcPr>
          <w:p>
            <w:pPr>
              <w:spacing w:after="0"/>
              <w:rPr>
                <w:sz w:val="1"/>
                <w:szCs w:val="1"/>
                <w:color w:val="auto"/>
              </w:rPr>
            </w:pPr>
          </w:p>
        </w:tc>
      </w:tr>
      <w:tr>
        <w:trPr>
          <w:trHeight w:val="223"/>
        </w:trPr>
        <w:tc>
          <w:tcPr>
            <w:tcW w:w="664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88,851,474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96,463,305</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8,962,916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13,396,286</w:t>
            </w:r>
          </w:p>
        </w:tc>
        <w:tc>
          <w:tcPr>
            <w:tcW w:w="0" w:type="dxa"/>
            <w:vAlign w:val="bottom"/>
          </w:tcPr>
          <w:p>
            <w:pPr>
              <w:spacing w:after="0"/>
              <w:rPr>
                <w:sz w:val="1"/>
                <w:szCs w:val="1"/>
                <w:color w:val="auto"/>
              </w:rPr>
            </w:pPr>
          </w:p>
        </w:tc>
      </w:t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Operating lease current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1,067,880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1,016,779</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8,615,995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11,254,381</w:t>
            </w:r>
          </w:p>
        </w:tc>
        <w:tc>
          <w:tcPr>
            <w:tcW w:w="0" w:type="dxa"/>
            <w:vAlign w:val="bottom"/>
          </w:tcPr>
          <w:p>
            <w:pPr>
              <w:spacing w:after="0"/>
              <w:rPr>
                <w:sz w:val="1"/>
                <w:szCs w:val="1"/>
                <w:color w:val="auto"/>
              </w:rPr>
            </w:pPr>
          </w:p>
        </w:tc>
      </w:tr>
      <w:tr>
        <w:trPr>
          <w:trHeight w:val="223"/>
        </w:trPr>
        <w:tc>
          <w:tcPr>
            <w:tcW w:w="66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18,646,791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25,667,446</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Operating lease noncurrent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512,324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1,059,693</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7,883,952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7,862,772</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41,043,067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49,589,911</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340"/>
              <w:spacing w:after="0" w:line="176" w:lineRule="exact"/>
              <w:rPr>
                <w:sz w:val="20"/>
                <w:szCs w:val="20"/>
                <w:color w:val="auto"/>
              </w:rPr>
            </w:pPr>
            <w:r>
              <w:rPr>
                <w:rFonts w:ascii="Arial" w:cs="Arial" w:eastAsia="Arial" w:hAnsi="Arial"/>
                <w:sz w:val="18"/>
                <w:szCs w:val="18"/>
                <w:color w:val="auto"/>
                <w:w w:val="99"/>
              </w:rPr>
              <w:t>Common stock—no par value; 100,000,000 shares authorized; 14,926,059 and</w:t>
            </w:r>
          </w:p>
        </w:tc>
        <w:tc>
          <w:tcPr>
            <w:tcW w:w="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340"/>
              <w:spacing w:after="0" w:line="176" w:lineRule="exact"/>
              <w:rPr>
                <w:sz w:val="20"/>
                <w:szCs w:val="20"/>
                <w:color w:val="auto"/>
              </w:rPr>
            </w:pPr>
            <w:r>
              <w:rPr>
                <w:rFonts w:ascii="Arial" w:cs="Arial" w:eastAsia="Arial" w:hAnsi="Arial"/>
                <w:sz w:val="18"/>
                <w:szCs w:val="18"/>
                <w:color w:val="auto"/>
                <w:w w:val="89"/>
              </w:rPr>
              <w:t>14,988,429 shares issued and outstanding as of June 30, 2021 and December 31, 2020,</w:t>
            </w:r>
          </w:p>
        </w:tc>
        <w:tc>
          <w:tcPr>
            <w:tcW w:w="34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48,688,384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49,121,523</w:t>
            </w:r>
          </w:p>
        </w:tc>
        <w:tc>
          <w:tcPr>
            <w:tcW w:w="0" w:type="dxa"/>
            <w:vAlign w:val="bottom"/>
          </w:tcPr>
          <w:p>
            <w:pPr>
              <w:spacing w:after="0"/>
              <w:rPr>
                <w:sz w:val="1"/>
                <w:szCs w:val="1"/>
                <w:color w:val="auto"/>
              </w:rPr>
            </w:pPr>
          </w:p>
        </w:tc>
      </w:t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34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 (deficit)</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(2,131,013)</w:t>
            </w:r>
          </w:p>
        </w:tc>
        <w:tc>
          <w:tcPr>
            <w:tcW w:w="0" w:type="dxa"/>
            <w:vAlign w:val="bottom"/>
          </w:tcPr>
          <w:p>
            <w:pPr>
              <w:spacing w:after="0"/>
              <w:rPr>
                <w:sz w:val="1"/>
                <w:szCs w:val="1"/>
                <w:color w:val="auto"/>
              </w:rPr>
            </w:pPr>
          </w:p>
        </w:tc>
      </w:tr>
      <w:tr>
        <w:trPr>
          <w:trHeight w:val="223"/>
        </w:trPr>
        <w:tc>
          <w:tcPr>
            <w:tcW w:w="6640" w:type="dxa"/>
            <w:vAlign w:val="bottom"/>
          </w:tcPr>
          <w:p>
            <w:pPr>
              <w:ind w:left="660"/>
              <w:spacing w:after="0"/>
              <w:rPr>
                <w:sz w:val="20"/>
                <w:szCs w:val="20"/>
                <w:color w:val="auto"/>
              </w:rPr>
            </w:pPr>
            <w:r>
              <w:rPr>
                <w:rFonts w:ascii="Arial" w:cs="Arial" w:eastAsia="Arial" w:hAnsi="Arial"/>
                <w:sz w:val="18"/>
                <w:szCs w:val="18"/>
                <w:color w:val="auto"/>
              </w:rPr>
              <w:t>Total shareholders’ equity</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47,952,759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46,990,510</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(117,116)</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47,808,407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46,873,394</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88,851,474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96,463,305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5"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64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181"/>
        </w:trPr>
        <w:tc>
          <w:tcPr>
            <w:tcW w:w="53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9,055,483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19,592,642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17,928,911</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1,740,649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2,609,982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4,157,978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4,244,163</w:t>
            </w:r>
          </w:p>
        </w:tc>
        <w:tc>
          <w:tcPr>
            <w:tcW w:w="0" w:type="dxa"/>
            <w:vAlign w:val="bottom"/>
          </w:tcPr>
          <w:p>
            <w:pPr>
              <w:spacing w:after="0"/>
              <w:rPr>
                <w:sz w:val="1"/>
                <w:szCs w:val="1"/>
                <w:color w:val="auto"/>
              </w:rPr>
            </w:pP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4,121,817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3,865,406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7,909,157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7,573,082</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1,360,398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1,421,502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2,617,765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3,144,057</w:t>
            </w:r>
          </w:p>
        </w:tc>
        <w:tc>
          <w:tcPr>
            <w:tcW w:w="0" w:type="dxa"/>
            <w:vAlign w:val="bottom"/>
          </w:tcPr>
          <w:p>
            <w:pPr>
              <w:spacing w:after="0"/>
              <w:rPr>
                <w:sz w:val="1"/>
                <w:szCs w:val="1"/>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2,097,130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2,190,764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4,327,639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4,227,048</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1,171,218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1,091,485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2,340,132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2,167,524</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10,491,212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11,179,139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21,352,671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21,355,874</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(1,435,729)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(1,580,962)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(3,426,963)</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58,549</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(50,276)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(152,520)</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Income (loss) from continuing operations before income taxes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(1,671,756)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(3,520,934)</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(41,695)</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(3,562,629)</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738,622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994,217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1,556,895</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1,223,491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1,368,152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(2,005,734)</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5"/>
              </w:rPr>
              <w:t>Net (income) loss at subsidiary attributable to noncontrolling interests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31,839</w:t>
            </w: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 attributable to common shareholders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(918,275)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1,395,388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(1,973,895)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per share attributable to common shareholders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Continuing operations - 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 Discontinued operations - basic</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0"/>
        </w:trPr>
        <w:tc>
          <w:tcPr>
            <w:tcW w:w="5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Continuing operations - 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 Discontinued operations - diluted</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Weighted-average shares outstanding</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basic</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14,976,034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15,241,463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14,970,241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15,241,020</w:t>
            </w:r>
          </w:p>
        </w:tc>
        <w:tc>
          <w:tcPr>
            <w:tcW w:w="0" w:type="dxa"/>
            <w:vAlign w:val="bottom"/>
          </w:tcPr>
          <w:p>
            <w:pPr>
              <w:spacing w:after="0"/>
              <w:rPr>
                <w:sz w:val="1"/>
                <w:szCs w:val="1"/>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 diluted</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15,109,246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15,241,463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15,171,589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15,241,020</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2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6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1,368,152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(2,005,734)</w:t>
            </w:r>
          </w:p>
        </w:tc>
      </w:tr>
      <w:tr>
        <w:trPr>
          <w:trHeight w:val="230"/>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994,217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1,556,895</w:t>
            </w:r>
          </w:p>
        </w:tc>
      </w:tr>
      <w:tr>
        <w:trPr>
          <w:trHeight w:val="223"/>
        </w:trPr>
        <w:tc>
          <w:tcPr>
            <w:tcW w:w="7620" w:type="dxa"/>
            <w:vAlign w:val="bottom"/>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373,935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(3,562,629)</w:t>
            </w:r>
          </w:p>
        </w:tc>
      </w:tr>
      <w:tr>
        <w:trPr>
          <w:trHeight w:val="176"/>
        </w:trPr>
        <w:tc>
          <w:tcPr>
            <w:tcW w:w="76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Adjustments to reconcile net income (loss) from continuing operations to net cash provided by (used</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29"/>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 operating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620" w:type="dxa"/>
            <w:vAlign w:val="bottom"/>
          </w:tcPr>
          <w:p>
            <w:pPr>
              <w:ind w:left="680"/>
              <w:spacing w:after="0"/>
              <w:rPr>
                <w:sz w:val="20"/>
                <w:szCs w:val="20"/>
                <w:color w:val="auto"/>
              </w:rPr>
            </w:pPr>
            <w:r>
              <w:rPr>
                <w:rFonts w:ascii="Arial" w:cs="Arial" w:eastAsia="Arial" w:hAnsi="Arial"/>
                <w:sz w:val="18"/>
                <w:szCs w:val="18"/>
                <w:color w:val="auto"/>
              </w:rPr>
              <w:t>Depreciation and amortization expense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2,455,576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2,334,669</w:t>
            </w: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542,923</w:t>
            </w:r>
          </w:p>
        </w:tc>
      </w:tr>
      <w:tr>
        <w:trPr>
          <w:trHeight w:val="229"/>
        </w:trPr>
        <w:tc>
          <w:tcPr>
            <w:tcW w:w="7620" w:type="dxa"/>
            <w:vAlign w:val="bottom"/>
          </w:tcPr>
          <w:p>
            <w:pPr>
              <w:ind w:left="680"/>
              <w:spacing w:after="0"/>
              <w:rPr>
                <w:sz w:val="20"/>
                <w:szCs w:val="20"/>
                <w:color w:val="auto"/>
              </w:rPr>
            </w:pPr>
            <w:r>
              <w:rPr>
                <w:rFonts w:ascii="Arial" w:cs="Arial" w:eastAsia="Arial" w:hAnsi="Arial"/>
                <w:sz w:val="18"/>
                <w:szCs w:val="18"/>
                <w:color w:val="auto"/>
              </w:rPr>
              <w:t>Decrease in non-cash contingent consideration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(180,110)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(645,571)</w:t>
            </w: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7"/>
              </w:rPr>
              <w:t>Decrease (increase) in cash surrender value of life insurance policies over premiums paid</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215,116</w:t>
            </w:r>
          </w:p>
        </w:tc>
      </w:tr>
      <w:tr>
        <w:trPr>
          <w:trHeight w:val="229"/>
        </w:trPr>
        <w:tc>
          <w:tcPr>
            <w:tcW w:w="7620" w:type="dxa"/>
            <w:vAlign w:val="bottom"/>
          </w:tcPr>
          <w:p>
            <w:pPr>
              <w:ind w:left="680"/>
              <w:spacing w:after="0"/>
              <w:rPr>
                <w:sz w:val="20"/>
                <w:szCs w:val="20"/>
                <w:color w:val="auto"/>
              </w:rPr>
            </w:pPr>
            <w:r>
              <w:rPr>
                <w:rFonts w:ascii="Arial" w:cs="Arial" w:eastAsia="Arial" w:hAnsi="Arial"/>
                <w:sz w:val="18"/>
                <w:szCs w:val="18"/>
                <w:color w:val="auto"/>
              </w:rPr>
              <w:t>Noncash interest expense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27,666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22,973</w:t>
            </w:r>
          </w:p>
        </w:tc>
      </w:tr>
      <w:tr>
        <w:trPr>
          <w:trHeight w:val="229"/>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forgiveness of debt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20" w:type="dxa"/>
            <w:vAlign w:val="bottom"/>
          </w:tcPr>
          <w:p>
            <w:pPr>
              <w:ind w:left="68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6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3,230,220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(80,421)</w:t>
            </w:r>
          </w:p>
        </w:tc>
      </w:tr>
      <w:tr>
        <w:trPr>
          <w:trHeight w:val="230"/>
        </w:trPr>
        <w:tc>
          <w:tcPr>
            <w:tcW w:w="7620" w:type="dxa"/>
            <w:vAlign w:val="bottom"/>
          </w:tcPr>
          <w:p>
            <w:pPr>
              <w:ind w:left="100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2,309,914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1,158,916</w:t>
            </w:r>
          </w:p>
        </w:tc>
      </w:tr>
      <w:tr>
        <w:trPr>
          <w:trHeight w:val="229"/>
        </w:trPr>
        <w:tc>
          <w:tcPr>
            <w:tcW w:w="76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Other current assets and other assets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802,534</w:t>
            </w:r>
          </w:p>
        </w:tc>
      </w:tr>
      <w:tr>
        <w:trPr>
          <w:trHeight w:val="229"/>
        </w:trPr>
        <w:tc>
          <w:tcPr>
            <w:tcW w:w="7620" w:type="dxa"/>
            <w:vAlign w:val="bottom"/>
          </w:tcPr>
          <w:p>
            <w:pPr>
              <w:ind w:left="1000"/>
              <w:spacing w:after="0"/>
              <w:rPr>
                <w:sz w:val="20"/>
                <w:szCs w:val="20"/>
                <w:color w:val="auto"/>
              </w:rPr>
            </w:pPr>
            <w:r>
              <w:rPr>
                <w:rFonts w:ascii="Arial" w:cs="Arial" w:eastAsia="Arial" w:hAnsi="Arial"/>
                <w:sz w:val="18"/>
                <w:szCs w:val="18"/>
                <w:color w:val="auto"/>
              </w:rPr>
              <w:t>Accounts payable and other current liabilities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(3,008,323)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2,413,768</w:t>
            </w:r>
          </w:p>
        </w:tc>
      </w:tr>
      <w:tr>
        <w:trPr>
          <w:trHeight w:val="230"/>
        </w:trPr>
        <w:tc>
          <w:tcPr>
            <w:tcW w:w="76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(869,644)</w:t>
            </w:r>
          </w:p>
        </w:tc>
      </w:tr>
      <w:tr>
        <w:trPr>
          <w:trHeight w:val="223"/>
        </w:trPr>
        <w:tc>
          <w:tcPr>
            <w:tcW w:w="7620" w:type="dxa"/>
            <w:vAlign w:val="bottom"/>
          </w:tcPr>
          <w:p>
            <w:pPr>
              <w:ind w:left="68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3,490,553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2,332,634</w:t>
            </w: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Discontinued operations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994,217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1,371,437</w:t>
            </w:r>
          </w:p>
        </w:tc>
      </w:tr>
      <w:tr>
        <w:trPr>
          <w:trHeight w:val="223"/>
        </w:trPr>
        <w:tc>
          <w:tcPr>
            <w:tcW w:w="7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4,484,770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3,704,071</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620" w:type="dxa"/>
            <w:vAlign w:val="bottom"/>
          </w:tcPr>
          <w:p>
            <w:pPr>
              <w:ind w:left="680"/>
              <w:spacing w:after="0"/>
              <w:rPr>
                <w:sz w:val="20"/>
                <w:szCs w:val="20"/>
                <w:color w:val="auto"/>
              </w:rPr>
            </w:pPr>
            <w:r>
              <w:rPr>
                <w:rFonts w:ascii="Arial" w:cs="Arial" w:eastAsia="Arial" w:hAnsi="Arial"/>
                <w:sz w:val="18"/>
                <w:szCs w:val="18"/>
                <w:color w:val="auto"/>
              </w:rPr>
              <w:t>Additions to property and equipment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(34,531)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(50,883)</w:t>
            </w: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Note receivable investment funding</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Additions to intangible assets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(722,131)</w:t>
            </w:r>
          </w:p>
        </w:tc>
      </w:tr>
      <w:tr>
        <w:trPr>
          <w:trHeight w:val="223"/>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(773,014)</w:t>
            </w:r>
          </w:p>
        </w:tc>
      </w:tr>
      <w:tr>
        <w:trPr>
          <w:trHeight w:val="209"/>
        </w:trPr>
        <w:tc>
          <w:tcPr>
            <w:tcW w:w="76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Borrowings on line of credit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35,500,000</w:t>
            </w:r>
          </w:p>
        </w:tc>
      </w:tr>
      <w:tr>
        <w:trPr>
          <w:trHeight w:val="230"/>
        </w:trPr>
        <w:tc>
          <w:tcPr>
            <w:tcW w:w="7620" w:type="dxa"/>
            <w:vAlign w:val="bottom"/>
          </w:tcPr>
          <w:p>
            <w:pPr>
              <w:ind w:left="680"/>
              <w:spacing w:after="0"/>
              <w:rPr>
                <w:sz w:val="20"/>
                <w:szCs w:val="20"/>
                <w:color w:val="auto"/>
              </w:rPr>
            </w:pPr>
            <w:r>
              <w:rPr>
                <w:rFonts w:ascii="Arial" w:cs="Arial" w:eastAsia="Arial" w:hAnsi="Arial"/>
                <w:sz w:val="18"/>
                <w:szCs w:val="18"/>
                <w:color w:val="auto"/>
              </w:rPr>
              <w:t>Repayments on line of credit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(37,000,000)</w:t>
            </w: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payment of contingent consideration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(1,423,586)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(260,735)</w:t>
            </w:r>
          </w:p>
        </w:tc>
      </w:tr>
      <w:tr>
        <w:trPr>
          <w:trHeight w:val="229"/>
        </w:trPr>
        <w:tc>
          <w:tcPr>
            <w:tcW w:w="7620" w:type="dxa"/>
            <w:vAlign w:val="bottom"/>
          </w:tcPr>
          <w:p>
            <w:pPr>
              <w:ind w:left="680"/>
              <w:spacing w:after="0"/>
              <w:rPr>
                <w:sz w:val="20"/>
                <w:szCs w:val="20"/>
                <w:color w:val="auto"/>
              </w:rPr>
            </w:pPr>
            <w:r>
              <w:rPr>
                <w:rFonts w:ascii="Arial" w:cs="Arial" w:eastAsia="Arial" w:hAnsi="Arial"/>
                <w:sz w:val="18"/>
                <w:szCs w:val="18"/>
                <w:color w:val="auto"/>
              </w:rPr>
              <w:t>Repurchase of subsidiary shares from noncontrolling interest</w:t>
            </w:r>
          </w:p>
        </w:tc>
        <w:tc>
          <w:tcPr>
            <w:tcW w:w="4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(800,000)</w:t>
            </w: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Repurchase of common shares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(777,664)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(1,209,220)</w:t>
            </w:r>
          </w:p>
        </w:tc>
      </w:tr>
      <w:tr>
        <w:trPr>
          <w:trHeight w:val="223"/>
        </w:trPr>
        <w:tc>
          <w:tcPr>
            <w:tcW w:w="7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(3,201,250)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(3,769,955)</w:t>
            </w:r>
          </w:p>
        </w:tc>
      </w:tr>
      <w:tr>
        <w:trPr>
          <w:trHeight w:val="223"/>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(838,898)</w:t>
            </w:r>
          </w:p>
        </w:tc>
      </w:tr>
      <w:tr>
        <w:trPr>
          <w:trHeight w:val="230"/>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24,753,796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28,212,635</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25,670,462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27,373,737</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7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81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92"/>
              </w:rPr>
              <w:t>Retained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Noncontrolling</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3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4"/>
              </w:rPr>
              <w:t>Total equity</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earnings (deficit)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280"/>
              <w:spacing w:after="0"/>
              <w:rPr>
                <w:sz w:val="20"/>
                <w:szCs w:val="20"/>
                <w:color w:val="auto"/>
              </w:rPr>
            </w:pPr>
            <w:r>
              <w:rPr>
                <w:rFonts w:ascii="Arial" w:cs="Arial" w:eastAsia="Arial" w:hAnsi="Arial"/>
                <w:sz w:val="18"/>
                <w:szCs w:val="18"/>
                <w:b w:val="1"/>
                <w:bCs w:val="1"/>
                <w:color w:val="auto"/>
              </w:rPr>
              <w:t>interests</w:t>
            </w: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4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15,263,555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49,914,478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1,208,395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51,085,253</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219,850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264,574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264,574</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(441,624)</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(1,055,620)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(1,065,145)</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1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15,318,539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49,737,428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152,775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49,843,058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15,318,539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49,737,428</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49,843,058</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278,349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278,349</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(141,463)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(769,648)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(769,648)</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(918,275)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(22,314)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(940,589)</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2020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15,181,276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49,246,129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(765,500)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48,411,170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79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Retained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Noncontrolling</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3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6"/>
              </w:rPr>
              <w:t>Total equity</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0"/>
              </w:rPr>
              <w:t>earnings (deficit)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interests</w:t>
            </w: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14,988,429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49,121,523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(2,131,013)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(117,116)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46,873,394</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187,759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162,960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162,960</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(303,088)</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166,828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(22,167)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144,661</w:t>
            </w: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1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15,084,464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48,981,395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(1,964,185)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46,877,927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15,084,464</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48,981,395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(1,964,185)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46,877,927</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191,954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191,954</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(158,405)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(484,965)</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1,228,560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1,223,491</w:t>
            </w: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14,926,059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48,688,384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(735,625)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(144,352)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47,808,407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Cumberland Pharmaceuticals Inc. (“Cumberland,” the “Company,” or as used in the context of “we,” “us,” or “our”) is a specialty pharmaceutical company focused on the acquisition, development and commercialization of branded prescription products. The Company's primary target markets are hospital acute care, gastroenterology and rheumatology. These medical specialties are characterized by relatively concentrated prescriber bases that the Company believes can be penetrated effectively by small, targeted sales forces. Cumberland is dedicated to providing innovative products that improve quality of care for patients and address unmet or poorly met medical needs. The Company promotes its approved products through its hospital and field sales forces in the United States and is establishing a network of international partners to bring its medicines to patients in their countries.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control and manufacturing professionals. The Company works closely with its third-party distribution partners to make its products available in the United States.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of the Company have been prepared on a basis consistent with the December 31, 2020,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“SEC”),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2020 (the “2020 Annual Report on Form 10-K”). The results of operations for the three and six months ended June 30, 2021, are not necessarily indicative of the results to be expected for the entire fiscal year or any future period.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discussed further in Note 9, during May 2019, Cumberland entered into a Dissolution Agreement ("Dissolution Agreement") with Clinigen Healthcare Limited ("Clinigen") in which the Company returned the exclusive rights to commercialize Ethyol</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xml:space="preserve"> and Totect</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xml:space="preserve"> in the United States to Clinigen. Under the terms of the Dissolution Agreement, Cumberland is no longer involved directly or indirectly with the distribution, marketing and promotion of either Ethyol or Totect or any competing products following December 31, 2019. The Company's exit from Ethyol and Totect meets the accounting criteria to be reported as discontinued operations and the discontinued operating results have been presented in the financial statements and footnotes to reflect the discontinued status of Ethyol and Totect. Refer to Note 9, for additional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prior period condensed consolidated statement of cash flows presentation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made a revision to prior period amounts to conform to the current year presentation of the cash surrender value of life insurance policies over premiums paid on the condensed consolidated statement of cash flows. The revised amounts were previously included as net changes in assets affecting operating activities. These revisions have no net effect on the reported net cash provided by operating activities nor any impact on the reported operating results or balance sheet for the 2020 period presented.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2020, the U.S. declared a health care emergency following the outbreak of the SARS-CoV-2, a novel strain of coronavirus that causes COVID-19, a respiratory illness.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has remained open for business, as the Company is considered to be essential by the United States Department of Homeland Security. The Company has implemented measures to address the impact of the novel coronavirus on the business and taken appropriate action to protect its employees, secure the supply chain, and support the patients who can benefit from its medicines. All of the Company's employees have been given the opportunity to work remotely, and those that wish to work from Cumberland's office and laboratories are encouraged to practice the behaviors outlined by the Centers for Disease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Throughout the pandemic, Cumberland has faced the same headwinds affecting other companies that rely on hospital admissions and patient visits to drive revenue. Our business and our clinical studies were impacted as less patients sought elective surgeries and our access to medical facilities was substantially limited. During 2020 and 2021, we carefully monitored our supply chain during the pandemic including the flow of raw materials into the plants that manufacture our products as well as the batches of finished product emerging from those facilities. Several of our brands were negatively impacted by the lockdowns and postponement of physician office visits and elective procedures. However, we are fortunate to have a diversified product portfolio, with other brands delivering a strong performance.</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relies on third-party organizations around the world to supply components, manufacture and distribute its products. The Company is aware that it may experience revenue loss, supply interruptions, time delays and incur unplanned expenses as a result of the impact of the ongoing COVID-19 pandemic. The Company continues to monitor the COVID-19 pandemic situation both in the U.S. and internationally in order to maintain its employees’ safety and well-being, while also keeping its business operating. Given the uncertainty, magnitude and impact of such changes, the Company is unable to quantify the impact on the future results as of the date of this filing.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Financial Accounting Standards Board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additional information, including information they use to track credit quality by year of origination for most financing receivables. Companies will apply the ASU’s provisions as a cumulative-effect adjustment, if any, to retained earnings as of the beginning of the first reporting period in which the guidance is adopted.</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Related to ASU No. 2016-13 discussed above, in May 2019, the FASB issued ASU 2019-05, "Financial Instruments-Credit Losses (Topic 326): Targeted Transition Relief" which provides transition relief for ASU 2016-13 by providing entities with an alternative to irrevocably elect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The Company will adopt both ASU 2016-13 and ASU 2019-05 on January 1, 2023. The adoption of ASU 2016-13 and ASU 2019-05 are not expected to have a material impact on the Company’s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a contingent consideration liability associated with a business combination.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Segments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EARNINGS (LOSS) PER SHARE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reconciles the numerator and denominator used to calculate diluted earnings (loss) per share for the three and six months ended June 30, 2021 and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June 30,</w:t>
            </w:r>
          </w:p>
        </w:tc>
        <w:tc>
          <w:tcPr>
            <w:tcW w:w="90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spacing w:after="0"/>
              <w:rPr>
                <w:sz w:val="19"/>
                <w:szCs w:val="19"/>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724,684</w:t>
            </w:r>
          </w:p>
        </w:tc>
        <w:tc>
          <w:tcPr>
            <w:tcW w:w="14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(1,679,211)</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498,807</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738,622</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1,223,491</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(940,589)</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 subsidiary attributable to noncontrolling interest</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22,314</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1,228,560</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(918,275)</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14,976,034</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15,241,463</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other securities</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133,212</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15,109,246</w:t>
            </w:r>
          </w:p>
        </w:tc>
        <w:tc>
          <w:tcPr>
            <w:tcW w:w="14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15,241,463</w:t>
            </w:r>
          </w:p>
        </w:tc>
      </w:tr>
      <w:tr>
        <w:trPr>
          <w:trHeight w:val="20"/>
        </w:trPr>
        <w:tc>
          <w:tcPr>
            <w:tcW w:w="6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Six months ended June 30,</w:t>
            </w:r>
          </w:p>
        </w:tc>
        <w:tc>
          <w:tcPr>
            <w:tcW w:w="90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spacing w:after="0"/>
              <w:rPr>
                <w:sz w:val="19"/>
                <w:szCs w:val="19"/>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373,935</w:t>
            </w:r>
          </w:p>
        </w:tc>
        <w:tc>
          <w:tcPr>
            <w:tcW w:w="14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(3,562,629)</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994,217</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1,556,895</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1,368,152</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(2,005,734)</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 subsidiary attributable to noncontrolling interest</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27,236</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31,839</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1,395,388</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(1,973,895)</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14,970,241</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15,241,020</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other securities</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201,348</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15,171,589</w:t>
            </w:r>
          </w:p>
        </w:tc>
        <w:tc>
          <w:tcPr>
            <w:tcW w:w="14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15,241,020</w:t>
            </w:r>
          </w:p>
        </w:tc>
      </w:tr>
      <w:tr>
        <w:trPr>
          <w:trHeight w:val="20"/>
        </w:trPr>
        <w:tc>
          <w:tcPr>
            <w:tcW w:w="6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and 2020, restricted stock awards and options to purchase 198,300 and 13,500 shares of common stock, respectively, were outstanding but were not included in the computation of diluted earnings per share because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accounts for revenues from contracts with customers under ASC 606, which became effective January 1, 2018.</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The  Company’s  net  revenues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consisted  of  the  following</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for  the</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three</w:t>
            </w:r>
          </w:p>
        </w:tc>
        <w:tc>
          <w:tcPr>
            <w:tcW w:w="1580" w:type="dxa"/>
            <w:vAlign w:val="bottom"/>
            <w:gridSpan w:val="3"/>
          </w:tcPr>
          <w:p>
            <w:pPr>
              <w:jc w:val="right"/>
              <w:ind w:right="10"/>
              <w:spacing w:after="0"/>
              <w:rPr>
                <w:sz w:val="20"/>
                <w:szCs w:val="20"/>
                <w:color w:val="auto"/>
              </w:rPr>
            </w:pPr>
            <w:r>
              <w:rPr>
                <w:rFonts w:ascii="Arial" w:cs="Arial" w:eastAsia="Arial" w:hAnsi="Arial"/>
                <w:sz w:val="18"/>
                <w:szCs w:val="18"/>
                <w:color w:val="auto"/>
              </w:rPr>
              <w:t>and  six  months</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ended  June  30,</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2021  and  2020:</w:t>
            </w:r>
          </w:p>
        </w:tc>
      </w:tr>
      <w:tr>
        <w:trPr>
          <w:trHeight w:val="257"/>
        </w:trPr>
        <w:tc>
          <w:tcPr>
            <w:tcW w:w="26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460" w:type="dxa"/>
            <w:vAlign w:val="bottom"/>
            <w:gridSpan w:val="6"/>
          </w:tcPr>
          <w:p>
            <w:pPr>
              <w:ind w:left="54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2"/>
                <w:szCs w:val="22"/>
                <w:color w:val="auto"/>
              </w:rPr>
            </w:pPr>
          </w:p>
        </w:tc>
        <w:tc>
          <w:tcPr>
            <w:tcW w:w="31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266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2021</w:t>
            </w:r>
          </w:p>
        </w:tc>
        <w:tc>
          <w:tcPr>
            <w:tcW w:w="1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0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1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2660" w:type="dxa"/>
            <w:vAlign w:val="bottom"/>
          </w:tcPr>
          <w:p>
            <w:pPr>
              <w:ind w:left="360"/>
              <w:spacing w:after="0"/>
              <w:rPr>
                <w:sz w:val="20"/>
                <w:szCs w:val="20"/>
                <w:color w:val="auto"/>
              </w:rPr>
            </w:pPr>
            <w:r>
              <w:rPr>
                <w:rFonts w:ascii="Arial" w:cs="Arial" w:eastAsia="Arial" w:hAnsi="Arial"/>
                <w:sz w:val="18"/>
                <w:szCs w:val="18"/>
                <w:color w:val="auto"/>
              </w:rPr>
              <w:t>Kristalose</w:t>
            </w:r>
          </w:p>
        </w:tc>
        <w:tc>
          <w:tcPr>
            <w:tcW w:w="244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5,275,065</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3,477,471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8,269,443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6,771,433</w:t>
            </w:r>
          </w:p>
        </w:tc>
      </w:tr>
      <w:tr>
        <w:trPr>
          <w:trHeight w:val="230"/>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Vibativ</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1,844,936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3,299,507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5,721,708</w:t>
            </w:r>
          </w:p>
        </w:tc>
      </w:tr>
      <w:tr>
        <w:trPr>
          <w:trHeight w:val="229"/>
        </w:trPr>
        <w:tc>
          <w:tcPr>
            <w:tcW w:w="2660" w:type="dxa"/>
            <w:vAlign w:val="bottom"/>
          </w:tcPr>
          <w:p>
            <w:pPr>
              <w:ind w:left="360"/>
              <w:spacing w:after="0"/>
              <w:rPr>
                <w:sz w:val="20"/>
                <w:szCs w:val="20"/>
                <w:color w:val="auto"/>
              </w:rPr>
            </w:pPr>
            <w:r>
              <w:rPr>
                <w:rFonts w:ascii="Arial" w:cs="Arial" w:eastAsia="Arial" w:hAnsi="Arial"/>
                <w:sz w:val="18"/>
                <w:szCs w:val="18"/>
                <w:color w:val="auto"/>
              </w:rPr>
              <w:t>Caldolor</w:t>
            </w:r>
          </w:p>
        </w:tc>
        <w:tc>
          <w:tcPr>
            <w:tcW w:w="1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938,328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1,166,569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2,477,824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2,261,286</w:t>
            </w:r>
          </w:p>
        </w:tc>
      </w:tr>
      <w:tr>
        <w:trPr>
          <w:trHeight w:val="229"/>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Vaprisol</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399,952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382,016</w:t>
            </w:r>
          </w:p>
        </w:tc>
      </w:tr>
      <w:tr>
        <w:trPr>
          <w:trHeight w:val="229"/>
        </w:trPr>
        <w:tc>
          <w:tcPr>
            <w:tcW w:w="2660" w:type="dxa"/>
            <w:vAlign w:val="bottom"/>
          </w:tcPr>
          <w:p>
            <w:pPr>
              <w:ind w:left="360"/>
              <w:spacing w:after="0"/>
              <w:rPr>
                <w:sz w:val="20"/>
                <w:szCs w:val="20"/>
                <w:color w:val="auto"/>
              </w:rPr>
            </w:pPr>
            <w:r>
              <w:rPr>
                <w:rFonts w:ascii="Arial" w:cs="Arial" w:eastAsia="Arial" w:hAnsi="Arial"/>
                <w:sz w:val="18"/>
                <w:szCs w:val="18"/>
                <w:color w:val="auto"/>
              </w:rPr>
              <w:t>Acetadote</w:t>
            </w:r>
          </w:p>
        </w:tc>
        <w:tc>
          <w:tcPr>
            <w:tcW w:w="1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152,781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595,310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269,972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1,308,711</w:t>
            </w:r>
          </w:p>
        </w:tc>
      </w:tr>
      <w:tr>
        <w:trPr>
          <w:trHeight w:val="230"/>
        </w:trPr>
        <w:tc>
          <w:tcPr>
            <w:tcW w:w="2660" w:type="dxa"/>
            <w:vAlign w:val="bottom"/>
          </w:tcPr>
          <w:p>
            <w:pPr>
              <w:ind w:left="360"/>
              <w:spacing w:after="0"/>
              <w:rPr>
                <w:sz w:val="20"/>
                <w:szCs w:val="20"/>
                <w:color w:val="auto"/>
              </w:rPr>
            </w:pPr>
            <w:r>
              <w:rPr>
                <w:rFonts w:ascii="Arial" w:cs="Arial" w:eastAsia="Arial" w:hAnsi="Arial"/>
                <w:sz w:val="18"/>
                <w:szCs w:val="18"/>
                <w:color w:val="auto"/>
              </w:rPr>
              <w:t>Omeclamox-Pak</w:t>
            </w:r>
          </w:p>
        </w:tc>
        <w:tc>
          <w:tcPr>
            <w:tcW w:w="1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(24,109)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(474,371)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124,371</w:t>
            </w:r>
          </w:p>
        </w:tc>
      </w:tr>
      <w:tr>
        <w:trPr>
          <w:trHeight w:val="230"/>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RediTrex</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18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461,148</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874,213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643,249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1,359,386</w:t>
            </w:r>
          </w:p>
        </w:tc>
      </w:tr>
      <w:tr>
        <w:trPr>
          <w:trHeight w:val="24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18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9,055,483</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9,598,177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19,592,642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17,928,911</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Omeclamox-Pak revenue for the first and second quarter of 2021 was the result of Cumberland currently being out of commercial inventory of this product. The packager for our Omeclamox-Pak product encountered financial difficulties due to the impact of COVID-19. They are under new management and are in the process of a reorganization. Discussions with the packager are ongoing. Net revenue was also negatively impacted by product returns during the periods.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agreements with international partners for commercialization of the Company's products with associated payments included in other revenues. Those agreements provide that each of the partners are responsible for seeking regulatory approvals for the product, and following approval, each partner will be responsible for the ongoing distribution and sales in the 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w:t>
      </w:r>
    </w:p>
    <w:p>
      <w:pPr>
        <w:spacing w:after="0" w:line="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revenues also include funding from federal grant programs including those secured by CET through the Small Business Administration as well as lease income generated by CET’s Life Sciences Center. The Life Sciences Center is a research center that provides scientists with access to flexible lab space and other resources to develop biomedical products. Grant revenue from these programs totaled approximately $0.2 million and $0.5 million for the three months ended June 30, 2021 and 2020,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Company works closely with third parties to manufacture and package finished goods for sale. Based on the arrangements with the manufacturer or</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packager, the Company will either take title to 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June 30, 2021 and December 31, 2020,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Company had recognized and maintained cumulative net realizable value charges for potential obsolescence and discontinuance losses of approximately $0.3 million and $0.2 million, respectively.</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Company is responsible for the purchase of the active pharmaceutical ingredient (“API”) for Kristalose and maintains the inventory at third-party packagers. As that API is consumed in production, the value of the API is transferred from raw materials to finished goods. API for the Company's Vaprisol</w:t>
      </w:r>
    </w:p>
    <w:p>
      <w:pPr>
        <w:jc w:val="both"/>
        <w:ind w:right="20"/>
        <w:spacing w:after="0" w:line="277" w:lineRule="auto"/>
        <w:rPr>
          <w:sz w:val="20"/>
          <w:szCs w:val="20"/>
          <w:color w:val="auto"/>
        </w:rPr>
      </w:pPr>
      <w:r>
        <w:rPr>
          <w:rFonts w:ascii="Arial" w:cs="Arial" w:eastAsia="Arial" w:hAnsi="Arial"/>
          <w:sz w:val="18"/>
          <w:szCs w:val="18"/>
          <w:color w:val="auto"/>
        </w:rPr>
        <w:t>brand is also included in the raw materials inventory at June 30, 2021 and December 31, 2020. Consigned inventory represents Authorized Generic inventory stored with Perrigo until shipment.</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Vibativ acquisition, Cumberland acquired API and work in process inventories of $15.6 million that were all initially classified as non-current inventories at the date of acquisition. At June 30, 2021 and December 31, 2020, total non-current inventory, including Vibativ and ifetroban, was $9.9 million and $11.7 million, respectively. The Company had $0.3 million and $2.1 million of Vibativ finished goods included in non-current inventory at June 30, 2021 and December 31, 2020, respectively. The Company also has obtained $0.4 million of finished goods in non-current inventory for API related to its ifetroban clinical initiatives at June 30, 2021 and December 31,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and December 31, 2020 the Company's net inventories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2021</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2020</w:t>
            </w:r>
          </w:p>
        </w:tc>
      </w:tr>
      <w:tr>
        <w:trPr>
          <w:trHeight w:val="142"/>
        </w:trPr>
        <w:tc>
          <w:tcPr>
            <w:tcW w:w="67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work in process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14,156,248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16,223,162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Consigned inventory</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189,141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128,005</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5,639,596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5,943,732</w:t>
            </w: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Total inventories</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19,984,985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22,294,899</w:t>
            </w: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non-current inventories</w:t>
            </w: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(9,880,766)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(11,656,742)</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inventories classified as current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10,104,219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10,638,157</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 w:name="page12"/>
    <w:bookmarkEnd w:id="11"/>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Cumberland’s significant operating leases include the lease of approximately 25,500 square feet of office space in Nashville, Tennessee for its corporate headquarters. This lease currently expires in October 2022. The Company's operating leases also include the lease of approximately 14,200 square feet of wet laboratory and office space in Nashville, Tennessee by CET, our majority-owned subsidiary, where it operates the CET Life Sciences Center. This lease currently expires in April 2023.</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lease liabilities are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Cumberland’s leases do not contain implicit borrowing rates, the incremental borrowing rates were calculated based on information available at January 1, 2019. Incremental borrowing rates reflect the Company’s estimated interest rates for collateralized borrowings over similar lease terms. The weighted-average incremental borrowing rate used to discount the present value of the remaining lease payments is 7.42%. The weighted-average remaining lease term at June 30, 2021 is 1.5 years.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and December 31, 2020 , the Company's lease assets and liabilities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ind w:left="2480"/>
              <w:spacing w:after="0"/>
              <w:rPr>
                <w:sz w:val="20"/>
                <w:szCs w:val="20"/>
                <w:color w:val="auto"/>
              </w:rPr>
            </w:pPr>
            <w:r>
              <w:rPr>
                <w:rFonts w:ascii="Arial" w:cs="Arial" w:eastAsia="Arial" w:hAnsi="Arial"/>
                <w:sz w:val="18"/>
                <w:szCs w:val="18"/>
                <w:b w:val="1"/>
                <w:bCs w:val="1"/>
                <w:color w:val="auto"/>
              </w:rPr>
              <w:t>Right-of-Use Assets</w:t>
            </w:r>
          </w:p>
        </w:tc>
        <w:tc>
          <w:tcPr>
            <w:tcW w:w="34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2021</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2020</w:t>
            </w:r>
          </w:p>
        </w:tc>
      </w:tr>
      <w:tr>
        <w:trPr>
          <w:trHeight w:val="223"/>
        </w:trPr>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1,535,556</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2,028,148</w:t>
            </w:r>
          </w:p>
        </w:tc>
      </w:tr>
      <w:tr>
        <w:trPr>
          <w:trHeight w:val="439"/>
        </w:trPr>
        <w:tc>
          <w:tcPr>
            <w:tcW w:w="6660" w:type="dxa"/>
            <w:vAlign w:val="bottom"/>
            <w:gridSpan w:val="2"/>
          </w:tcPr>
          <w:p>
            <w:pPr>
              <w:ind w:left="2600"/>
              <w:spacing w:after="0"/>
              <w:rPr>
                <w:sz w:val="20"/>
                <w:szCs w:val="20"/>
                <w:color w:val="auto"/>
              </w:rPr>
            </w:pPr>
            <w:r>
              <w:rPr>
                <w:rFonts w:ascii="Arial" w:cs="Arial" w:eastAsia="Arial" w:hAnsi="Arial"/>
                <w:sz w:val="18"/>
                <w:szCs w:val="18"/>
                <w:b w:val="1"/>
                <w:bCs w:val="1"/>
                <w:color w:val="auto"/>
              </w:rPr>
              <w:t>Lease Liabilities</w:t>
            </w:r>
          </w:p>
        </w:tc>
        <w:tc>
          <w:tcPr>
            <w:tcW w:w="340" w:type="dxa"/>
            <w:vAlign w:val="bottom"/>
          </w:tcPr>
          <w:p>
            <w:pPr>
              <w:spacing w:after="0"/>
              <w:rPr>
                <w:sz w:val="24"/>
                <w:szCs w:val="24"/>
                <w:color w:val="auto"/>
              </w:rPr>
            </w:pPr>
          </w:p>
        </w:tc>
        <w:tc>
          <w:tcPr>
            <w:tcW w:w="206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2021</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2020</w:t>
            </w:r>
          </w:p>
        </w:tc>
      </w:tr>
      <w:tr>
        <w:trPr>
          <w:trHeight w:val="223"/>
        </w:trPr>
        <w:tc>
          <w:tcPr>
            <w:tcW w:w="64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Operating lease current liabilities</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1,067,880</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1,016,779</w:t>
            </w:r>
          </w:p>
        </w:tc>
      </w:tr>
      <w:tr>
        <w:trPr>
          <w:trHeight w:val="108"/>
        </w:trPr>
        <w:tc>
          <w:tcPr>
            <w:tcW w:w="66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40" w:type="dxa"/>
            <w:vAlign w:val="bottom"/>
          </w:tcPr>
          <w:p>
            <w:pPr>
              <w:spacing w:after="0"/>
              <w:rPr>
                <w:sz w:val="9"/>
                <w:szCs w:val="9"/>
                <w:color w:val="auto"/>
              </w:rPr>
            </w:pPr>
          </w:p>
        </w:tc>
      </w:tr>
      <w:tr>
        <w:trPr>
          <w:trHeight w:val="229"/>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512,324</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1,059,693</w:t>
            </w:r>
          </w:p>
        </w:tc>
      </w:tr>
      <w:tr>
        <w:trPr>
          <w:trHeight w:val="22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1,580,204</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2,076,472</w:t>
            </w:r>
          </w:p>
        </w:tc>
      </w:tr>
      <w:tr>
        <w:trPr>
          <w:trHeight w:val="21"/>
        </w:trPr>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Cumulative future minimum sublease income under non-cancelable operating subleases totals approximately $0.2 million and will be paid through the leases ending in October 2022 and April 2023. Future minimum lease payments under non-cancelable operating leases (with initial or remaining lease terms in excess of one year)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gridSpan w:val="2"/>
          </w:tcPr>
          <w:p>
            <w:pPr>
              <w:ind w:left="2660"/>
              <w:spacing w:after="0"/>
              <w:rPr>
                <w:sz w:val="20"/>
                <w:szCs w:val="20"/>
                <w:color w:val="auto"/>
              </w:rPr>
            </w:pPr>
            <w:r>
              <w:rPr>
                <w:rFonts w:ascii="Arial" w:cs="Arial" w:eastAsia="Arial" w:hAnsi="Arial"/>
                <w:sz w:val="18"/>
                <w:szCs w:val="18"/>
                <w:b w:val="1"/>
                <w:bCs w:val="1"/>
                <w:color w:val="auto"/>
              </w:rPr>
              <w:t>Maturity of Lease Liabilities at June 30, 2021</w:t>
            </w:r>
          </w:p>
        </w:tc>
        <w:tc>
          <w:tcPr>
            <w:tcW w:w="2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Operating Leases</w:t>
            </w:r>
          </w:p>
        </w:tc>
      </w:tr>
      <w:tr>
        <w:trPr>
          <w:trHeight w:val="223"/>
        </w:trPr>
        <w:tc>
          <w:tcPr>
            <w:tcW w:w="8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579,183</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1,019,313</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92,478</w:t>
            </w:r>
          </w:p>
        </w:tc>
      </w:tr>
      <w:tr>
        <w:trPr>
          <w:trHeight w:val="230"/>
        </w:trPr>
        <w:tc>
          <w:tcPr>
            <w:tcW w:w="9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After 2023</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1,690,974</w:t>
            </w:r>
          </w:p>
        </w:tc>
      </w:tr>
      <w:tr>
        <w:trPr>
          <w:trHeight w:val="230"/>
        </w:trPr>
        <w:tc>
          <w:tcPr>
            <w:tcW w:w="9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(110,770)</w:t>
            </w: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1,580,204</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is recognized over the expected term of the lease, including renewal option periods, if applicable, on a straight-line basis as a component of general and administrative expense. Rent expense and sublease income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Six months ended June 30,</w:t>
            </w:r>
          </w:p>
        </w:tc>
        <w:tc>
          <w:tcPr>
            <w:tcW w:w="1280" w:type="dxa"/>
            <w:vAlign w:val="bottom"/>
            <w:tcBorders>
              <w:bottom w:val="single" w:sz="8" w:color="auto"/>
            </w:tcBorders>
          </w:tcPr>
          <w:p>
            <w:pPr>
              <w:spacing w:after="0"/>
              <w:rPr>
                <w:sz w:val="20"/>
                <w:szCs w:val="20"/>
                <w:color w:val="auto"/>
              </w:rPr>
            </w:pPr>
          </w:p>
        </w:tc>
      </w:tr>
      <w:tr>
        <w:trPr>
          <w:trHeight w:val="223"/>
        </w:trPr>
        <w:tc>
          <w:tcPr>
            <w:tcW w:w="6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jc w:val="right"/>
              <w:ind w:right="830"/>
              <w:spacing w:after="0"/>
              <w:rPr>
                <w:sz w:val="20"/>
                <w:szCs w:val="20"/>
                <w:color w:val="auto"/>
              </w:rPr>
            </w:pPr>
            <w:r>
              <w:rPr>
                <w:rFonts w:ascii="Arial" w:cs="Arial" w:eastAsia="Arial" w:hAnsi="Arial"/>
                <w:sz w:val="18"/>
                <w:szCs w:val="18"/>
                <w:b w:val="1"/>
                <w:bCs w:val="1"/>
                <w:color w:val="auto"/>
                <w:w w:val="84"/>
              </w:rPr>
              <w:t>2020</w:t>
            </w:r>
          </w:p>
        </w:tc>
      </w:tr>
      <w:tr>
        <w:trPr>
          <w:trHeight w:val="255"/>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605,130</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571,399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4"/>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348,411</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323,489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SHAREHOLDERS’ EQUITY AND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currently has a share repurchase program to repurchase up to $10 million of its common stock pursuant to Rule 10b-18 of the Securities Exchange Act of 1934. In January 2019, the Company's Board of Directors established the current $10 million repurchase program to replace the prior authorizations. During the six months ended June 30, 2021 and June 30, 2020, the Company repurchased 250,129 shares and 306,329 shares, respectively, of common stock for approximately $0.8 million and $1.2 million, respectively. At June 30, 2021, approximately $5.4 million of common shares was left to repurchase under this program.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purchases and sales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Company's March 2021 trading window, several members of Cumberland's Board of Directors entered into share purchase agreements of the Company's stock pursuant to Rule 10b-18 of the Securities Exchange Act of 1934. These purchases are designed to increase ownership in the Company by the members of the Board.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Sales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2017, Cumberland filed a Shelf Registration on Form S-3 with the SEC associated with the sale of up to $100 million in corporate securities. The Shelf Registration was declared effective in January 2018. It also included an At the Market ("ATM") feature that allowed the Company to sell common shares at market prices, along with an agreement with B. Riley FBR Inc. to support such a placement of shares. The Company filed an updated Form S-3 with the SEC in December 2020, which was declared effective in January 2021. The Company does not currently have an ATM feature in place. Cumberland plans to continue to evaluate the market for its common shares, and if favorable, will further evaluate whether or not to enter into an ATM feature through B. Riley FBR, Inc. that would allow the Company to issue shares of its common stock. The Company did not issue any shares under an ATM during the six months ended June 30, 2021 or June 30, 2020.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Grants and Incentive Stock Options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six months ended June 30, 2021 and June 30, 2020, the Company issued 36,850 shares and 229,141 shares of restricted stock to employees and directors, respectively. Restricted stock issued to employees generally cliff-vests on the fourth anniversary of the date of grant and for directors on the one-year anniversary of the date of grant. During the six months ended June 30, 2021, the Company also issued 173,350 incentive stock options to employees that cliff-vest on the fourth anniversary of the date of grant, that are set to expire in March and May 2031. Stock compensation expense is presented as a component of general and administrative expense in the condensed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Agreement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7, 2020, the Company entered into a Third Amendment to the Revolving Credit Note and Fourth Amendment (“Fourth Amendment”) to the Revolving Credit Loan Agreement with Pinnacle Bank (the “Pinnacle Agreement”). The original Pinnacle Agreement was dated July 2017. The Fourth Amendment provides for a principal available for borrowing of up to $15 million and Cumberland has the ability to request an increase of up to an additional $5 million, upon the satisfaction of certain conditions and approval by Pinnacle Bank. If fully expanded, the Fourth Amendment would provide a maximum principal available for borrowing of up to $20 million. The Fourth Amendment extended the maturity date of the Pinnacle Agreement through October 1, 2022.</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10, 2019, the Company entered into a third amendment ("Third Amendment") to the Pinnacle Agreement, which extended the term of the Pinnacle Agreement through July 31, 2021 as well as modified certain definitions and terms of the existing financial covenants, including the definition of the Funded Debt Ratio and the compliance target of the Tangible Capital Ratio. Both Third Amendment modifications were related to the Vibativ transaction. Under the Pinnacle Agreement, Cumberland was initially subject to one financial covenant, the maintenance of a Funded Debt Ratio, as such term is defined in the agreement and determined on a quarterly basis. On August 14, 2018, the Company amended the Pinnacle Agreement ("First Amendment") to replace the single financial covenant with the maintenance of either the Funded Debt Ratio or a Tangible Capital Ratio, as defined in the First Amendment. The Company was in compliance with the Tangible Capital Ratio financial covenant as of June 30, 2021.</w:t>
      </w:r>
    </w:p>
    <w:p>
      <w:pPr>
        <w:spacing w:after="0" w:line="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2021 and December 31, 2020, the Company had $14.0 million and $15.0 million in borrowings outstanding under its revolving credit facility.</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interest rate on the Pinnacle Agreement is based on LIBOR plus an interest rate spread. The pricing under the Fourth Amendment provides for an interest rate spread of 1.75% to 2.75% above LIBOR with a minimum LIBOR of 0.90%. The applicable interest rate under the Pinnacle Agreement was 3.65% at June 30, 2021. In addition, a fee of 0.25% per year is charged on the unused line of credit. Interest and the unused line fee are payable quarterly.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Borrowings under the line of credit are collateralized by substantially all of the Company's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20, 2020, Cumberland received the funding of a loan from Pinnacle Bank in the amount of $2,187,140 pursuant to the Paycheck Protection Program (the “PPP”) under the Federal Coronavirus Aid, Relief, and Economic Security Act ("CARES Act"), which was enacted March 27, 2020. The PPP is administered by the U.S. Small Business Administration ("SBA").</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PPP requirements, loan funds were used to maintain payroll, continue group health care benefits, and pay for rent and utilities during the pandemic. We applied for this loan after carefully considering, with our bank, the eligibility criteria to participate in this program, and determining that Cumberland met those criteria. We evaluated and provided information on our payroll and other qualifying expenses to determine the amount of PPP funds to apply for.</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terms of the PPP, certain amounts of the loan may be forgiven if they are used for qualifying expenses as described in the CARES Act. Cumberland used the PPP loan funds for such qualifying expenses. Due to assistance from our PPP loan, the Company did not lay off or furlough any employees as a result of the COVID-19 pandemic.</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Cumberland elected to account for the proceeds of the loan as a government grant under </w:t>
      </w:r>
      <w:r>
        <w:rPr>
          <w:rFonts w:ascii="Arial" w:cs="Arial" w:eastAsia="Arial" w:hAnsi="Arial"/>
          <w:sz w:val="17"/>
          <w:szCs w:val="17"/>
          <w:i w:val="1"/>
          <w:iCs w:val="1"/>
          <w:color w:val="auto"/>
        </w:rPr>
        <w:t>International Accounting Standard 20 ("IAS 20"),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Government Grants and Disclosure of Government Assistance. </w:t>
      </w:r>
      <w:r>
        <w:rPr>
          <w:rFonts w:ascii="Arial" w:cs="Arial" w:eastAsia="Arial" w:hAnsi="Arial"/>
          <w:sz w:val="17"/>
          <w:szCs w:val="17"/>
          <w:color w:val="auto"/>
        </w:rPr>
        <w:t>The permitted analogous use of IAS 20 outlines a model for the accounting for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assistance, including forgivable loans. As a result, the Company recorded the $2,187,140 as a deferred income liability, which was included as a component of other current liabilities on the condensed consolidated balance sheet at December 31, 2020.</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2020, Cumberland submitted a request for the loan’s forgiveness. On June 11, 2021, the Company received a formal notice from the SBA that the full amount of the loan was forgiven. The Company accounted for the forgiveness of the PPP loan under IAS 20 and recorded the $2,187,140 as other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Agreement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2020, Cumberland entered into an agreement with WinHealth Investment (Singapore) Ltd creating </w:t>
      </w:r>
      <w:r>
        <w:rPr>
          <w:rFonts w:ascii="Arial" w:cs="Arial" w:eastAsia="Arial" w:hAnsi="Arial"/>
          <w:sz w:val="17"/>
          <w:szCs w:val="17"/>
          <w:i w:val="1"/>
          <w:iCs w:val="1"/>
          <w:color w:val="auto"/>
        </w:rPr>
        <w:t>WHC Biopharmaceuticals, Pte. Ltd</w:t>
      </w:r>
      <w:r>
        <w:rPr>
          <w:rFonts w:ascii="Arial" w:cs="Arial" w:eastAsia="Arial" w:hAnsi="Arial"/>
          <w:sz w:val="17"/>
          <w:szCs w:val="17"/>
          <w:color w:val="auto"/>
        </w:rPr>
        <w:t>. The joint venture, as a limited liability company, will focus on acquiring, developing, registering, and commercializing development stage and commercial stage biopharmaceuticals for China, Hong Kong and other Asian markets. The agreement provides for initial investment from WinHealth in the form of a $0.2 million equity contribution and an initial investment from Cumberland in the form of a $0.2 million convertible note, which was funded during the first quarter 2021. The joint venture will seek additional future capital from additional investors and has entered into exclusive option agreements to license intellectual property from both Cumberland Pharmaceuticals Inc. and Cumberland Emerging Technologies.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2021, the Company has approximately $56.5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2021 and beyond, through the continued utilization of these net operating loss carryforwards, on any taxable income generated from our operations. The Company does not allocate any portion of its income tax expense (benefit) to discontinued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COLLABORATIVE AGREEMENTS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Cumberland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received related to RediTrex, do not meet the criteria for accounting under ASC Topic 808, </w:t>
      </w:r>
      <w:r>
        <w:rPr>
          <w:rFonts w:ascii="Arial" w:cs="Arial" w:eastAsia="Arial" w:hAnsi="Arial"/>
          <w:sz w:val="17"/>
          <w:szCs w:val="17"/>
          <w:i w:val="1"/>
          <w:iCs w:val="1"/>
          <w:color w:val="auto"/>
        </w:rPr>
        <w:t>Collaborative Agreements</w:t>
      </w:r>
      <w:r>
        <w:rPr>
          <w:rFonts w:ascii="Arial" w:cs="Arial" w:eastAsia="Arial" w:hAnsi="Arial"/>
          <w:sz w:val="17"/>
          <w:szCs w:val="17"/>
          <w:color w:val="auto"/>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ADDITIONS AND RETURN OF PRODUCT RIGHTS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Vibativ</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November 2018, the Company closed on an agreement with Theravance Biopharma ("Theravance") to acquire the global responsibility for Vibativ including the marketing, distribution, manufacturing and regulatory activities associated with the brand. Vibativ is a patented, Food and Drug Administration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Cumberland has accounted for the transaction as a business combination in accordance with ASC 805 and the product sales are included in the results of operations subsequent to the acquisition date. The Company made an upfront payment of $20.0 million at the closing of the transaction and a $5.0 million milestone payment in early April 2019. In addition, Cumberland has agreed to pay a royalty of up to 20% of on-going net sales of the product. The future royalty payments were required to be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changes in the fair value of the contingent consideration liability that is remeasured on a recurring basis. The contingent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consideration</w:t>
            </w:r>
          </w:p>
        </w:tc>
        <w:tc>
          <w:tcPr>
            <w:tcW w:w="1120" w:type="dxa"/>
            <w:vAlign w:val="bottom"/>
          </w:tcPr>
          <w:p>
            <w:pPr>
              <w:ind w:left="240"/>
              <w:spacing w:after="0"/>
              <w:rPr>
                <w:sz w:val="20"/>
                <w:szCs w:val="20"/>
                <w:color w:val="auto"/>
              </w:rPr>
            </w:pPr>
            <w:r>
              <w:rPr>
                <w:rFonts w:ascii="Arial" w:cs="Arial" w:eastAsia="Arial" w:hAnsi="Arial"/>
                <w:sz w:val="18"/>
                <w:szCs w:val="18"/>
                <w:color w:val="auto"/>
              </w:rPr>
              <w:t>earned</w:t>
            </w:r>
          </w:p>
        </w:tc>
        <w:tc>
          <w:tcPr>
            <w:tcW w:w="800" w:type="dxa"/>
            <w:vAlign w:val="bottom"/>
          </w:tcPr>
          <w:p>
            <w:pPr>
              <w:ind w:left="100"/>
              <w:spacing w:after="0"/>
              <w:rPr>
                <w:sz w:val="20"/>
                <w:szCs w:val="20"/>
                <w:color w:val="auto"/>
              </w:rPr>
            </w:pPr>
            <w:r>
              <w:rPr>
                <w:rFonts w:ascii="Arial" w:cs="Arial" w:eastAsia="Arial" w:hAnsi="Arial"/>
                <w:sz w:val="18"/>
                <w:szCs w:val="18"/>
                <w:color w:val="auto"/>
              </w:rPr>
              <w:t>and</w:t>
            </w:r>
          </w:p>
        </w:tc>
        <w:tc>
          <w:tcPr>
            <w:tcW w:w="860" w:type="dxa"/>
            <w:vAlign w:val="bottom"/>
          </w:tcPr>
          <w:p>
            <w:pPr>
              <w:ind w:left="40"/>
              <w:spacing w:after="0"/>
              <w:rPr>
                <w:sz w:val="20"/>
                <w:szCs w:val="20"/>
                <w:color w:val="auto"/>
              </w:rPr>
            </w:pPr>
            <w:r>
              <w:rPr>
                <w:rFonts w:ascii="Arial" w:cs="Arial" w:eastAsia="Arial" w:hAnsi="Arial"/>
                <w:sz w:val="18"/>
                <w:szCs w:val="18"/>
                <w:color w:val="auto"/>
              </w:rPr>
              <w:t>accrued</w:t>
            </w:r>
          </w:p>
        </w:tc>
        <w:tc>
          <w:tcPr>
            <w:tcW w:w="620" w:type="dxa"/>
            <w:vAlign w:val="bottom"/>
          </w:tcPr>
          <w:p>
            <w:pPr>
              <w:ind w:left="240"/>
              <w:spacing w:after="0"/>
              <w:rPr>
                <w:sz w:val="20"/>
                <w:szCs w:val="20"/>
                <w:color w:val="auto"/>
              </w:rPr>
            </w:pPr>
            <w:r>
              <w:rPr>
                <w:rFonts w:ascii="Arial" w:cs="Arial" w:eastAsia="Arial" w:hAnsi="Arial"/>
                <w:sz w:val="18"/>
                <w:szCs w:val="18"/>
                <w:color w:val="auto"/>
              </w:rPr>
              <w:t>in</w:t>
            </w:r>
          </w:p>
        </w:tc>
        <w:tc>
          <w:tcPr>
            <w:tcW w:w="128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1040" w:type="dxa"/>
            <w:vAlign w:val="bottom"/>
          </w:tcPr>
          <w:p>
            <w:pPr>
              <w:ind w:left="140"/>
              <w:spacing w:after="0"/>
              <w:rPr>
                <w:sz w:val="20"/>
                <w:szCs w:val="20"/>
                <w:color w:val="auto"/>
              </w:rPr>
            </w:pPr>
            <w:r>
              <w:rPr>
                <w:rFonts w:ascii="Arial" w:cs="Arial" w:eastAsia="Arial" w:hAnsi="Arial"/>
                <w:sz w:val="18"/>
                <w:szCs w:val="18"/>
                <w:color w:val="auto"/>
              </w:rPr>
              <w:t>expenses</w:t>
            </w:r>
          </w:p>
        </w:tc>
        <w:tc>
          <w:tcPr>
            <w:tcW w:w="600" w:type="dxa"/>
            <w:vAlign w:val="bottom"/>
          </w:tcPr>
          <w:p>
            <w:pPr>
              <w:ind w:left="240"/>
              <w:spacing w:after="0"/>
              <w:rPr>
                <w:sz w:val="20"/>
                <w:szCs w:val="20"/>
                <w:color w:val="auto"/>
              </w:rPr>
            </w:pPr>
            <w:r>
              <w:rPr>
                <w:rFonts w:ascii="Arial" w:cs="Arial" w:eastAsia="Arial" w:hAnsi="Arial"/>
                <w:sz w:val="18"/>
                <w:szCs w:val="18"/>
                <w:color w:val="auto"/>
              </w:rPr>
              <w:t>is</w:t>
            </w:r>
          </w:p>
        </w:tc>
        <w:tc>
          <w:tcPr>
            <w:tcW w:w="800" w:type="dxa"/>
            <w:vAlign w:val="bottom"/>
          </w:tcPr>
          <w:p>
            <w:pPr>
              <w:ind w:left="240"/>
              <w:spacing w:after="0"/>
              <w:rPr>
                <w:sz w:val="20"/>
                <w:szCs w:val="20"/>
                <w:color w:val="auto"/>
              </w:rPr>
            </w:pPr>
            <w:r>
              <w:rPr>
                <w:rFonts w:ascii="Arial" w:cs="Arial" w:eastAsia="Arial" w:hAnsi="Arial"/>
                <w:sz w:val="18"/>
                <w:szCs w:val="18"/>
                <w:color w:val="auto"/>
              </w:rPr>
              <w:t>paid</w:t>
            </w:r>
          </w:p>
        </w:tc>
        <w:tc>
          <w:tcPr>
            <w:tcW w:w="720" w:type="dxa"/>
            <w:vAlign w:val="bottom"/>
          </w:tcPr>
          <w:p>
            <w:pPr>
              <w:ind w:left="240"/>
              <w:spacing w:after="0"/>
              <w:rPr>
                <w:sz w:val="20"/>
                <w:szCs w:val="20"/>
                <w:color w:val="auto"/>
              </w:rPr>
            </w:pPr>
            <w:r>
              <w:rPr>
                <w:rFonts w:ascii="Arial" w:cs="Arial" w:eastAsia="Arial" w:hAnsi="Arial"/>
                <w:sz w:val="18"/>
                <w:szCs w:val="18"/>
                <w:color w:val="auto"/>
              </w:rPr>
              <w:t>to</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Theravance</w:t>
            </w:r>
          </w:p>
        </w:tc>
        <w:tc>
          <w:tcPr>
            <w:tcW w:w="1020" w:type="dxa"/>
            <w:vAlign w:val="bottom"/>
          </w:tcPr>
          <w:p>
            <w:pPr>
              <w:jc w:val="right"/>
              <w:spacing w:after="0"/>
              <w:rPr>
                <w:sz w:val="20"/>
                <w:szCs w:val="20"/>
                <w:color w:val="auto"/>
              </w:rPr>
            </w:pPr>
            <w:r>
              <w:rPr>
                <w:rFonts w:ascii="Arial" w:cs="Arial" w:eastAsia="Arial" w:hAnsi="Arial"/>
                <w:sz w:val="18"/>
                <w:szCs w:val="18"/>
                <w:color w:val="auto"/>
              </w:rPr>
              <w:t>quarterly.</w:t>
            </w:r>
          </w:p>
        </w:tc>
      </w:tr>
      <w:tr>
        <w:trPr>
          <w:trHeight w:val="269"/>
        </w:trPr>
        <w:tc>
          <w:tcPr>
            <w:tcW w:w="2340" w:type="dxa"/>
            <w:vAlign w:val="bottom"/>
            <w:gridSpan w:val="2"/>
          </w:tcPr>
          <w:p>
            <w:pPr>
              <w:spacing w:after="0"/>
              <w:rPr>
                <w:sz w:val="23"/>
                <w:szCs w:val="23"/>
                <w:color w:val="auto"/>
              </w:rPr>
            </w:pPr>
          </w:p>
        </w:tc>
        <w:tc>
          <w:tcPr>
            <w:tcW w:w="8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Balance at December 31, 2020</w:t>
            </w: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8,200,552</w:t>
            </w:r>
          </w:p>
        </w:tc>
      </w:tr>
      <w:tr>
        <w:trPr>
          <w:trHeight w:val="229"/>
        </w:trPr>
        <w:tc>
          <w:tcPr>
            <w:tcW w:w="3140" w:type="dxa"/>
            <w:vAlign w:val="bottom"/>
            <w:gridSpan w:val="3"/>
          </w:tcPr>
          <w:p>
            <w:pPr>
              <w:ind w:left="20"/>
              <w:spacing w:after="0"/>
              <w:rPr>
                <w:sz w:val="20"/>
                <w:szCs w:val="20"/>
                <w:color w:val="auto"/>
              </w:rPr>
            </w:pPr>
            <w:r>
              <w:rPr>
                <w:rFonts w:ascii="Arial" w:cs="Arial" w:eastAsia="Arial" w:hAnsi="Arial"/>
                <w:sz w:val="18"/>
                <w:szCs w:val="18"/>
                <w:color w:val="auto"/>
                <w:w w:val="92"/>
              </w:rPr>
              <w:t>Cash payment of royalty during the period</w:t>
            </w: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(1,423,586)</w:t>
            </w:r>
          </w:p>
        </w:tc>
      </w:tr>
      <w:tr>
        <w:trPr>
          <w:trHeight w:val="229"/>
        </w:trPr>
        <w:tc>
          <w:tcPr>
            <w:tcW w:w="59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2"/>
              </w:rPr>
              <w:t>Change in fair value of contingent consideration included in operating expenses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(180,110)</w:t>
            </w:r>
          </w:p>
        </w:tc>
      </w:tr>
      <w:tr>
        <w:trPr>
          <w:trHeight w:val="230"/>
        </w:trPr>
        <w:tc>
          <w:tcPr>
            <w:tcW w:w="5900" w:type="dxa"/>
            <w:vAlign w:val="bottom"/>
            <w:tcBorders>
              <w:bottom w:val="single" w:sz="8" w:color="CCEEFF"/>
            </w:tcBorders>
            <w:gridSpan w:val="6"/>
          </w:tcPr>
          <w:p>
            <w:pPr>
              <w:ind w:left="20"/>
              <w:spacing w:after="0"/>
              <w:rPr>
                <w:sz w:val="20"/>
                <w:szCs w:val="20"/>
                <w:color w:val="auto"/>
              </w:rPr>
            </w:pPr>
            <w:r>
              <w:rPr>
                <w:rFonts w:ascii="Arial" w:cs="Arial" w:eastAsia="Arial" w:hAnsi="Arial"/>
                <w:sz w:val="18"/>
                <w:szCs w:val="18"/>
                <w:color w:val="auto"/>
              </w:rPr>
              <w:t>Contingent consideration earned and accrued in operating expenses</w:t>
            </w:r>
          </w:p>
        </w:tc>
        <w:tc>
          <w:tcPr>
            <w:tcW w:w="10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760,225</w:t>
            </w:r>
          </w:p>
        </w:tc>
      </w:tr>
      <w:tr>
        <w:trPr>
          <w:trHeight w:val="248"/>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8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7,357,081</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contingent consideration liability of $7.4 million was classified as other current liabilities of $2.9 million and other long-term liabilities of $4.5 million on the condensed consolidated balance sheet as of June 30,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RediTrex</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2016, the Company announced an agreement with the Nordic Group B.V. ("Nordic") to acquire the exclusive U.S. rights to Nordic’s injectable methotrexate product line designed for the treatment of active rheumatoid arthritis, juvenile idiopathic arthritis, severe psoriatic arthritis, and severe disabling psoriasis.</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consideration for the license Cumberland paid a deposit of $100,000 at closing. The Company provided $0.9 million in consideration through a grant of 180,000 restricted shares of Cumberland common stock to be vested upon the FDA approval of the first Nordic product. Cumberland also agreed to provide Nordic a series of payments tied to the products’ FDA approval, launch and achievement of certain sales milestones. Under the terms of the agreement, Cumberland is responsible for the product registration and commercialization in the U.S. Nordic is responsible for product manufacturing and supply.</w:t>
      </w:r>
    </w:p>
    <w:p>
      <w:pPr>
        <w:spacing w:after="0" w:line="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November 27, 2019, Cumberland received FDA approval for the first Nordic injectable product and authorization to market them under the RediTrex brand name. The 180,000 shares of restricted Cumberland common stock previously provided to Nordic vested upon approval and were valued at $0.9 million on the vesting date. The FDA approval also resulted in a $1.0 million milestone payment due to Nordic. During December 2020, Cumberland introduced RediTrex and the launch that will take place in late 2021 will result in a $1.0 million milestone payment due to Nordic. This milestone payment will be paid during 2022 and is being reported as a current liability at June 30,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Cumberland has approximately $2.7 million in net intangible assets related to RediTrex at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Ethyol and Totect</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2016, Cumberland entered into an agreement with Clinigen for the rights and responsibilities associated with the commercialization of Ethyol in the United States. In 2017, the Company entered into another agreement with Clinigen for the rights and responsibilities associated with the commercialization of Totect in the United States.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Early in 2019, Cumberland announced a strategic review of the Company's brands, capabilities, and international partners. This review followed an accelerated business development initiative, which resulted in a series of transactions. During May 2019, Cumberland entered into the Dissolution Agreement with Clinigen in which the Company returned the exclusive rights to commercialize Ethyol and Totect in the United States to Clinigen. Under the final terms of the Dissolution Agreement, Cumberland was no longer responsible for the distribution, marketing and promotion of either Ethyol or Totect or any competing products after December 31, 2019. In exchange for the return of these product license rights and the non-compete provisions of the Dissolution Agreement, Cumberland is receiving $5 million in financial consideration paid in quarterly installments over the two-years following the transition date. Cumberland recorded the first four quarterly installments totaling $3.0 million during 2020 and the next two installments totaling $1.0 million during the six months ended June 30, 2021, as discontinued operations. The Company will record the remaining two quarterly installments during the balance of 2021.</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exit from Ethyol and Totect meets the accounting criteria to be reported as discontinued operations. December 31, 2019, as the transition date, was the final day Cumberland was responsible for the products. Cumberland was responsible for the products through December 31, 2019 and beginning on January 1, 2020, the products' rights transitioned back to Clinigen. As a result, January 1, 2020, was the first day of discontinued operations for the Ethyol and Totect products.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dissolution payments from Clinigen are reflected as revenue from discontinued operations. The Company does not incur expenses associated with these payments from Clinigen.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2820" w:type="dxa"/>
            <w:vAlign w:val="bottom"/>
            <w:gridSpan w:val="4"/>
          </w:tcPr>
          <w:p>
            <w:pPr>
              <w:jc w:val="right"/>
              <w:ind w:right="572"/>
              <w:spacing w:after="0"/>
              <w:rPr>
                <w:sz w:val="20"/>
                <w:szCs w:val="20"/>
                <w:color w:val="auto"/>
              </w:rPr>
            </w:pPr>
            <w:r>
              <w:rPr>
                <w:rFonts w:ascii="Arial" w:cs="Arial" w:eastAsia="Arial" w:hAnsi="Arial"/>
                <w:sz w:val="16"/>
                <w:szCs w:val="16"/>
                <w:b w:val="1"/>
                <w:bCs w:val="1"/>
                <w:color w:val="auto"/>
              </w:rPr>
              <w:t>Six months ended June 30,</w:t>
            </w:r>
          </w:p>
        </w:tc>
      </w:tr>
      <w:tr>
        <w:trPr>
          <w:trHeight w:val="219"/>
        </w:trPr>
        <w:tc>
          <w:tcPr>
            <w:tcW w:w="48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145"/>
        </w:trPr>
        <w:tc>
          <w:tcPr>
            <w:tcW w:w="4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498,807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738,622</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1,556,895</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Costs of products sold</w:t>
            </w:r>
          </w:p>
        </w:tc>
        <w:tc>
          <w:tcPr>
            <w:tcW w:w="3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Marketing and other</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Income from discontinued operations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498,807</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738,622</w:t>
            </w: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994,217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1,556,895</w:t>
            </w:r>
          </w:p>
        </w:tc>
      </w:tr>
      <w:tr>
        <w:trPr>
          <w:trHeight w:val="20"/>
        </w:trPr>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98"/>
        </w:trPr>
        <w:tc>
          <w:tcPr>
            <w:tcW w:w="4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593"/>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6" w:name="page17"/>
    <w:bookmarkEnd w:id="16"/>
    <w:p>
      <w:pPr>
        <w:ind w:right="3820"/>
        <w:spacing w:after="0" w:line="37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i w:val="1"/>
          <w:iCs w:val="1"/>
          <w:color w:val="auto"/>
        </w:rPr>
        <w:t>Disclosure regarding forward-looking statements</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impacts on our business as well as national and international markets and economies resulting from the COVID-19 pandemic.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 Forward-Looking Statements” of our Annual Report on Form 10-K for the year ended December 31,</w:t>
      </w:r>
    </w:p>
    <w:p>
      <w:pPr>
        <w:spacing w:after="0" w:line="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2020, and our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Pharmaceuticals Inc. (“Cumberland,” the “Company,” or as used in the context of “we,” “us,” or “our”), is a specialty pharmaceutical company focused on the acquisition, development and commercialization of branded prescription products. We are dedicated to providing innovative products that improve the quality of care for patients and address poorly met medical needs.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target markets are hospital acute care, gastroenterology and rheumatology. These medical specialties are characterized by relatively concentrated prescriber bases that we believe can be served effectively by small, targeted sales forces. We promote our approved products through our hospital and field sales forces in the United States and are establishing a network of international partners to register and provide our medicines to patients in their countries.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Our portfolio of FDA approved brands include:</w:t>
      </w:r>
    </w:p>
    <w:p>
      <w:pPr>
        <w:spacing w:after="0" w:line="150"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Acetadote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acetylcysteine</w:t>
      </w:r>
      <w:r>
        <w:rPr>
          <w:rFonts w:ascii="Arial" w:cs="Arial" w:eastAsia="Arial" w:hAnsi="Arial"/>
          <w:sz w:val="18"/>
          <w:szCs w:val="18"/>
          <w:color w:val="auto"/>
        </w:rPr>
        <w:t>) Injection, for the treatment of acetaminophen poisoning;</w:t>
      </w:r>
    </w:p>
    <w:p>
      <w:pPr>
        <w:spacing w:after="0" w:line="10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Caldolor</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ibuprofen</w:t>
      </w:r>
      <w:r>
        <w:rPr>
          <w:rFonts w:ascii="Arial" w:cs="Arial" w:eastAsia="Arial" w:hAnsi="Arial"/>
          <w:sz w:val="18"/>
          <w:szCs w:val="18"/>
          <w:color w:val="auto"/>
        </w:rPr>
        <w:t>) Injection, for the treatment of pain and fever;</w:t>
      </w:r>
    </w:p>
    <w:p>
      <w:pPr>
        <w:spacing w:after="0" w:line="8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Kristalose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lactulose</w:t>
      </w:r>
      <w:r>
        <w:rPr>
          <w:rFonts w:ascii="Arial" w:cs="Arial" w:eastAsia="Arial" w:hAnsi="Arial"/>
          <w:sz w:val="18"/>
          <w:szCs w:val="18"/>
          <w:color w:val="auto"/>
        </w:rPr>
        <w:t>) for Oral Solution, a prescription laxative, for the treatment of chronic and acute constipation;</w:t>
      </w:r>
    </w:p>
    <w:p>
      <w:pPr>
        <w:spacing w:after="0" w:line="96" w:lineRule="exact"/>
        <w:rPr>
          <w:rFonts w:ascii="Arial" w:cs="Arial" w:eastAsia="Arial" w:hAnsi="Arial"/>
          <w:sz w:val="18"/>
          <w:szCs w:val="18"/>
          <w:color w:val="auto"/>
        </w:rPr>
      </w:pPr>
    </w:p>
    <w:p>
      <w:pPr>
        <w:ind w:left="1300" w:hanging="320"/>
        <w:spacing w:after="0" w:line="23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Omeclamox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-Pak</w:t>
      </w:r>
      <w:r>
        <w:rPr>
          <w:rFonts w:ascii="Arial" w:cs="Arial" w:eastAsia="Arial" w:hAnsi="Arial"/>
          <w:sz w:val="18"/>
          <w:szCs w:val="18"/>
          <w:color w:val="auto"/>
        </w:rPr>
        <w:t>, (</w:t>
      </w:r>
      <w:r>
        <w:rPr>
          <w:rFonts w:ascii="Arial" w:cs="Arial" w:eastAsia="Arial" w:hAnsi="Arial"/>
          <w:sz w:val="18"/>
          <w:szCs w:val="18"/>
          <w:i w:val="1"/>
          <w:iCs w:val="1"/>
          <w:color w:val="auto"/>
        </w:rPr>
        <w:t>omeprazole, clarithromycin, and amoxicillin</w:t>
      </w:r>
      <w:r>
        <w:rPr>
          <w:rFonts w:ascii="Arial" w:cs="Arial" w:eastAsia="Arial" w:hAnsi="Arial"/>
          <w:sz w:val="18"/>
          <w:szCs w:val="18"/>
          <w:color w:val="auto"/>
        </w:rPr>
        <w:t>) for the treatment of Helicobacter pylori (</w:t>
      </w:r>
      <w:r>
        <w:rPr>
          <w:rFonts w:ascii="Arial" w:cs="Arial" w:eastAsia="Arial" w:hAnsi="Arial"/>
          <w:sz w:val="18"/>
          <w:szCs w:val="18"/>
          <w:i w:val="1"/>
          <w:iCs w:val="1"/>
          <w:color w:val="auto"/>
        </w:rPr>
        <w:t>H. pylori</w:t>
      </w:r>
      <w:r>
        <w:rPr>
          <w:rFonts w:ascii="Arial" w:cs="Arial" w:eastAsia="Arial" w:hAnsi="Arial"/>
          <w:sz w:val="18"/>
          <w:szCs w:val="18"/>
          <w:color w:val="auto"/>
        </w:rPr>
        <w:t>) infection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duodenal ulcer disease;</w:t>
      </w:r>
    </w:p>
    <w:p>
      <w:pPr>
        <w:spacing w:after="0" w:line="169" w:lineRule="exact"/>
        <w:rPr>
          <w:rFonts w:ascii="Arial" w:cs="Arial" w:eastAsia="Arial" w:hAnsi="Arial"/>
          <w:sz w:val="18"/>
          <w:szCs w:val="18"/>
          <w:color w:val="auto"/>
        </w:rPr>
      </w:pPr>
    </w:p>
    <w:p>
      <w:pPr>
        <w:ind w:left="1300" w:hanging="320"/>
        <w:spacing w:after="0" w:line="23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RediTrex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methotrexate</w:t>
      </w:r>
      <w:r>
        <w:rPr>
          <w:rFonts w:ascii="Arial" w:cs="Arial" w:eastAsia="Arial" w:hAnsi="Arial"/>
          <w:sz w:val="18"/>
          <w:szCs w:val="18"/>
          <w:color w:val="auto"/>
        </w:rPr>
        <w:t>) Injection, for the treatment of active rheumatoid, juvenile idiopathic and severe psoriatic arthritis,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disabling psoriasis;</w:t>
      </w:r>
    </w:p>
    <w:p>
      <w:pPr>
        <w:spacing w:after="0" w:line="118" w:lineRule="exact"/>
        <w:rPr>
          <w:rFonts w:ascii="Arial" w:cs="Arial" w:eastAsia="Arial" w:hAnsi="Arial"/>
          <w:sz w:val="18"/>
          <w:szCs w:val="18"/>
          <w:color w:val="auto"/>
        </w:rPr>
      </w:pPr>
    </w:p>
    <w:p>
      <w:pPr>
        <w:ind w:left="1300" w:hanging="320"/>
        <w:spacing w:after="0" w:line="229" w:lineRule="auto"/>
        <w:tabs>
          <w:tab w:leader="none" w:pos="129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Vaprisol</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conivaptan</w:t>
      </w:r>
      <w:r>
        <w:rPr>
          <w:rFonts w:ascii="Arial" w:cs="Arial" w:eastAsia="Arial" w:hAnsi="Arial"/>
          <w:sz w:val="18"/>
          <w:szCs w:val="18"/>
          <w:color w:val="auto"/>
        </w:rPr>
        <w:t>) Injection, to raise serum sodium levels in hospitalized patients with euvolemic and hypervolemic hyponatremia;</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127" w:lineRule="exact"/>
        <w:rPr>
          <w:rFonts w:ascii="Arial" w:cs="Arial" w:eastAsia="Arial" w:hAnsi="Arial"/>
          <w:sz w:val="18"/>
          <w:szCs w:val="18"/>
          <w:b w:val="1"/>
          <w:bCs w:val="1"/>
          <w:color w:val="auto"/>
        </w:rPr>
      </w:pPr>
    </w:p>
    <w:p>
      <w:pPr>
        <w:ind w:left="1300" w:hanging="320"/>
        <w:spacing w:after="0" w:line="23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Vibativ</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telavancin</w:t>
      </w:r>
      <w:r>
        <w:rPr>
          <w:rFonts w:ascii="Arial" w:cs="Arial" w:eastAsia="Arial" w:hAnsi="Arial"/>
          <w:sz w:val="18"/>
          <w:szCs w:val="18"/>
          <w:color w:val="auto"/>
        </w:rPr>
        <w:t>) Injection, for the treatment of certain serious bacterial infections including hospital-acquired and ventilator-associated bacterial pneumonia, as well as complicated skin and skin structure infections.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these commercial brands, we have Phase II clinical programs underway evaluating our ifetroban product candidates being used by patients with cardiomyopathy associated with Duchenne Muscular Dystrophy (“DMD”), a degenerative disease, Systemic Sclerosis (“SSc”), a deadly autoimmune condition, and Aspirin-Exacerbated Respiratory Disease (“AERD”), a severe form of asthma.</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 has built core competencies in both the development and commercialization of pharmaceutical products. We have established the capabilities needed to acquire, develop and commercialize branded pharmaceuticals in the U.S. and believe we can leverage this existing infrastructure to support our expected growth. Our management team consists of pharmaceutical industry veterans experienced in business development, product development, regulatory, manufacturing, sales, marketing and finance.</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development team identifies, evaluates, and negotiates product acquisition, licensing and co-promotion agreements. Our product development team creates proprietary product formulations, manages our clinical studies, prepares all regulatory submissions and staffs our medical call center. Our quality and manufacturing professionals oversee the manufacturing, release and shipment of our products. Our marketing and sales team is responsible for our commercial activities, and we work closely with our distribution partners to ensure availability and delivery of our products.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Cumberland's growth strategy involves maximizing the potential of our existing brands while continuing to build a portfolio of differentiated products. We</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feature seven FDA products approved for sale in the United States. Through our international partners, we are working to bring our medicines to patients in their countries. We also look for opportunities to expand our products into additional patient populations through clinical trials, new presentations and our support for select, investigator-initiated studies. We actively pursue opportunities to acquire additional marketed products, as well as late-stage development product candidates in our target medical specialties. Our clinical team is developing a pipeline of new product candidates largely to address poorly met medical needs.</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supplementing these activities with the earlier stage drug development at Cumberland Emerging Technologies (“CET”), our majority-owned subsidiary. CET partners with academic research institutions to identify and support the progress of promising new product candidates, which Cumberland has the opportunity to further develop and commercialize.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Specifically, we are seeking long-term sustainable growth by:</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Supporting and expanding the use of our marketed products </w:t>
      </w:r>
      <w:r>
        <w:rPr>
          <w:rFonts w:ascii="Arial" w:cs="Arial" w:eastAsia="Arial" w:hAnsi="Arial"/>
          <w:sz w:val="17"/>
          <w:szCs w:val="17"/>
          <w:color w:val="auto"/>
        </w:rPr>
        <w:t>- We continue to evaluate our products following their FDA approval to determine if</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clinical data could expand their market and use. We will continue to explore opportunities for label expansion to bring our products to new patient populations. As examples, we have secured pediatric approval, expanding the labeling for both our Acetadote and Caldolor brands.</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Selectively adding complementary brands - </w:t>
      </w:r>
      <w:r>
        <w:rPr>
          <w:rFonts w:ascii="Arial" w:cs="Arial" w:eastAsia="Arial" w:hAnsi="Arial"/>
          <w:sz w:val="18"/>
          <w:szCs w:val="18"/>
          <w:color w:val="auto"/>
        </w:rPr>
        <w:t>In addition to our product development activities, we are also seeking to acquire products or late-stage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product candidates to continue building a portfolio of complementary brands. We focus on under-promoted, FDA-approved drugs as well as late-stage development products that address poorly met medical needs. We will continue to target product acquisition candidates that are competitively differentiated, have valuable intellectual property or other protective features, and allow us to leverage our existing infrastructure. Our acquisition of Vibativ is an example of this strategy.</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Progressing our clinical pipeline and incubating future product opportunities at CET - </w:t>
      </w:r>
      <w:r>
        <w:rPr>
          <w:rFonts w:ascii="Arial" w:cs="Arial" w:eastAsia="Arial" w:hAnsi="Arial"/>
          <w:sz w:val="17"/>
          <w:szCs w:val="17"/>
          <w:color w:val="auto"/>
        </w:rPr>
        <w:t>We believe it is important to build a pipeline of innovative new</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opportunities, such as we are doing through our ifetroban Phase II development programs. We are also supplementing our acquisition and late-stage development activities with early-stage drug development activities at CET. CET partners with universities and other research organizations to develop promising, early-stage product candidates, which Cumberland has the opportunity to further develop and commercialize.</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Leveraging our infrastructure through co-promotion partnerships - </w:t>
      </w:r>
      <w:r>
        <w:rPr>
          <w:rFonts w:ascii="Arial" w:cs="Arial" w:eastAsia="Arial" w:hAnsi="Arial"/>
          <w:sz w:val="18"/>
          <w:szCs w:val="18"/>
          <w:color w:val="auto"/>
        </w:rPr>
        <w:t>We believe that our commercial infrastructure can help drive prescription volume</w:t>
      </w:r>
      <w:r>
        <w:rPr>
          <w:rFonts w:ascii="Arial" w:cs="Arial" w:eastAsia="Arial" w:hAnsi="Arial"/>
          <w:sz w:val="18"/>
          <w:szCs w:val="18"/>
          <w:b w:val="1"/>
          <w:bCs w:val="1"/>
          <w:color w:val="auto"/>
        </w:rPr>
        <w:t xml:space="preserve"> </w:t>
      </w:r>
      <w:r>
        <w:rPr>
          <w:rFonts w:ascii="Arial" w:cs="Arial" w:eastAsia="Arial" w:hAnsi="Arial"/>
          <w:sz w:val="18"/>
          <w:szCs w:val="18"/>
          <w:color w:val="auto"/>
        </w:rPr>
        <w:t>and product sales. We look for strategic partners that can complement our capabilities and enhance opportunities for our brands. For example, our co-promotion partnership with Poly Pharmaceuticals, Inc. and Foxland Pharmaceuticals, Inc. has allowed us to expand support for Kristalose across the United States.</w:t>
      </w:r>
    </w:p>
    <w:p>
      <w:pPr>
        <w:spacing w:after="0" w:line="11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Building an international market - </w:t>
      </w:r>
      <w:r>
        <w:rPr>
          <w:rFonts w:ascii="Arial" w:cs="Arial" w:eastAsia="Arial" w:hAnsi="Arial"/>
          <w:sz w:val="16"/>
          <w:szCs w:val="16"/>
          <w:color w:val="auto"/>
        </w:rPr>
        <w:t>We have established our own commercial capabilities, including two sales divisions, to cover the U.S. market for our</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We are also building a network of select international partners to register our products and make them available to patients in their countries. We will continue to develop and expand our network of international partners while supporting our partners’ registration and commercialization efforts in their respective territories. The acquisition of Vibativ resulted in several new international partners and market opportunities.</w:t>
      </w:r>
    </w:p>
    <w:p>
      <w:pPr>
        <w:spacing w:after="0" w:line="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Managing our operations with financial discipline - </w:t>
      </w:r>
      <w:r>
        <w:rPr>
          <w:rFonts w:ascii="Arial" w:cs="Arial" w:eastAsia="Arial" w:hAnsi="Arial"/>
          <w:sz w:val="18"/>
          <w:szCs w:val="18"/>
          <w:color w:val="auto"/>
        </w:rPr>
        <w:t>We continually work to manage our expenses in line with our revenues in order to deliver positive</w:t>
      </w:r>
      <w:r>
        <w:rPr>
          <w:rFonts w:ascii="Arial" w:cs="Arial" w:eastAsia="Arial" w:hAnsi="Arial"/>
          <w:sz w:val="18"/>
          <w:szCs w:val="18"/>
          <w:b w:val="1"/>
          <w:bCs w:val="1"/>
          <w:color w:val="auto"/>
        </w:rPr>
        <w:t xml:space="preserve"> </w:t>
      </w:r>
      <w:r>
        <w:rPr>
          <w:rFonts w:ascii="Arial" w:cs="Arial" w:eastAsia="Arial" w:hAnsi="Arial"/>
          <w:sz w:val="18"/>
          <w:szCs w:val="18"/>
          <w:color w:val="auto"/>
        </w:rPr>
        <w:t>cash flow from operations. We remain in a strong financial position, with favorable gross margins and a strong balance sheet.</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1999 and have been headquartered in Nashville, Tennessee since inception. During 2009, we completed an initial public offering of our common shares and listing on the Nasdaq stock exchange. Our website address is www.cumberlandpharma.com.</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make available through our website our Annual Reports on Form 10-K, Quarterly Reports on Form 10-Q, Current Reports on Form 8-K and all material press releases and other reports as soon as reasonably practicable after their filing with the U.S. Securities and Exchange Commission, (“SEC”). These filings are also available to the public at </w:t>
      </w:r>
      <w:r>
        <w:rPr>
          <w:rFonts w:ascii="Arial" w:cs="Arial" w:eastAsia="Arial" w:hAnsi="Arial"/>
          <w:sz w:val="18"/>
          <w:szCs w:val="18"/>
          <w:color w:val="0000FF"/>
        </w:rPr>
        <w:t>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U.S. declared a health care emergency following the outbreak of SARS-CoV-2, a novel strain of coronavirus that causes COVID-19, a respiratory illness. The Company has managed through the COVID-19 pandemic, continuing to operate our business – keeping facilities open and our organization intact. We also maintained our ongoing compliance with the many laws and regulations that apply to us as a publicly traded pharmaceutical company.</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Throughout the pandemic, Cumberland faced the same challenges affecting other companies that rely on hospital admissions and patient visits to drive revenue. Our business and our clinical studies were impacted, as fewer patients sought elective surgeries and our access to medical facilities was substantially limited. Throughout the pandemic, we carefully monitored our supply chain, including the flow of raw materials into the plants that manufacture our products, as well as the batches of finished products emerging from those facilities.</w:t>
      </w:r>
    </w:p>
    <w:p>
      <w:pPr>
        <w:spacing w:after="0" w:line="11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Several of our brands were negatively impacted by the lockdowns and postponement of physician office visits and elective procedures. However, we are fortunate to have a diversified product portfolio that includes other brands, such as Vaprisol, that delivered a strong performance during the pandemic.</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responded to the pandemic with a fast and coordinated approach to ensure the health and safety of our team. We were also able to continue the delivery of our products, while addressing the interests of our shareholders, employees, partners and community.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ESG Report</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2021, we released our second annual Sustainability Report ("ESG Report"), which details Cumberland’s activities pertaining to environmental, social and governance (“ESG”) matters. After issuing our inaugural ESG report last year, we remain committed to sustainability and to maintaining transparency of our corporate operations. As the largest biopharmaceutical company founded and headquartered in the Mid-South, we hold ourselves to the highest standards of ethical practices and understand the importance of recognizing and addressing our impact on our constituents, the community and the environment.</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ESG Report notes that in 2020 we provided nearly 2.5 million patient doses of our products, safely disposed of over 4,000 pounds of expired and damaged products and had no product recalls. We also had no Company brands that were listed on the FDA’s MedWatch Safety Alerts for Human Medical Products, no Company product issues that were identified by FDA from their Adverse Event Reporting System and no clinical trials that were terminated due to failure to practice good clinical standards.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ESG Report also highlights several initiatives we implemented as part of our commitment to delivering high-quality pharmaceutical products to improve patient care. For example, we continued a program to serialize all commercial products sold in the United States, allowing us to track every unit distributed, which helps to prevent counterfeit drugs from entering the market under the Cumberland brand. In addition, through our coupon program, Cumberland covers up to 90% of patient prescription costs for our gastrointestinal products.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ESG Report also highlights our investment in our employees through our continuing education programs, employee development initiatives and employee recognition awards. Cumberland’s workforce is 46% women – and 18% of our employees are minorities.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Chief Financial Officer Appointment</w:t>
      </w:r>
    </w:p>
    <w:p>
      <w:pPr>
        <w:spacing w:after="0" w:line="1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17, 2021, Cumberland appointed John Hamm as the new Senior Director Finance &amp; Accounting and Chief Financial Officer. In this role, he will manage all of the Company’s finance and accounting activities while continuing to oversee corporate development and legal matters.</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Mr. Hamm has more than 25 years of finance and accounting experience, including 20 years in health care. He previously held the positions of Chief Operating Officer and Chief Financial Officer, Pharmacy at HealthSpring, Inc., a managed care organization now operating as Cigna-HealthSpring.</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He was also the Vice President Finance at Emdeon Business Services. Emdeon Inc., a healthcare technology firm now operates as Change Healthcare Inc., a NASDAQ listed company with over $3 billion in annual revenue.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Hamm holds a Bachelor of Science in Business Administration with a minor in Accounting from Wheeling University. He earned his Master’s in Business Administration with an emphasis in Accounting from West Virginia University. He is a Certified Management Accountant (CMA) and Certified Financial Manager (CFM).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Prior to this new appointment, Mr. Hamm served as Cumberland’s Director Corporate Development.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Paycheck Protection Program</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 The PPP is administered by the U.S. Small Business Administration (“SBA”).</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PPP requirements, loan funds were used to maintain payroll, continue group health care benefits, and pay for rent and utilities during the pandemic. We applied for this loan after carefully considering, with our bank, the eligibility criteria to participate in this program, and determining that Cumberland met those criteria. We evaluated and provided information on our payroll and other qualifying expenses to determine the amount of PPP funds to apply for.</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terms of the PPP, certain amounts of the loan may be forgiven if they are used for qualifying expenses as described in the CARES Act. Cumberland used the PPP loan funds for such qualifying expenses. Due to assistance from our PPP loan, the Company did not lay off or furlough any employees as a result of the COVID-19 pandemic.</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2020, Cumberland submitted a request for the loan’s forgiveness. On June 11, 2021, the Company received a formal notice from the SBA that the full amount of the loan was forgiven.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RediTrex Launch</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late 2018, we completed the submission of and filed with the U.S. Food and Drug Administration (“FDA”) a New Drug Application for RediTrex, our methotrexate products. RediTrex is a new line of pre-filled syringes specifically designed for ease of handling and dosing accuracy for the subcutaneous administration of methotrexate in patients with arthritis and psoriasis.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December 2019, we received FDA approval for RediTrex and began planning for the launch of the product line. We provided initial shipments of RediTrex to select accounts in November 2020 and we are planning to launch the product line nationally in late September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Ifetroban Phase II Studies</w:t>
      </w:r>
    </w:p>
    <w:p>
      <w:pPr>
        <w:spacing w:after="0" w:line="14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have been evaluating our ifetroban product candidate in a series of clinical studies. We are sponsoring Phase II clinical programs to evaluate our ifetroban product candidates in 1) patients with cardiomyopathy associated with Duchenne Muscular Dystrophy, a rare, fatal, genetic neuromuscular disease that results in deterioration of the skeletal, heart and lung muscles, 2) Systemic Sclerosis or scleroderma, a debilitating autoimmune disorder characterized by diffuse fibrosis of the skin and internal organs and 3) Aspirin-Exacerbated Respiratory Disease, a severe form of asthma.</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have completed two pilot Phase II studies involving 1) patients suffering from Hepatorenal Syndrome, a life-threatening condition involving liver and kidney failure and 2) patients with Portal Hypertension that is associated with chronic liver disease.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Additional pilot preclinical and clinical studies of ifetroban are underway, including several investigator-initiated trials.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Enrollment in our clinical studies was interrupted due to the COVID-19 pandemic. While enrollment of new patients has been limited, many of our clinical study sites have reopened and resumed screening of patients for potential enrollment into our studies. We are awaiting results from the studies underway before deciding on the best development path for the registration of ifetroban, our first new chemical entity.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Hospital Product Candidate</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was responsible for the formulation, development and FDA approval of both Acetadote and Caldolor. Our Medical Advisory Board has helped us identify additional opportunities that address unmet or poorly met medical needs. As a result, Cumberland has successfully designed, formulated and completed the preclinical studies for a cholesterol-reducing agent for use in the hospital setting.</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completed a Phase I study which defined the pharmacokinetic properties and provided a favorable safety profile for this new product candidate. The study results and a proposed clinical development plan were discussed with the FDA.</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completed a Phase II study to further evaluate administration, dosing and pharmacokinetics of the product. We are now evaluating the next steps for this product development program.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Omeclamox-Pak Supply Update</w:t>
      </w:r>
    </w:p>
    <w:p>
      <w:pPr>
        <w:spacing w:after="0" w:line="14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Cumberland has partnered with a select group of FDA-approved facilities to manufacture its line of branded pharmaceutical products and has been carefully monitoring its supply chain during the pandemic. The packager for our Omeclamox-Pak product encountered financial difficulties, and their operations are currently suspended. We are awaiting the resumption of those operations, while also exploring other alternatives to restart the product’s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packaging. Meanwhile, we informed the FDA of a shortage of the Omeclamox-Pak effective October 14, 2020 and have not provided a date for the availability of new inventory.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IV Acetaminophen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Four generic companies have launched acetaminophen for injection products that provide an alternative to our Caldolor product for the treatment of acute surgical pain.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Despite the challenges of operating during a pandemic, Cumberland remains committed to our mission of providing innovative products that improve the quality of care for patients and address poorly met medical needs. We are working to fulfill this mission by building a portfolio of innovative and differentiated products through a multifaceted strategy that includes development of new candidates and acquisition of established brands. Our resulting, diversified product line has enabled us to weather external challenges, while our team has remained responsive to the evolving medical market. We are prepared for and look forward to future opportunities to carry out our 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see a discussion of our critical accounting policies and significant judgments and estimates in Note 1 to the Company's Condensed Consolidated Financial Statements accompanying this report and the section entitled “Management’s Discussion and Analysis of Financial Condition and Results of Operations” in our 2020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 and Judgments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These estimates, judgments and assumptions are most critical with respect to our accounting for revenue recognition, inventories, fair value of contingent consideration liability associated with a business combination, share-based compensation and intangible assets.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compared to the three months ended June 30, 2020</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unaudited interim statements of operations for continuing operations for the three months ended June 30, 2021 and 2020:</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Three months ended June 30,</w:t>
            </w:r>
          </w:p>
        </w:tc>
        <w:tc>
          <w:tcPr>
            <w:tcW w:w="146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9,055,483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9,598,177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(542,694)</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1,740,649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2,609,982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(869,333)</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4,121,817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3,865,406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256,411</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1,360,398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1,421,502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(61,104)</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2,097,130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2,190,764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(93,634)</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1,171,218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1,091,485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79,733</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10,491,212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11,179,139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(687,927)</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(1,435,729)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(1,580,962)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145,233</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28,661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(22,070)</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(119,455)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93,596</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(1,671,756)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2,403,899</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(1,679,211)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2,403,895</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revenues by product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Three months ended June 30,</w:t>
            </w:r>
          </w:p>
        </w:tc>
        <w:tc>
          <w:tcPr>
            <w:tcW w:w="146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Kristalose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5,275,065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3,477,471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1,797,594</w:t>
            </w: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Vibativ</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1,844,936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3,299,507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(1,454,571)</w:t>
            </w: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Caldolor</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938,328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1,166,569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(228,241)</w:t>
            </w: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Vaprisol</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225,793</w:t>
            </w: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Acetadote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152,781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595,310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(442,529)</w:t>
            </w: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Omeclamox-Pak</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(35,057)</w:t>
            </w: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RediTrex</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7,382</w:t>
            </w: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461,148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874,213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(413,065)</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9,055,483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9,598,177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(542,694)</w:t>
            </w:r>
          </w:p>
        </w:tc>
      </w:tr>
      <w:tr>
        <w:trPr>
          <w:trHeight w:val="20"/>
        </w:trPr>
        <w:tc>
          <w:tcPr>
            <w:tcW w:w="5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for the three months ended June 30, 2021, were $9.1 million compared to $9.6 million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2020. As detailed in the table above, net revenue increased for two of our marketed products: Kristalose and Vaprisol during the quarter.</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Kristalose revenue increased by 51.7% during the second quarter of 2021 to $5.3 million, when compared to the prior year period. The increase was primarily the result of growth in shipments of the product to our wholesale customers.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Vaprisol revenue was $0.4 million for the second quarter of 2021, an increase of $0.2 million. This increase of net sales compared to the second quarter of 2020 is primarily due to increased utilization in supporting patients impacted by COVID-19 infections.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Caldolor revenue was $0.9 million for the second quarter of 2021, a decrease of $0.2 million compared to the same period last year. The decrease was the result of lower international shipments of the product, due to order timing.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Vibativ revenue was $1.8 million for the three months ended June 30, 2021, compared to $3.3 million the same period last year. The decrease was a result of decreased domestic and international sales volumes during the period due to order timing.</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Omeclamox-Pak had no sales for the second quarter of 2021, as Cumberland is currently out of commercial inventory of this product. The packager for our Omeclamox-Pak product encountered financial difficulties, and currently is under new management and a reorganization. We are in discussions about the resumption of packaging the product. Net revenue for the second quarter of 2021 was negatively impacted by product returns during the period.</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Acetadote revenue includes net sales of our Acetadote brand and our share of net sales from our Authorized Generic. During the quarter, there was a decrease of $0.4 million in the product's revenue when compared to the prior year period as a result of lower sales volumes during the period, impacted by generic competition.</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Cost of products sold</w:t>
      </w:r>
      <w:r>
        <w:rPr>
          <w:rFonts w:ascii="Arial" w:cs="Arial" w:eastAsia="Arial" w:hAnsi="Arial"/>
          <w:sz w:val="16"/>
          <w:szCs w:val="16"/>
          <w:color w:val="auto"/>
        </w:rPr>
        <w:t>. Cost of products sold for the second quarter of 2021 and 2020 were $1.7 million and $2.6 million, respectively. Cost of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sold, as a percentage of net revenues, were 19.2% during the three months ended June 30, 2021, compared to 27.2% during the three months ended June 30, 2020. This change in costs of products sold as a percentage of revenue was attributable to a change in the product sales mix, particularly the decrease in sales of Vibativ. The Vibativ inventory sold during the period was acquired and paid for by Cumberland as part of the acquisition of the brand during 2018.</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 for the second quarter of 2021 increased $0.3 million compared to the prior year period.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primarily attributable to an increase in marketing spending for RediTrex and Vibativ. Lower royalty costs were partially offset by an increase in direct promotional spending, meeting costs and travel expenses during the second quarter of 2021.</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costs were $1.4 million for the second quarter of 2021 and approximately the same as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last year. A portion of our research and development costs is variable based on the number of trials, study sites, number of patients and the cost per patient in each of our clinical programs. We continue to fund our ongoing clinical initiatives associated with our pipeline products.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for the second quarter of 2021 were $2.1 million, consistent with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There were increases in professional, legal and insurance costs which were offset by decreases in non-cash stock based compensation during the second quarter of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statements of operations discussed above reflect the following impacts from Vibativ:</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Financial Impact of Vibativ</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Three months ended June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2020</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1,844,936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3,299,507</w:t>
            </w:r>
          </w:p>
        </w:tc>
      </w:tr>
      <w:tr>
        <w:trPr>
          <w:trHeight w:val="230"/>
        </w:trPr>
        <w:tc>
          <w:tcPr>
            <w:tcW w:w="6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678,146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1,220,054</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767,813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834,395</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Vibativ contribution</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398,977</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1,245,058</w:t>
            </w:r>
          </w:p>
        </w:tc>
      </w:tr>
      <w:tr>
        <w:trPr>
          <w:trHeight w:val="20"/>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The Vibativ inventory included in the costs of product sold during the period was acquired and paid for by Cumberland as part of the acquisition of the brand during 2018.</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Amortization. </w:t>
      </w:r>
      <w:r>
        <w:rPr>
          <w:rFonts w:ascii="Arial" w:cs="Arial" w:eastAsia="Arial" w:hAnsi="Arial"/>
          <w:sz w:val="18"/>
          <w:szCs w:val="18"/>
          <w:color w:val="auto"/>
        </w:rPr>
        <w:t>Amortization expense is the ratable use of our capitalized intangible assets including product and license rights, patents, trademarks and</w:t>
      </w:r>
      <w:r>
        <w:rPr>
          <w:rFonts w:ascii="Arial" w:cs="Arial" w:eastAsia="Arial" w:hAnsi="Arial"/>
          <w:sz w:val="18"/>
          <w:szCs w:val="18"/>
          <w:i w:val="1"/>
          <w:iCs w:val="1"/>
          <w:color w:val="auto"/>
        </w:rPr>
        <w:t xml:space="preserve"> </w:t>
      </w:r>
      <w:r>
        <w:rPr>
          <w:rFonts w:ascii="Arial" w:cs="Arial" w:eastAsia="Arial" w:hAnsi="Arial"/>
          <w:sz w:val="18"/>
          <w:szCs w:val="18"/>
          <w:color w:val="auto"/>
        </w:rPr>
        <w:t>patent defense costs. Amortization for the three months ended June 30, 2021, and three months ended June 30, 2020, totaled approximately $1.2 million and $1.1 million, respectively.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expense for the three months ended June 30, 2021, was comparable to the income tax expense for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30, 2020.</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2021, we had approximately $44 million of net operating loss carryforwards resulting from the exercise of nonqualified stock options that have historically been used to significantly offset income tax obligations. We expect to continue to pay minimal income taxes during 2021 and beyond, through the continued utilization of these net operating loss carryforwards, on any taxable income generated from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compared to the six months ended June 30, 2020</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unaudited interim statements of operations for continuing operations for the six months ended June 30, 2021 and 2020:</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w w:val="90"/>
              </w:rPr>
              <w:t>Six months ended June 30,</w:t>
            </w: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gridSpan w:val="2"/>
          </w:tcPr>
          <w:p>
            <w:pPr>
              <w:ind w:left="24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19,592,642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17,928,911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1,663,731</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4,157,978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4,244,163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(86,185)</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7,909,157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7,573,082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336,075</w:t>
            </w: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2,617,765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3,144,057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(526,292)</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4,327,639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4,227,048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100,591</w:t>
            </w:r>
          </w:p>
        </w:tc>
        <w:tc>
          <w:tcPr>
            <w:tcW w:w="10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2,340,132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172,608</w:t>
            </w:r>
          </w:p>
        </w:tc>
        <w:tc>
          <w:tcPr>
            <w:tcW w:w="100" w:type="dxa"/>
            <w:vAlign w:val="bottom"/>
            <w:shd w:val="clear" w:color="auto" w:fill="CCEEFF"/>
          </w:tcPr>
          <w:p>
            <w:pPr>
              <w:spacing w:after="0"/>
              <w:rPr>
                <w:sz w:val="19"/>
                <w:szCs w:val="19"/>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21,352,671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21,355,874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w:t>
            </w:r>
          </w:p>
        </w:tc>
        <w:tc>
          <w:tcPr>
            <w:tcW w:w="100" w:type="dxa"/>
            <w:vAlign w:val="bottom"/>
            <w:tcBorders>
              <w:bottom w:val="single" w:sz="8" w:color="CCEEFF"/>
            </w:tcBorders>
          </w:tcPr>
          <w:p>
            <w:pPr>
              <w:spacing w:after="0"/>
              <w:rPr>
                <w:sz w:val="19"/>
                <w:szCs w:val="19"/>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(3,426,963)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1,666,934</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58,549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(46,532)</w:t>
            </w:r>
          </w:p>
        </w:tc>
        <w:tc>
          <w:tcPr>
            <w:tcW w:w="10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c>
          <w:tcPr>
            <w:tcW w:w="100" w:type="dxa"/>
            <w:vAlign w:val="bottom"/>
            <w:shd w:val="clear" w:color="auto" w:fill="CCEEFF"/>
          </w:tcPr>
          <w:p>
            <w:pPr>
              <w:spacing w:after="0"/>
              <w:rPr>
                <w:sz w:val="19"/>
                <w:szCs w:val="19"/>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(3,520,934)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3,909,786</w:t>
            </w:r>
          </w:p>
        </w:tc>
        <w:tc>
          <w:tcPr>
            <w:tcW w:w="100" w:type="dxa"/>
            <w:vAlign w:val="bottom"/>
            <w:shd w:val="clear" w:color="auto" w:fill="CCEEFF"/>
          </w:tcPr>
          <w:p>
            <w:pPr>
              <w:spacing w:after="0"/>
              <w:rPr>
                <w:sz w:val="19"/>
                <w:szCs w:val="19"/>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(3,562,629)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3,936,564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shd w:val="clear" w:color="auto" w:fill="CCEEFF"/>
          </w:tcPr>
          <w:p>
            <w:pPr>
              <w:spacing w:after="0" w:line="20" w:lineRule="exact"/>
              <w:rPr>
                <w:sz w:val="1"/>
                <w:szCs w:val="1"/>
                <w:color w:val="auto"/>
              </w:rPr>
            </w:pPr>
          </w:p>
        </w:tc>
      </w:tr>
      <w:tr>
        <w:trPr>
          <w:trHeight w:val="42"/>
        </w:trPr>
        <w:tc>
          <w:tcPr>
            <w:tcW w:w="5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shd w:val="clear" w:color="auto" w:fill="CCEEFF"/>
          </w:tcPr>
          <w:p>
            <w:pPr>
              <w:spacing w:after="0"/>
              <w:rPr>
                <w:sz w:val="3"/>
                <w:szCs w:val="3"/>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revenues by product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7"/>
              </w:rPr>
              <w:t>Six months ended June 30,</w:t>
            </w: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Kristalose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8,269,443</w:t>
            </w:r>
          </w:p>
        </w:tc>
        <w:tc>
          <w:tcPr>
            <w:tcW w:w="54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6,771,433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1,498,010</w:t>
            </w: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Vibativ</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6,897,179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5,721,708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1,175,471</w:t>
            </w: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Caldolor</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2,477,824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2,261,286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216,538</w:t>
            </w: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Vaprisol</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1,534,216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1,152,200</w:t>
            </w: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Acetadote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269,972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1,308,711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(1,038,739)</w:t>
            </w: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Omeclamox-Pak</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(598,742)</w:t>
            </w: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RediTrex</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(24,870)</w:t>
            </w: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643,249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1,359,386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(716,137)</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19,592,642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17,928,911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1,663,731</w:t>
            </w:r>
          </w:p>
        </w:tc>
      </w:tr>
      <w:tr>
        <w:trPr>
          <w:trHeight w:val="20"/>
        </w:trPr>
        <w:tc>
          <w:tcPr>
            <w:tcW w:w="5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for the six months ended June 30, 2021, were $19.6 million compared to $17.9 million for the six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As detailed in the table above, net revenue increased for our marketed products: Kristalose, Vibativ, Caldolor and Vaprisol during the first six months of 2021 resulting in an overall 9.3% revenue increase.</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Kristalose revenue was $8.3 million during the first six months of 2021, an increase of $1.5 million when compared with the prior year period. Revenue increased due to continued strong sales volume from our Foxland distributor and other wholesalers.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Vibativ revenue was $6.9 million for the six months ended June 30, 2021, an increase of $1.2 million over the same period last year. The 20.5% increase in net revenue was a result of improved sales volume for the product during the first quarter 2021.</w:t>
      </w:r>
    </w:p>
    <w:p>
      <w:pPr>
        <w:spacing w:after="0" w:line="6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Vaprisol revenue was $1.5 million for the first six months of 2021, which is an increase of net sales of $1.2 million compared to the first six months of 2020 primarily due to increased sales volumes which is the result of increased utilization in supporting patients impacted by COVID-19 infections.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Omeclamox-Pak had no sales for the six months ended June 30, 2021, as Cumberland is currently out of commercial inventory of this product. The packager for our Omeclamox-Pak product encountered financial difficulties and currently is under new management and a reorganization. We are in discussions about the resumption of packaging the product. Net revenue for the first two quarters of 2021 was negatively impacted by product returns during the period.</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Acetadote revenue includes net sales of our Acetadote brand and our share of net sales from our Authorized Generic. There was a decrease of $1.0 million in the product's year to date revenue for the six months ended June 30, 2021, when compared to the prior year period as a result of lower sales volumes for our Authorized Generic.</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Caldolor revenue was $2.5 million for the first two quarters of 2021, an increase of $0.2 million compared to the same period last year. Domestic shipments of the product increased in the second quarter of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products sold</w:t>
      </w:r>
      <w:r>
        <w:rPr>
          <w:rFonts w:ascii="Arial" w:cs="Arial" w:eastAsia="Arial" w:hAnsi="Arial"/>
          <w:sz w:val="18"/>
          <w:szCs w:val="18"/>
          <w:color w:val="auto"/>
        </w:rPr>
        <w:t>. Cost of products sold for the first six months of 2021 and 2020 were both $4.2 million remaining consistent.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 for the six months ended June 30, 2021, increased $0.3 million compared to the prior year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is primarily attributable to increases in royalty costs as well as an increase in salaries and dispensing fees. These increases were partially offset by decreases in direct sales promotion costs and travel expenses.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costs were $2.6 million for the first six months of 2021 compared to $3.1 million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last year. A portion of our research and development costs is variable based on the number of trials, study sites, cost of the per patient study protocol and patients involved in the development of our new product candidates. We continue to fund our ongoing clinical initiatives associated with our pipeline products. We experienced a decrease in study activity and salaries offset by an increase in our consulting fees.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for the six months ended June 30, 2021, remained consistent with $4.3 million from $4.2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six months ended June 30, 2020. Although we experienced increases in advisory, legal and professional fees, we also had a reduction in non-cash stock based compensation and other benefits during the period.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The</w:t>
            </w:r>
          </w:p>
        </w:tc>
        <w:tc>
          <w:tcPr>
            <w:tcW w:w="1160" w:type="dxa"/>
            <w:vAlign w:val="bottom"/>
          </w:tcPr>
          <w:p>
            <w:pPr>
              <w:ind w:left="140"/>
              <w:spacing w:after="0"/>
              <w:rPr>
                <w:sz w:val="20"/>
                <w:szCs w:val="20"/>
                <w:color w:val="auto"/>
              </w:rPr>
            </w:pPr>
            <w:r>
              <w:rPr>
                <w:rFonts w:ascii="Arial" w:cs="Arial" w:eastAsia="Arial" w:hAnsi="Arial"/>
                <w:sz w:val="18"/>
                <w:szCs w:val="18"/>
                <w:color w:val="auto"/>
              </w:rPr>
              <w:t>components</w:t>
            </w:r>
          </w:p>
        </w:tc>
        <w:tc>
          <w:tcPr>
            <w:tcW w:w="560" w:type="dxa"/>
            <w:vAlign w:val="bottom"/>
          </w:tcPr>
          <w:p>
            <w:pPr>
              <w:ind w:left="140"/>
              <w:spacing w:after="0"/>
              <w:rPr>
                <w:sz w:val="20"/>
                <w:szCs w:val="20"/>
                <w:color w:val="auto"/>
              </w:rPr>
            </w:pPr>
            <w:r>
              <w:rPr>
                <w:rFonts w:ascii="Arial" w:cs="Arial" w:eastAsia="Arial" w:hAnsi="Arial"/>
                <w:sz w:val="18"/>
                <w:szCs w:val="18"/>
                <w:color w:val="auto"/>
              </w:rPr>
              <w:t>of</w:t>
            </w:r>
          </w:p>
        </w:tc>
        <w:tc>
          <w:tcPr>
            <w:tcW w:w="380" w:type="dxa"/>
            <w:vAlign w:val="bottom"/>
          </w:tcPr>
          <w:p>
            <w:pPr>
              <w:ind w:left="20"/>
              <w:spacing w:after="0"/>
              <w:rPr>
                <w:sz w:val="20"/>
                <w:szCs w:val="20"/>
                <w:color w:val="auto"/>
              </w:rPr>
            </w:pPr>
            <w:r>
              <w:rPr>
                <w:rFonts w:ascii="Arial" w:cs="Arial" w:eastAsia="Arial" w:hAnsi="Arial"/>
                <w:sz w:val="18"/>
                <w:szCs w:val="18"/>
                <w:color w:val="auto"/>
              </w:rPr>
              <w:t>the</w:t>
            </w:r>
          </w:p>
        </w:tc>
        <w:tc>
          <w:tcPr>
            <w:tcW w:w="1060" w:type="dxa"/>
            <w:vAlign w:val="bottom"/>
          </w:tcPr>
          <w:p>
            <w:pPr>
              <w:ind w:left="140"/>
              <w:spacing w:after="0"/>
              <w:rPr>
                <w:sz w:val="20"/>
                <w:szCs w:val="20"/>
                <w:color w:val="auto"/>
              </w:rPr>
            </w:pPr>
            <w:r>
              <w:rPr>
                <w:rFonts w:ascii="Arial" w:cs="Arial" w:eastAsia="Arial" w:hAnsi="Arial"/>
                <w:sz w:val="18"/>
                <w:szCs w:val="18"/>
                <w:color w:val="auto"/>
              </w:rPr>
              <w:t>statements</w:t>
            </w:r>
          </w:p>
        </w:tc>
        <w:tc>
          <w:tcPr>
            <w:tcW w:w="440" w:type="dxa"/>
            <w:vAlign w:val="bottom"/>
          </w:tcPr>
          <w:p>
            <w:pPr>
              <w:ind w:left="140"/>
              <w:spacing w:after="0"/>
              <w:rPr>
                <w:sz w:val="20"/>
                <w:szCs w:val="20"/>
                <w:color w:val="auto"/>
              </w:rPr>
            </w:pPr>
            <w:r>
              <w:rPr>
                <w:rFonts w:ascii="Arial" w:cs="Arial" w:eastAsia="Arial" w:hAnsi="Arial"/>
                <w:sz w:val="18"/>
                <w:szCs w:val="18"/>
                <w:color w:val="auto"/>
              </w:rPr>
              <w:t>of</w:t>
            </w:r>
          </w:p>
        </w:tc>
        <w:tc>
          <w:tcPr>
            <w:tcW w:w="10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960" w:type="dxa"/>
            <w:vAlign w:val="bottom"/>
          </w:tcPr>
          <w:p>
            <w:pPr>
              <w:ind w:left="140"/>
              <w:spacing w:after="0"/>
              <w:rPr>
                <w:sz w:val="20"/>
                <w:szCs w:val="20"/>
                <w:color w:val="auto"/>
              </w:rPr>
            </w:pPr>
            <w:r>
              <w:rPr>
                <w:rFonts w:ascii="Arial" w:cs="Arial" w:eastAsia="Arial" w:hAnsi="Arial"/>
                <w:sz w:val="18"/>
                <w:szCs w:val="18"/>
                <w:color w:val="auto"/>
                <w:w w:val="99"/>
              </w:rPr>
              <w:t>discussed</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above</w:t>
            </w:r>
          </w:p>
        </w:tc>
        <w:tc>
          <w:tcPr>
            <w:tcW w:w="640" w:type="dxa"/>
            <w:vAlign w:val="bottom"/>
          </w:tcPr>
          <w:p>
            <w:pPr>
              <w:ind w:left="140"/>
              <w:spacing w:after="0"/>
              <w:rPr>
                <w:sz w:val="20"/>
                <w:szCs w:val="20"/>
                <w:color w:val="auto"/>
              </w:rPr>
            </w:pPr>
            <w:r>
              <w:rPr>
                <w:rFonts w:ascii="Arial" w:cs="Arial" w:eastAsia="Arial" w:hAnsi="Arial"/>
                <w:sz w:val="18"/>
                <w:szCs w:val="18"/>
                <w:color w:val="auto"/>
                <w:w w:val="97"/>
              </w:rPr>
              <w:t>reflect</w:t>
            </w:r>
          </w:p>
        </w:tc>
        <w:tc>
          <w:tcPr>
            <w:tcW w:w="500" w:type="dxa"/>
            <w:vAlign w:val="bottom"/>
          </w:tcPr>
          <w:p>
            <w:pPr>
              <w:jc w:val="right"/>
              <w:spacing w:after="0"/>
              <w:rPr>
                <w:sz w:val="20"/>
                <w:szCs w:val="20"/>
                <w:color w:val="auto"/>
              </w:rPr>
            </w:pPr>
            <w:r>
              <w:rPr>
                <w:rFonts w:ascii="Arial" w:cs="Arial" w:eastAsia="Arial" w:hAnsi="Arial"/>
                <w:sz w:val="18"/>
                <w:szCs w:val="18"/>
                <w:color w:val="auto"/>
              </w:rPr>
              <w:t>the</w:t>
            </w:r>
          </w:p>
        </w:tc>
        <w:tc>
          <w:tcPr>
            <w:tcW w:w="1140" w:type="dxa"/>
            <w:vAlign w:val="bottom"/>
            <w:gridSpan w:val="3"/>
          </w:tcPr>
          <w:p>
            <w:pPr>
              <w:jc w:val="right"/>
              <w:ind w:right="90"/>
              <w:spacing w:after="0"/>
              <w:rPr>
                <w:sz w:val="20"/>
                <w:szCs w:val="20"/>
                <w:color w:val="auto"/>
              </w:rPr>
            </w:pPr>
            <w:r>
              <w:rPr>
                <w:rFonts w:ascii="Arial" w:cs="Arial" w:eastAsia="Arial" w:hAnsi="Arial"/>
                <w:sz w:val="18"/>
                <w:szCs w:val="18"/>
                <w:color w:val="auto"/>
              </w:rPr>
              <w:t>following</w:t>
            </w:r>
          </w:p>
        </w:tc>
        <w:tc>
          <w:tcPr>
            <w:tcW w:w="680" w:type="dxa"/>
            <w:vAlign w:val="bottom"/>
          </w:tcPr>
          <w:p>
            <w:pPr>
              <w:ind w:left="100"/>
              <w:spacing w:after="0"/>
              <w:rPr>
                <w:sz w:val="20"/>
                <w:szCs w:val="20"/>
                <w:color w:val="auto"/>
              </w:rPr>
            </w:pPr>
            <w:r>
              <w:rPr>
                <w:rFonts w:ascii="Arial" w:cs="Arial" w:eastAsia="Arial" w:hAnsi="Arial"/>
                <w:sz w:val="18"/>
                <w:szCs w:val="18"/>
                <w:color w:val="auto"/>
                <w:w w:val="90"/>
              </w:rPr>
              <w:t>impacts</w:t>
            </w:r>
          </w:p>
        </w:tc>
        <w:tc>
          <w:tcPr>
            <w:tcW w:w="620" w:type="dxa"/>
            <w:vAlign w:val="bottom"/>
          </w:tcPr>
          <w:p>
            <w:pPr>
              <w:jc w:val="right"/>
              <w:spacing w:after="0"/>
              <w:rPr>
                <w:sz w:val="20"/>
                <w:szCs w:val="20"/>
                <w:color w:val="auto"/>
              </w:rPr>
            </w:pPr>
            <w:r>
              <w:rPr>
                <w:rFonts w:ascii="Arial" w:cs="Arial" w:eastAsia="Arial" w:hAnsi="Arial"/>
                <w:sz w:val="18"/>
                <w:szCs w:val="18"/>
                <w:color w:val="auto"/>
              </w:rPr>
              <w:t>from</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w w:val="94"/>
              </w:rPr>
              <w:t>Vibativ:</w:t>
            </w:r>
          </w:p>
        </w:tc>
      </w:tr>
      <w:tr>
        <w:trPr>
          <w:trHeight w:val="256"/>
        </w:trPr>
        <w:tc>
          <w:tcPr>
            <w:tcW w:w="216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Financial Impact of Vibativ</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6"/>
          </w:tcPr>
          <w:p>
            <w:pPr>
              <w:jc w:val="right"/>
              <w:ind w:right="470"/>
              <w:spacing w:after="0"/>
              <w:rPr>
                <w:sz w:val="20"/>
                <w:szCs w:val="20"/>
                <w:color w:val="auto"/>
              </w:rPr>
            </w:pPr>
            <w:r>
              <w:rPr>
                <w:rFonts w:ascii="Arial" w:cs="Arial" w:eastAsia="Arial" w:hAnsi="Arial"/>
                <w:sz w:val="18"/>
                <w:szCs w:val="18"/>
                <w:b w:val="1"/>
                <w:bCs w:val="1"/>
                <w:color w:val="auto"/>
              </w:rPr>
              <w:t>Six months ended June 30,</w:t>
            </w:r>
          </w:p>
        </w:tc>
        <w:tc>
          <w:tcPr>
            <w:tcW w:w="6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23"/>
        </w:trPr>
        <w:tc>
          <w:tcPr>
            <w:tcW w:w="4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2021</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2020</w:t>
            </w: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6,897,179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5,721,708</w:t>
            </w:r>
          </w:p>
        </w:tc>
        <w:tc>
          <w:tcPr>
            <w:tcW w:w="220" w:type="dxa"/>
            <w:vAlign w:val="bottom"/>
          </w:tcPr>
          <w:p>
            <w:pPr>
              <w:spacing w:after="0"/>
              <w:rPr>
                <w:sz w:val="19"/>
                <w:szCs w:val="19"/>
                <w:color w:val="auto"/>
              </w:rPr>
            </w:pPr>
          </w:p>
        </w:tc>
      </w:tr>
      <w:tr>
        <w:trPr>
          <w:trHeight w:val="229"/>
        </w:trPr>
        <w:tc>
          <w:tcPr>
            <w:tcW w:w="216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2,134,962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1,820,745</w:t>
            </w:r>
          </w:p>
        </w:tc>
        <w:tc>
          <w:tcPr>
            <w:tcW w:w="220" w:type="dxa"/>
            <w:vAlign w:val="bottom"/>
          </w:tcPr>
          <w:p>
            <w:pPr>
              <w:spacing w:after="0"/>
              <w:rPr>
                <w:sz w:val="19"/>
                <w:szCs w:val="19"/>
                <w:color w:val="auto"/>
              </w:rPr>
            </w:pPr>
          </w:p>
        </w:tc>
      </w:tr>
      <w:tr>
        <w:trPr>
          <w:trHeight w:val="230"/>
        </w:trPr>
        <w:tc>
          <w:tcPr>
            <w:tcW w:w="2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7"/>
              </w:rPr>
              <w:t>Royalty and operating expenses</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1,170,165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753,177</w:t>
            </w:r>
          </w:p>
        </w:tc>
        <w:tc>
          <w:tcPr>
            <w:tcW w:w="220" w:type="dxa"/>
            <w:vAlign w:val="bottom"/>
          </w:tcPr>
          <w:p>
            <w:pPr>
              <w:spacing w:after="0"/>
              <w:rPr>
                <w:sz w:val="19"/>
                <w:szCs w:val="19"/>
                <w:color w:val="auto"/>
              </w:rPr>
            </w:pPr>
          </w:p>
        </w:tc>
      </w:tr>
      <w:tr>
        <w:trPr>
          <w:trHeight w:val="223"/>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Vibativ contribution</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3,592,052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3,147,786</w:t>
            </w:r>
          </w:p>
        </w:tc>
        <w:tc>
          <w:tcPr>
            <w:tcW w:w="220" w:type="dxa"/>
            <w:vAlign w:val="bottom"/>
          </w:tcPr>
          <w:p>
            <w:pPr>
              <w:spacing w:after="0"/>
              <w:rPr>
                <w:sz w:val="19"/>
                <w:szCs w:val="19"/>
                <w:color w:val="auto"/>
              </w:rPr>
            </w:pPr>
          </w:p>
        </w:tc>
      </w:tr>
      <w:tr>
        <w:trPr>
          <w:trHeight w:val="21"/>
        </w:trPr>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59"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 Vibativ inventory included in the costs of product sold during the period was acquired and paid for by Cumberland as part of the acquisition of the brand during 2018.</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Amortization. </w:t>
      </w:r>
      <w:r>
        <w:rPr>
          <w:rFonts w:ascii="Arial" w:cs="Arial" w:eastAsia="Arial" w:hAnsi="Arial"/>
          <w:sz w:val="18"/>
          <w:szCs w:val="18"/>
          <w:color w:val="auto"/>
        </w:rPr>
        <w:t>Amortization expense is the ratable use of our capitalized intangible assets including product and license rights, patents, trademarks and</w:t>
      </w:r>
      <w:r>
        <w:rPr>
          <w:rFonts w:ascii="Arial" w:cs="Arial" w:eastAsia="Arial" w:hAnsi="Arial"/>
          <w:sz w:val="18"/>
          <w:szCs w:val="18"/>
          <w:i w:val="1"/>
          <w:iCs w:val="1"/>
          <w:color w:val="auto"/>
        </w:rPr>
        <w:t xml:space="preserve"> </w:t>
      </w:r>
      <w:r>
        <w:rPr>
          <w:rFonts w:ascii="Arial" w:cs="Arial" w:eastAsia="Arial" w:hAnsi="Arial"/>
          <w:sz w:val="18"/>
          <w:szCs w:val="18"/>
          <w:color w:val="auto"/>
        </w:rPr>
        <w:t>patent defense costs. Amortization for the six months ended June 30, 2021, and six months ended June 30, 2020, totaled approximately $2.3 million and $2.2 million, respectively.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expense (benefit) for the six months ended June 30, 2021, as a percentage of income (loss) from continuing operations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was (3.8)% compared to (1.2)% for the six months ended June 30, 2020.</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sources of liquidity are cash equivalents, cash flows from operations and the amounts borrowed and available under our line of credit.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liquidity and working capital as of June 30, 2021 and December 31, 2020: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2021</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2020</w:t>
            </w:r>
          </w:p>
        </w:tc>
      </w:tr>
      <w:tr>
        <w:trPr>
          <w:trHeight w:val="101"/>
        </w:trPr>
        <w:tc>
          <w:tcPr>
            <w:tcW w:w="66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960" w:type="dxa"/>
            <w:vAlign w:val="bottom"/>
            <w:tcBorders>
              <w:top w:val="single" w:sz="8" w:color="auto"/>
            </w:tcBorders>
          </w:tcPr>
          <w:p>
            <w:pPr>
              <w:spacing w:after="0"/>
              <w:rPr>
                <w:sz w:val="8"/>
                <w:szCs w:val="8"/>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25,670,462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24,753,796</w:t>
            </w:r>
          </w:p>
        </w:tc>
      </w:tr>
      <w:tr>
        <w:trPr>
          <w:trHeight w:val="209"/>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 (current assets less current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28,033,715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24,302,146</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Current ratio (multiple of current assets to current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Revolving line of credit availability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changes in cash and cash equivalents for the six months ended June 30, 2021 and June 30, 2020: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6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Six months ended June 30,</w:t>
            </w:r>
          </w:p>
        </w:tc>
        <w:tc>
          <w:tcPr>
            <w:tcW w:w="90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spacing w:after="0"/>
              <w:rPr>
                <w:sz w:val="19"/>
                <w:szCs w:val="19"/>
                <w:color w:val="auto"/>
              </w:rPr>
            </w:pPr>
          </w:p>
        </w:tc>
      </w:tr>
      <w:tr>
        <w:trPr>
          <w:trHeight w:val="88"/>
        </w:trPr>
        <w:tc>
          <w:tcPr>
            <w:tcW w:w="66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4,484,770</w:t>
            </w:r>
          </w:p>
        </w:tc>
        <w:tc>
          <w:tcPr>
            <w:tcW w:w="120" w:type="dxa"/>
            <w:vAlign w:val="bottom"/>
          </w:tcPr>
          <w:p>
            <w:pPr>
              <w:spacing w:after="0"/>
              <w:rPr>
                <w:sz w:val="19"/>
                <w:szCs w:val="19"/>
                <w:color w:val="auto"/>
              </w:rPr>
            </w:pP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3,704,071</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(366,854)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(773,014)</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(3,201,250)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(3,769,955)</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916,666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(838,898)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net $0.9 million increase in cash and cash equivalents for the six months ended June 30, 2021, was primarily attributable to cash provided by operating activities, partially offset by cash used in investing and financing activities. Cash provided by operating activities of $4.5 million was positively impacted by decreases in inventory of $2.3 million and accounts receivable of $3.2 million, as well as the add back of non-cash expenses of depreciation, amortization and share-based compensation expense totaling $2.8 million. Operating activities were also offset by the decrease in accounts payable of $3.0 million and the forgiveness of our PPP Loan of $2.2 million. Cash used in investing activities was the result of additions to intangibles of $0.1 million and the payment of $0.2 million to the WHC JV. Our financing activities included the $0.8 million in cash used to repurchase shares of our common stock as well as the $1.4 million used for the payment of royalties to Theravance for sales of Vibativ.</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net $0.8 million decrease in cash and cash equivalents for the six months ended June 30, 2020, was primarily attributable to cash used in investing and financing activities. Cash provided by operating activities of $3.7 million was positively impacted by decreases in inventory of $1.2 million, as well as the add back of non-cash expenses of depreciation, amortization and share-based compensation expense totaling $2.9 million. Cash used in investing activities was the result of additions to intangibles of $0.7 million and equipment of $0.1 million. Our financing activities included the net repayment of $1.5 million on our revolving line of credit, the $1.2 million in cash used to repurchase shares of our common stock as well as the $0.8 million used for the repurchase of subsidiary shares.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8" w:name="page29"/>
    <w:bookmarkEnd w:id="28"/>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Agreement</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7, 2020, we entered into a Fourth Amendment (“Fourth Amendment”) to the Revolving Credit Loan Agreement, dated July 28, 2017, with Pinnacle Bank (the “Pinnacle Agreement”). The Fourth Amendment extends the maturity date of the Pinnacle Agreement through October 1, 2022 and provides for a principal available for borrowing of up to $15 million. We also have the ability to request an increase of up to an additional $5 million, upon the satisfaction of certain conditions and approval by Pinnacle Bank. If fully expanded, the Fourth Amendment would provide a maximum principal available for borrowing of up to $20 million. On May 10, 2019, we entered into a third amendment ("Third Amendment") to the Pinnacle Agreement. The Third Amendment extended the term of the Pinnacle Agreement through July 31, 2021, as well as modified certain definitions and terms of the existing financial covenants. For a summary of the material terms of the Pinnacle Agreement, as amended, see Note 6 to the accompanying unaudited condensed consolidated financial statements.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Pinnacle Agreement, we were initially subject to one financial covenant, the maintenance of a Funded Debt Ratio. On August 14, 2018, we amended the Pinnacle Agreement ("First Amendment") to replace the single financial covenant with the maintenance of either the Funded Debt Ratio or a Tangible Capital Ratio, as defined in the First Amendment. The Third Amendment modified the definition of the Funded Debt Ratio and the compliance target of the Tangible Capital Ratio. Both Third Amendment modifications were related to the Vibativ transaction. We were in compliance with the Tangible Capital Ratio financial covenant as of June 30, 2021. We expect to maintain compliance with the Tangible Capital Ratio financial covenant in future periods.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Paycheck Protection Program Loan</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 For a summary of the material terms of the Paycheck Protection Program loan, see Note 6 to the accompanying unaudited condensed consolidated financial statements.</w:t>
      </w:r>
    </w:p>
    <w:p>
      <w:pPr>
        <w:spacing w:after="0" w:line="79" w:lineRule="exact"/>
        <w:rPr>
          <w:sz w:val="20"/>
          <w:szCs w:val="20"/>
          <w:color w:val="auto"/>
        </w:rPr>
      </w:pPr>
    </w:p>
    <w:p>
      <w:pPr>
        <w:jc w:val="both"/>
        <w:ind w:right="40"/>
        <w:spacing w:after="0" w:line="294" w:lineRule="auto"/>
        <w:rPr>
          <w:sz w:val="20"/>
          <w:szCs w:val="20"/>
          <w:color w:val="auto"/>
        </w:rPr>
      </w:pPr>
      <w:r>
        <w:rPr>
          <w:rFonts w:ascii="Arial" w:cs="Arial" w:eastAsia="Arial" w:hAnsi="Arial"/>
          <w:sz w:val="17"/>
          <w:szCs w:val="17"/>
          <w:color w:val="auto"/>
        </w:rPr>
        <w:t>Under the terms of the PPP, certain amounts of the loan may be forgiven if they are used for qualifying expenses as described in the CARES Act, including qualifying payroll costs, covered rent payments, and covered utilities. Cumberland used the PPP loan funds for such qualifying expenses. Due to assistance from our PPP loan, the Company did not lay off or furlough any employees as a result of the COVID-19 pandemic.</w:t>
      </w:r>
    </w:p>
    <w:p>
      <w:pPr>
        <w:spacing w:after="0" w:line="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October 2020, Cumberland submitted a request for the loan’s forgiveness. On June 11, 2021, the Company received a formal notice from the SBA that the full amount of the loan was forgiven.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and 2020, we did not engage in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at June 30, 2021.</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risk related to borrowings under our line of credit is based on LIBOR plus an interest rate spread. The pricing under the Fourth Amendment of the Pinnacle Agreement provides for an interest rate spread of 1.75% to 2.75% above LIBOR with a minimum LIBOR of 0.90%. The applicable interest rate under the Pinnacle Agreement was 3.65% at June 30, 2021. As of June 30, 2021, we had $14.0 million in borrowings outstanding under our revolving credit facility.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six months ended June 30, 2021 and 2020. Neither a five percent increase nor decrease from current exchange rates would have a material effect on our operating results or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on Form 10-Q. Based on such evaluation, the Company’s Chief Executive Officer and Chief Financial Officer have concluded that, as of the end of such period, the Company’s disclosure controls and procedures were effective to provide reasonable assurance that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Chief Executive Officer and Chief Financial Officer, as appropriate to allow timely decisions regarding required disclosure.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June 30, 2021, there has not been any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the other information set forth in this quarterly report, an investor should consider the risk factors included in the Company's Annual Report on Form 10-K for the year ended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by month, during the three months ended June 30, 2021:</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jc w:val="center"/>
              <w:ind w:right="223"/>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23"/>
              <w:spacing w:after="0" w:line="135"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23"/>
              <w:spacing w:after="0" w:line="135"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1"/>
                <w:szCs w:val="11"/>
                <w:color w:val="auto"/>
              </w:rPr>
            </w:pPr>
          </w:p>
        </w:tc>
        <w:tc>
          <w:tcPr>
            <w:tcW w:w="1880" w:type="dxa"/>
            <w:vAlign w:val="bottom"/>
          </w:tcPr>
          <w:p>
            <w:pPr>
              <w:jc w:val="center"/>
              <w:ind w:right="203"/>
              <w:spacing w:after="0" w:line="135" w:lineRule="exact"/>
              <w:rPr>
                <w:sz w:val="20"/>
                <w:szCs w:val="20"/>
                <w:color w:val="auto"/>
              </w:rPr>
            </w:pPr>
            <w:r>
              <w:rPr>
                <w:rFonts w:ascii="Arial" w:cs="Arial" w:eastAsia="Arial" w:hAnsi="Arial"/>
                <w:sz w:val="14"/>
                <w:szCs w:val="14"/>
                <w:b w:val="1"/>
                <w:bCs w:val="1"/>
                <w:color w:val="auto"/>
                <w:w w:val="92"/>
              </w:rPr>
              <w:t>Shares (or Units)</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or Units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23"/>
              <w:spacing w:after="0" w:line="135"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which were also Part</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4"/>
              </w:rPr>
              <w:t>Price Paid</w:t>
            </w:r>
          </w:p>
        </w:tc>
        <w:tc>
          <w:tcPr>
            <w:tcW w:w="300" w:type="dxa"/>
            <w:vAlign w:val="bottom"/>
          </w:tcPr>
          <w:p>
            <w:pPr>
              <w:spacing w:after="0"/>
              <w:rPr>
                <w:sz w:val="11"/>
                <w:szCs w:val="11"/>
                <w:color w:val="auto"/>
              </w:rPr>
            </w:pPr>
          </w:p>
        </w:tc>
        <w:tc>
          <w:tcPr>
            <w:tcW w:w="1880" w:type="dxa"/>
            <w:vAlign w:val="bottom"/>
          </w:tcPr>
          <w:p>
            <w:pPr>
              <w:jc w:val="center"/>
              <w:ind w:right="223"/>
              <w:spacing w:after="0" w:line="135"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35"/>
        </w:trPr>
        <w:tc>
          <w:tcPr>
            <w:tcW w:w="4280" w:type="dxa"/>
            <w:vAlign w:val="bottom"/>
            <w:vMerge w:val="restart"/>
          </w:tcPr>
          <w:p>
            <w:pPr>
              <w:ind w:left="20"/>
              <w:spacing w:after="0"/>
              <w:rPr>
                <w:sz w:val="20"/>
                <w:szCs w:val="20"/>
                <w:color w:val="auto"/>
              </w:rPr>
            </w:pPr>
            <w:r>
              <w:rPr>
                <w:rFonts w:ascii="Arial" w:cs="Arial" w:eastAsia="Arial" w:hAnsi="Arial"/>
                <w:sz w:val="18"/>
                <w:szCs w:val="18"/>
                <w:color w:val="auto"/>
              </w:rPr>
              <w:t>Period</w:t>
            </w: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of the Publicly Announced Plans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2"/>
              </w:rPr>
              <w:t>per Share</w:t>
            </w:r>
          </w:p>
        </w:tc>
        <w:tc>
          <w:tcPr>
            <w:tcW w:w="300" w:type="dxa"/>
            <w:vAlign w:val="bottom"/>
          </w:tcPr>
          <w:p>
            <w:pPr>
              <w:spacing w:after="0"/>
              <w:rPr>
                <w:sz w:val="11"/>
                <w:szCs w:val="11"/>
                <w:color w:val="auto"/>
              </w:rPr>
            </w:pPr>
          </w:p>
        </w:tc>
        <w:tc>
          <w:tcPr>
            <w:tcW w:w="1880" w:type="dxa"/>
            <w:vAlign w:val="bottom"/>
          </w:tcPr>
          <w:p>
            <w:pPr>
              <w:jc w:val="center"/>
              <w:ind w:right="223"/>
              <w:spacing w:after="0" w:line="135"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89"/>
        </w:trPr>
        <w:tc>
          <w:tcPr>
            <w:tcW w:w="4280" w:type="dxa"/>
            <w:vAlign w:val="bottom"/>
            <w:vMerge w:val="continue"/>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(or Unit)</w:t>
            </w:r>
          </w:p>
        </w:tc>
        <w:tc>
          <w:tcPr>
            <w:tcW w:w="300" w:type="dxa"/>
            <w:vAlign w:val="bottom"/>
          </w:tcPr>
          <w:p>
            <w:pPr>
              <w:spacing w:after="0"/>
              <w:rPr>
                <w:sz w:val="16"/>
                <w:szCs w:val="16"/>
                <w:color w:val="auto"/>
              </w:rPr>
            </w:pPr>
          </w:p>
        </w:tc>
        <w:tc>
          <w:tcPr>
            <w:tcW w:w="1880" w:type="dxa"/>
            <w:vAlign w:val="bottom"/>
          </w:tcPr>
          <w:p>
            <w:pPr>
              <w:jc w:val="right"/>
              <w:ind w:right="563"/>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25,977</w:t>
            </w:r>
          </w:p>
        </w:tc>
        <w:tc>
          <w:tcPr>
            <w:tcW w:w="4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5,808,276</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May</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38,459</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5,698,887</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w:t>
            </w:r>
          </w:p>
        </w:tc>
        <w:tc>
          <w:tcPr>
            <w:tcW w:w="2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93,969</w:t>
            </w:r>
          </w:p>
        </w:tc>
        <w:tc>
          <w:tcPr>
            <w:tcW w:w="42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w w:val="95"/>
              </w:rPr>
              <w:t>(1)</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5,402,064</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158,405</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540" w:right="1100" w:hanging="5532"/>
        <w:spacing w:after="0" w:line="966" w:lineRule="auto"/>
        <w:tabs>
          <w:tab w:leader="none" w:pos="195"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Of this amount, 66,321 shares were repurchased directly through private purchases at the then-current fair market value of common stock.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-429260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4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26"/>
        </w:trPr>
        <w:tc>
          <w:tcPr>
            <w:tcW w:w="1380" w:type="dxa"/>
            <w:vAlign w:val="bottom"/>
          </w:tcPr>
          <w:p>
            <w:pPr>
              <w:ind w:left="20"/>
              <w:spacing w:after="0"/>
              <w:rPr>
                <w:sz w:val="20"/>
                <w:szCs w:val="20"/>
                <w:color w:val="auto"/>
              </w:rPr>
            </w:pPr>
            <w:r>
              <w:rPr>
                <w:rFonts w:ascii="Arial" w:cs="Arial" w:eastAsia="Arial" w:hAnsi="Arial"/>
                <w:sz w:val="18"/>
                <w:szCs w:val="18"/>
                <w:color w:val="auto"/>
              </w:rPr>
              <w:t>No.</w:t>
            </w:r>
          </w:p>
        </w:tc>
        <w:tc>
          <w:tcPr>
            <w:tcW w:w="8100" w:type="dxa"/>
            <w:vAlign w:val="bottom"/>
            <w:gridSpan w:val="8"/>
          </w:tcPr>
          <w:p>
            <w:pPr>
              <w:spacing w:after="0"/>
              <w:rPr>
                <w:sz w:val="20"/>
                <w:szCs w:val="20"/>
                <w:color w:val="auto"/>
              </w:rPr>
            </w:pPr>
            <w:r>
              <w:rPr>
                <w:rFonts w:ascii="Arial" w:cs="Arial" w:eastAsia="Arial" w:hAnsi="Arial"/>
                <w:sz w:val="18"/>
                <w:szCs w:val="18"/>
                <w:color w:val="auto"/>
              </w:rPr>
              <w:t>Description</w:t>
            </w:r>
          </w:p>
        </w:tc>
      </w:tr>
      <w:tr>
        <w:trPr>
          <w:trHeight w:val="418"/>
        </w:trPr>
        <w:tc>
          <w:tcPr>
            <w:tcW w:w="1380" w:type="dxa"/>
            <w:vAlign w:val="bottom"/>
          </w:tcPr>
          <w:p>
            <w:pPr>
              <w:ind w:left="20"/>
              <w:spacing w:after="0"/>
              <w:rPr>
                <w:sz w:val="20"/>
                <w:szCs w:val="20"/>
                <w:color w:val="auto"/>
              </w:rPr>
            </w:pPr>
            <w:r>
              <w:rPr>
                <w:rFonts w:ascii="Arial" w:cs="Arial" w:eastAsia="Arial" w:hAnsi="Arial"/>
                <w:sz w:val="18"/>
                <w:szCs w:val="18"/>
                <w:color w:val="auto"/>
              </w:rPr>
              <w:t>10.1</w:t>
            </w:r>
          </w:p>
        </w:tc>
        <w:tc>
          <w:tcPr>
            <w:tcW w:w="8100" w:type="dxa"/>
            <w:vAlign w:val="bottom"/>
            <w:gridSpan w:val="8"/>
          </w:tcPr>
          <w:p>
            <w:pPr>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Employment Agreement, dated May 14, 2021, effective as of May 17, 2021, by and between John Hamm and</w:t>
              </w:r>
            </w:hyperlink>
          </w:p>
        </w:tc>
      </w:tr>
      <w:tr>
        <w:trPr>
          <w:trHeight w:val="155"/>
        </w:trPr>
        <w:tc>
          <w:tcPr>
            <w:tcW w:w="138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Cumberland Pharmaceuticals Inc., incorporated herein by reference to Exhibit 10.16 of the Registrant’s Current</w:t>
              </w:r>
            </w:hyperlink>
          </w:p>
        </w:tc>
        <w:tc>
          <w:tcPr>
            <w:tcW w:w="1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8040" w:type="dxa"/>
            <w:vAlign w:val="bottom"/>
            <w:gridSpan w:val="7"/>
          </w:tcPr>
          <w:p>
            <w:pPr>
              <w:spacing w:after="0" w:line="156" w:lineRule="exact"/>
              <w:rPr>
                <w:rFonts w:ascii="Arial" w:cs="Arial" w:eastAsia="Arial" w:hAnsi="Arial"/>
                <w:sz w:val="18"/>
                <w:szCs w:val="18"/>
                <w:color w:val="0000FF"/>
              </w:rPr>
            </w:pPr>
            <w:hyperlink r:id="rId41">
              <w:r>
                <w:rPr>
                  <w:rFonts w:ascii="Arial" w:cs="Arial" w:eastAsia="Arial" w:hAnsi="Arial"/>
                  <w:sz w:val="18"/>
                  <w:szCs w:val="18"/>
                  <w:color w:val="0000FF"/>
                </w:rPr>
                <w:t>Report on Form 8-K (File No. 001-33637) as filed with the SEC on May 14, 2021</w:t>
              </w:r>
              <w:r>
                <w:rPr>
                  <w:rFonts w:ascii="Arial" w:cs="Arial" w:eastAsia="Arial" w:hAnsi="Arial"/>
                  <w:sz w:val="18"/>
                  <w:szCs w:val="18"/>
                  <w:color w:val="000000"/>
                </w:rPr>
                <w:t>.</w:t>
              </w:r>
            </w:hyperlink>
          </w:p>
        </w:tc>
        <w:tc>
          <w:tcPr>
            <w:tcW w:w="6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466"/>
        </w:trPr>
        <w:tc>
          <w:tcPr>
            <w:tcW w:w="1380" w:type="dxa"/>
            <w:vAlign w:val="bottom"/>
          </w:tcPr>
          <w:p>
            <w:pPr>
              <w:ind w:left="20"/>
              <w:spacing w:after="0"/>
              <w:rPr>
                <w:sz w:val="20"/>
                <w:szCs w:val="20"/>
                <w:color w:val="auto"/>
              </w:rPr>
            </w:pPr>
            <w:r>
              <w:rPr>
                <w:rFonts w:ascii="Arial" w:cs="Arial" w:eastAsia="Arial" w:hAnsi="Arial"/>
                <w:sz w:val="18"/>
                <w:szCs w:val="18"/>
                <w:color w:val="auto"/>
              </w:rPr>
              <w:t>31.1*</w:t>
            </w:r>
          </w:p>
        </w:tc>
        <w:tc>
          <w:tcPr>
            <w:tcW w:w="8100" w:type="dxa"/>
            <w:vAlign w:val="bottom"/>
            <w:gridSpan w:val="8"/>
          </w:tcPr>
          <w:p>
            <w:pPr>
              <w:spacing w:after="0"/>
              <w:rPr>
                <w:rFonts w:ascii="Arial" w:cs="Arial" w:eastAsia="Arial" w:hAnsi="Arial"/>
                <w:sz w:val="18"/>
                <w:szCs w:val="18"/>
                <w:color w:val="0000FF"/>
                <w:w w:val="94"/>
              </w:rPr>
            </w:pPr>
            <w:hyperlink w:anchor="page34">
              <w:r>
                <w:rPr>
                  <w:rFonts w:ascii="Arial" w:cs="Arial" w:eastAsia="Arial" w:hAnsi="Arial"/>
                  <w:sz w:val="18"/>
                  <w:szCs w:val="18"/>
                  <w:color w:val="0000FF"/>
                  <w:w w:val="94"/>
                </w:rPr>
                <w:t>Certification of Chief Executive Officer Pursuant to Rule 13-14(a) of the Securities Exchange Act of 1934 as</w:t>
              </w:r>
            </w:hyperlink>
          </w:p>
        </w:tc>
      </w:tr>
      <w:tr>
        <w:trPr>
          <w:trHeight w:val="155"/>
        </w:trPr>
        <w:tc>
          <w:tcPr>
            <w:tcW w:w="138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34">
              <w:r>
                <w:rPr>
                  <w:rFonts w:ascii="Arial" w:cs="Arial" w:eastAsia="Arial" w:hAnsi="Arial"/>
                  <w:sz w:val="18"/>
                  <w:szCs w:val="18"/>
                  <w:color w:val="0000FF"/>
                  <w:w w:val="90"/>
                </w:rPr>
                <w:t>Adopted Pursuant to Section 302 of the Sarbanes-Oxley Act of 2002.</w:t>
              </w:r>
            </w:hyperlink>
          </w:p>
        </w:tc>
        <w:tc>
          <w:tcPr>
            <w:tcW w:w="2860" w:type="dxa"/>
            <w:vAlign w:val="bottom"/>
            <w:tcBorders>
              <w:top w:val="single" w:sz="8" w:color="0000FF"/>
            </w:tcBorders>
            <w:gridSpan w:val="3"/>
          </w:tcPr>
          <w:p>
            <w:pPr>
              <w:spacing w:after="0"/>
              <w:rPr>
                <w:sz w:val="13"/>
                <w:szCs w:val="13"/>
                <w:color w:val="auto"/>
              </w:rPr>
            </w:pPr>
          </w:p>
        </w:tc>
        <w:tc>
          <w:tcPr>
            <w:tcW w:w="240" w:type="dxa"/>
            <w:vAlign w:val="bottom"/>
            <w:gridSpan w:val="3"/>
          </w:tcPr>
          <w:p>
            <w:pPr>
              <w:spacing w:after="0"/>
              <w:rPr>
                <w:sz w:val="13"/>
                <w:szCs w:val="13"/>
                <w:color w:val="auto"/>
              </w:rPr>
            </w:pPr>
          </w:p>
        </w:tc>
      </w:tr>
      <w:tr>
        <w:trPr>
          <w:trHeight w:val="439"/>
        </w:trPr>
        <w:tc>
          <w:tcPr>
            <w:tcW w:w="1380" w:type="dxa"/>
            <w:vAlign w:val="bottom"/>
          </w:tcPr>
          <w:p>
            <w:pPr>
              <w:ind w:left="20"/>
              <w:spacing w:after="0"/>
              <w:rPr>
                <w:sz w:val="20"/>
                <w:szCs w:val="20"/>
                <w:color w:val="auto"/>
              </w:rPr>
            </w:pPr>
            <w:r>
              <w:rPr>
                <w:rFonts w:ascii="Arial" w:cs="Arial" w:eastAsia="Arial" w:hAnsi="Arial"/>
                <w:sz w:val="18"/>
                <w:szCs w:val="18"/>
                <w:color w:val="auto"/>
              </w:rPr>
              <w:t>31.2*</w:t>
            </w:r>
          </w:p>
        </w:tc>
        <w:tc>
          <w:tcPr>
            <w:tcW w:w="8100" w:type="dxa"/>
            <w:vAlign w:val="bottom"/>
            <w:gridSpan w:val="8"/>
          </w:tcPr>
          <w:p>
            <w:pPr>
              <w:spacing w:after="0"/>
              <w:rPr>
                <w:rFonts w:ascii="Arial" w:cs="Arial" w:eastAsia="Arial" w:hAnsi="Arial"/>
                <w:sz w:val="18"/>
                <w:szCs w:val="18"/>
                <w:color w:val="0000FF"/>
                <w:w w:val="95"/>
              </w:rPr>
            </w:pPr>
            <w:hyperlink w:anchor="page35">
              <w:r>
                <w:rPr>
                  <w:rFonts w:ascii="Arial" w:cs="Arial" w:eastAsia="Arial" w:hAnsi="Arial"/>
                  <w:sz w:val="18"/>
                  <w:szCs w:val="18"/>
                  <w:color w:val="0000FF"/>
                  <w:w w:val="95"/>
                </w:rPr>
                <w:t>Certification of Chief Financial Officer Pursuant to Rule 13-14(a) of the Securities Exchange Act of 1934 as</w:t>
              </w:r>
            </w:hyperlink>
          </w:p>
        </w:tc>
      </w:tr>
      <w:tr>
        <w:trPr>
          <w:trHeight w:val="156"/>
        </w:trPr>
        <w:tc>
          <w:tcPr>
            <w:tcW w:w="138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35">
              <w:r>
                <w:rPr>
                  <w:rFonts w:ascii="Arial" w:cs="Arial" w:eastAsia="Arial" w:hAnsi="Arial"/>
                  <w:sz w:val="18"/>
                  <w:szCs w:val="18"/>
                  <w:color w:val="0000FF"/>
                  <w:w w:val="90"/>
                </w:rPr>
                <w:t>Adopted Pursuant to Section 302 of the Sarbanes-Oxley Act of 2002.</w:t>
              </w:r>
            </w:hyperlink>
          </w:p>
        </w:tc>
        <w:tc>
          <w:tcPr>
            <w:tcW w:w="2820" w:type="dxa"/>
            <w:vAlign w:val="bottom"/>
            <w:tcBorders>
              <w:top w:val="single" w:sz="8" w:color="0000FF"/>
            </w:tcBorders>
            <w:gridSpan w:val="2"/>
          </w:tcPr>
          <w:p>
            <w:pPr>
              <w:spacing w:after="0"/>
              <w:rPr>
                <w:sz w:val="13"/>
                <w:szCs w:val="13"/>
                <w:color w:val="auto"/>
              </w:rPr>
            </w:pPr>
          </w:p>
        </w:tc>
        <w:tc>
          <w:tcPr>
            <w:tcW w:w="280" w:type="dxa"/>
            <w:vAlign w:val="bottom"/>
            <w:gridSpan w:val="4"/>
          </w:tcPr>
          <w:p>
            <w:pPr>
              <w:spacing w:after="0"/>
              <w:rPr>
                <w:sz w:val="13"/>
                <w:szCs w:val="13"/>
                <w:color w:val="auto"/>
              </w:rPr>
            </w:pPr>
          </w:p>
        </w:tc>
      </w:tr>
      <w:tr>
        <w:trPr>
          <w:trHeight w:val="439"/>
        </w:trPr>
        <w:tc>
          <w:tcPr>
            <w:tcW w:w="1380" w:type="dxa"/>
            <w:vAlign w:val="bottom"/>
          </w:tcPr>
          <w:p>
            <w:pPr>
              <w:ind w:left="20"/>
              <w:spacing w:after="0"/>
              <w:rPr>
                <w:sz w:val="20"/>
                <w:szCs w:val="20"/>
                <w:color w:val="auto"/>
              </w:rPr>
            </w:pPr>
            <w:r>
              <w:rPr>
                <w:rFonts w:ascii="Arial" w:cs="Arial" w:eastAsia="Arial" w:hAnsi="Arial"/>
                <w:sz w:val="18"/>
                <w:szCs w:val="18"/>
                <w:color w:val="auto"/>
              </w:rPr>
              <w:t>32.1**</w:t>
            </w:r>
          </w:p>
        </w:tc>
        <w:tc>
          <w:tcPr>
            <w:tcW w:w="810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Certification of Chief Executive and Principal Financial Officer Pursuant to 18 U.S.C. Section 1350, as Adopted</w:t>
              </w:r>
            </w:hyperlink>
          </w:p>
        </w:tc>
      </w:tr>
      <w:tr>
        <w:trPr>
          <w:trHeight w:val="156"/>
        </w:trPr>
        <w:tc>
          <w:tcPr>
            <w:tcW w:w="1380" w:type="dxa"/>
            <w:vAlign w:val="bottom"/>
          </w:tcPr>
          <w:p>
            <w:pPr>
              <w:spacing w:after="0"/>
              <w:rPr>
                <w:sz w:val="13"/>
                <w:szCs w:val="13"/>
                <w:color w:val="auto"/>
              </w:rPr>
            </w:pPr>
          </w:p>
        </w:tc>
        <w:tc>
          <w:tcPr>
            <w:tcW w:w="8100" w:type="dxa"/>
            <w:vAlign w:val="bottom"/>
            <w:gridSpan w:val="8"/>
          </w:tcPr>
          <w:p>
            <w:pPr>
              <w:spacing w:after="0" w:line="156" w:lineRule="exact"/>
              <w:rPr>
                <w:rFonts w:ascii="Arial" w:cs="Arial" w:eastAsia="Arial" w:hAnsi="Arial"/>
                <w:sz w:val="18"/>
                <w:szCs w:val="18"/>
                <w:color w:val="0000FF"/>
              </w:rPr>
            </w:pPr>
            <w:hyperlink w:anchor="page36">
              <w:r>
                <w:rPr>
                  <w:rFonts w:ascii="Arial" w:cs="Arial" w:eastAsia="Arial" w:hAnsi="Arial"/>
                  <w:sz w:val="18"/>
                  <w:szCs w:val="18"/>
                  <w:color w:val="0000FF"/>
                </w:rPr>
                <w:t>Pursuant to Section 906 of the Sarbanes-Oxley Act of 2002.</w:t>
              </w:r>
            </w:hyperlink>
          </w:p>
        </w:tc>
      </w:tr>
      <w:tr>
        <w:trPr>
          <w:trHeight w:val="20"/>
        </w:trPr>
        <w:tc>
          <w:tcPr>
            <w:tcW w:w="13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r>
      <w:tr>
        <w:trPr>
          <w:trHeight w:val="426"/>
        </w:trPr>
        <w:tc>
          <w:tcPr>
            <w:tcW w:w="1380" w:type="dxa"/>
            <w:vAlign w:val="bottom"/>
          </w:tcPr>
          <w:p>
            <w:pPr>
              <w:ind w:left="20"/>
              <w:spacing w:after="0"/>
              <w:rPr>
                <w:sz w:val="20"/>
                <w:szCs w:val="20"/>
                <w:color w:val="auto"/>
              </w:rPr>
            </w:pPr>
            <w:r>
              <w:rPr>
                <w:rFonts w:ascii="Arial" w:cs="Arial" w:eastAsia="Arial" w:hAnsi="Arial"/>
                <w:sz w:val="18"/>
                <w:szCs w:val="18"/>
                <w:color w:val="auto"/>
              </w:rPr>
              <w:t>101.INS*</w:t>
            </w:r>
          </w:p>
        </w:tc>
        <w:tc>
          <w:tcPr>
            <w:tcW w:w="8100" w:type="dxa"/>
            <w:vAlign w:val="bottom"/>
            <w:gridSpan w:val="8"/>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w:t>
            </w:r>
          </w:p>
        </w:tc>
      </w:tr>
      <w:tr>
        <w:trPr>
          <w:trHeight w:val="175"/>
        </w:trPr>
        <w:tc>
          <w:tcPr>
            <w:tcW w:w="1380" w:type="dxa"/>
            <w:vAlign w:val="bottom"/>
          </w:tcPr>
          <w:p>
            <w:pPr>
              <w:spacing w:after="0"/>
              <w:rPr>
                <w:sz w:val="15"/>
                <w:szCs w:val="15"/>
                <w:color w:val="auto"/>
              </w:rPr>
            </w:pPr>
          </w:p>
        </w:tc>
        <w:tc>
          <w:tcPr>
            <w:tcW w:w="8100" w:type="dxa"/>
            <w:vAlign w:val="bottom"/>
            <w:gridSpan w:val="8"/>
          </w:tcPr>
          <w:p>
            <w:pPr>
              <w:spacing w:after="0" w:line="176" w:lineRule="exact"/>
              <w:rPr>
                <w:sz w:val="20"/>
                <w:szCs w:val="20"/>
                <w:color w:val="auto"/>
              </w:rPr>
            </w:pPr>
            <w:r>
              <w:rPr>
                <w:rFonts w:ascii="Arial" w:cs="Arial" w:eastAsia="Arial" w:hAnsi="Arial"/>
                <w:sz w:val="18"/>
                <w:szCs w:val="18"/>
                <w:color w:val="auto"/>
                <w:w w:val="98"/>
              </w:rPr>
              <w:t>INTERACTIVE DATA FILE BECAUSE ITS XBRL TAGS ARE EMBEDDED WITHIN THE INLINE XBRL</w:t>
            </w:r>
          </w:p>
        </w:tc>
      </w:tr>
      <w:tr>
        <w:trPr>
          <w:trHeight w:val="230"/>
        </w:trPr>
        <w:tc>
          <w:tcPr>
            <w:tcW w:w="1380" w:type="dxa"/>
            <w:vAlign w:val="bottom"/>
          </w:tcPr>
          <w:p>
            <w:pPr>
              <w:spacing w:after="0"/>
              <w:rPr>
                <w:sz w:val="20"/>
                <w:szCs w:val="20"/>
                <w:color w:val="auto"/>
              </w:rPr>
            </w:pPr>
          </w:p>
        </w:tc>
        <w:tc>
          <w:tcPr>
            <w:tcW w:w="8100" w:type="dxa"/>
            <w:vAlign w:val="bottom"/>
            <w:gridSpan w:val="8"/>
          </w:tcPr>
          <w:p>
            <w:pPr>
              <w:spacing w:after="0"/>
              <w:rPr>
                <w:sz w:val="20"/>
                <w:szCs w:val="20"/>
                <w:color w:val="auto"/>
              </w:rPr>
            </w:pPr>
            <w:r>
              <w:rPr>
                <w:rFonts w:ascii="Arial" w:cs="Arial" w:eastAsia="Arial" w:hAnsi="Arial"/>
                <w:sz w:val="18"/>
                <w:szCs w:val="18"/>
                <w:color w:val="auto"/>
              </w:rPr>
              <w:t>DOCUMENT.</w:t>
            </w:r>
          </w:p>
        </w:tc>
      </w:tr>
      <w:tr>
        <w:trPr>
          <w:trHeight w:val="458"/>
        </w:trPr>
        <w:tc>
          <w:tcPr>
            <w:tcW w:w="1380" w:type="dxa"/>
            <w:vAlign w:val="bottom"/>
          </w:tcPr>
          <w:p>
            <w:pPr>
              <w:ind w:left="20"/>
              <w:spacing w:after="0"/>
              <w:rPr>
                <w:sz w:val="20"/>
                <w:szCs w:val="20"/>
                <w:color w:val="auto"/>
              </w:rPr>
            </w:pPr>
            <w:r>
              <w:rPr>
                <w:rFonts w:ascii="Arial" w:cs="Arial" w:eastAsia="Arial" w:hAnsi="Arial"/>
                <w:sz w:val="18"/>
                <w:szCs w:val="18"/>
                <w:color w:val="auto"/>
              </w:rPr>
              <w:t>101.SCH*</w:t>
            </w:r>
          </w:p>
        </w:tc>
        <w:tc>
          <w:tcPr>
            <w:tcW w:w="81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59"/>
        </w:trPr>
        <w:tc>
          <w:tcPr>
            <w:tcW w:w="1380" w:type="dxa"/>
            <w:vAlign w:val="bottom"/>
          </w:tcPr>
          <w:p>
            <w:pPr>
              <w:ind w:left="20"/>
              <w:spacing w:after="0"/>
              <w:rPr>
                <w:sz w:val="20"/>
                <w:szCs w:val="20"/>
                <w:color w:val="auto"/>
              </w:rPr>
            </w:pPr>
            <w:r>
              <w:rPr>
                <w:rFonts w:ascii="Arial" w:cs="Arial" w:eastAsia="Arial" w:hAnsi="Arial"/>
                <w:sz w:val="18"/>
                <w:szCs w:val="18"/>
                <w:color w:val="auto"/>
              </w:rPr>
              <w:t>101.CAL*</w:t>
            </w:r>
          </w:p>
        </w:tc>
        <w:tc>
          <w:tcPr>
            <w:tcW w:w="81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59"/>
        </w:trPr>
        <w:tc>
          <w:tcPr>
            <w:tcW w:w="1380" w:type="dxa"/>
            <w:vAlign w:val="bottom"/>
          </w:tcPr>
          <w:p>
            <w:pPr>
              <w:ind w:left="20"/>
              <w:spacing w:after="0"/>
              <w:rPr>
                <w:sz w:val="20"/>
                <w:szCs w:val="20"/>
                <w:color w:val="auto"/>
              </w:rPr>
            </w:pPr>
            <w:r>
              <w:rPr>
                <w:rFonts w:ascii="Arial" w:cs="Arial" w:eastAsia="Arial" w:hAnsi="Arial"/>
                <w:sz w:val="18"/>
                <w:szCs w:val="18"/>
                <w:color w:val="auto"/>
              </w:rPr>
              <w:t>101.DEF*</w:t>
            </w:r>
          </w:p>
        </w:tc>
        <w:tc>
          <w:tcPr>
            <w:tcW w:w="810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59"/>
        </w:trPr>
        <w:tc>
          <w:tcPr>
            <w:tcW w:w="1380" w:type="dxa"/>
            <w:vAlign w:val="bottom"/>
          </w:tcPr>
          <w:p>
            <w:pPr>
              <w:ind w:left="20"/>
              <w:spacing w:after="0"/>
              <w:rPr>
                <w:sz w:val="20"/>
                <w:szCs w:val="20"/>
                <w:color w:val="auto"/>
              </w:rPr>
            </w:pPr>
            <w:r>
              <w:rPr>
                <w:rFonts w:ascii="Arial" w:cs="Arial" w:eastAsia="Arial" w:hAnsi="Arial"/>
                <w:sz w:val="18"/>
                <w:szCs w:val="18"/>
                <w:color w:val="auto"/>
              </w:rPr>
              <w:t>101.LAB*</w:t>
            </w:r>
          </w:p>
        </w:tc>
        <w:tc>
          <w:tcPr>
            <w:tcW w:w="81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59"/>
        </w:trPr>
        <w:tc>
          <w:tcPr>
            <w:tcW w:w="1380" w:type="dxa"/>
            <w:vAlign w:val="bottom"/>
          </w:tcPr>
          <w:p>
            <w:pPr>
              <w:ind w:left="20"/>
              <w:spacing w:after="0"/>
              <w:rPr>
                <w:sz w:val="20"/>
                <w:szCs w:val="20"/>
                <w:color w:val="auto"/>
              </w:rPr>
            </w:pPr>
            <w:r>
              <w:rPr>
                <w:rFonts w:ascii="Arial" w:cs="Arial" w:eastAsia="Arial" w:hAnsi="Arial"/>
                <w:sz w:val="18"/>
                <w:szCs w:val="18"/>
                <w:color w:val="auto"/>
              </w:rPr>
              <w:t>101.PRE*</w:t>
            </w:r>
          </w:p>
        </w:tc>
        <w:tc>
          <w:tcPr>
            <w:tcW w:w="81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1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COVER PAGE INTERACTIVE DATA FILE (FORMATTED AS INLINE XBRL AND CONTAINED IN</w:t>
      </w:r>
    </w:p>
    <w:p>
      <w:pPr>
        <w:jc w:val="both"/>
        <w:ind w:left="1000" w:right="7659" w:hanging="974"/>
        <w:spacing w:after="0" w:line="413" w:lineRule="auto"/>
        <w:tabs>
          <w:tab w:leader="none" w:pos="1391" w:val="left"/>
        </w:tabs>
        <w:numPr>
          <w:ilvl w:val="0"/>
          <w:numId w:val="7"/>
        </w:numPr>
        <w:rPr>
          <w:rFonts w:ascii="Arial" w:cs="Arial" w:eastAsia="Arial" w:hAnsi="Arial"/>
          <w:sz w:val="17"/>
          <w:szCs w:val="17"/>
          <w:color w:val="auto"/>
        </w:rPr>
      </w:pPr>
      <w:r>
        <w:rPr>
          <w:rFonts w:ascii="Arial" w:cs="Arial" w:eastAsia="Arial" w:hAnsi="Arial"/>
          <w:sz w:val="17"/>
          <w:szCs w:val="17"/>
          <w:color w:val="auto"/>
        </w:rPr>
        <w:t>EXHIBIT 101) * Filed herewith.</w:t>
      </w:r>
    </w:p>
    <w:p>
      <w:pPr>
        <w:ind w:left="1380" w:hanging="382"/>
        <w:spacing w:after="0"/>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63" w:right="1440"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6760" w:type="dxa"/>
            <w:vAlign w:val="bottom"/>
            <w:gridSpan w:val="2"/>
          </w:tcPr>
          <w:p>
            <w:pPr>
              <w:ind w:left="202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3640" w:type="dxa"/>
            <w:vAlign w:val="bottom"/>
          </w:tcPr>
          <w:p>
            <w:pPr>
              <w:spacing w:after="0"/>
              <w:rPr>
                <w:sz w:val="20"/>
                <w:szCs w:val="20"/>
                <w:color w:val="auto"/>
              </w:rPr>
            </w:pPr>
            <w:r>
              <w:rPr>
                <w:rFonts w:ascii="Arial" w:cs="Arial" w:eastAsia="Arial" w:hAnsi="Arial"/>
                <w:sz w:val="18"/>
                <w:szCs w:val="18"/>
                <w:color w:val="auto"/>
              </w:rPr>
              <w:t>Date: August 13, 2021</w:t>
            </w:r>
          </w:p>
        </w:tc>
        <w:tc>
          <w:tcPr>
            <w:tcW w:w="2480" w:type="dxa"/>
            <w:vAlign w:val="bottom"/>
          </w:tcPr>
          <w:p>
            <w:pPr>
              <w:ind w:left="202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John Hamm</w:t>
            </w:r>
          </w:p>
        </w:tc>
      </w:tr>
      <w:tr>
        <w:trPr>
          <w:trHeight w:val="222"/>
        </w:trPr>
        <w:tc>
          <w:tcPr>
            <w:tcW w:w="36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280" w:type="dxa"/>
            <w:vAlign w:val="bottom"/>
          </w:tcPr>
          <w:p>
            <w:pPr>
              <w:ind w:left="300"/>
              <w:spacing w:after="0"/>
              <w:rPr>
                <w:sz w:val="20"/>
                <w:szCs w:val="20"/>
                <w:color w:val="auto"/>
              </w:rPr>
            </w:pPr>
            <w:r>
              <w:rPr>
                <w:rFonts w:ascii="Arial" w:cs="Arial" w:eastAsia="Arial" w:hAnsi="Arial"/>
                <w:sz w:val="18"/>
                <w:szCs w:val="18"/>
                <w:color w:val="auto"/>
              </w:rPr>
              <w:t>John Hamm</w:t>
            </w:r>
          </w:p>
        </w:tc>
      </w:tr>
      <w:tr>
        <w:trPr>
          <w:trHeight w:val="230"/>
        </w:trPr>
        <w:tc>
          <w:tcPr>
            <w:tcW w:w="3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280" w:type="dxa"/>
            <w:vAlign w:val="bottom"/>
          </w:tcPr>
          <w:p>
            <w:pPr>
              <w:ind w:left="300"/>
              <w:spacing w:after="0"/>
              <w:rPr>
                <w:sz w:val="20"/>
                <w:szCs w:val="20"/>
                <w:color w:val="auto"/>
              </w:rPr>
            </w:pPr>
            <w:r>
              <w:rPr>
                <w:rFonts w:ascii="Arial" w:cs="Arial" w:eastAsia="Arial" w:hAnsi="Arial"/>
                <w:sz w:val="18"/>
                <w:szCs w:val="18"/>
                <w:color w:val="auto"/>
                <w:w w:val="98"/>
              </w:rPr>
              <w:t>Chief Financial Officer and 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1255"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A.J. Kazimi, certify that:</w:t>
      </w:r>
    </w:p>
    <w:p>
      <w:pPr>
        <w:spacing w:after="0" w:line="50" w:lineRule="exact"/>
        <w:rPr>
          <w:sz w:val="20"/>
          <w:szCs w:val="20"/>
          <w:color w:val="auto"/>
        </w:rPr>
      </w:pPr>
    </w:p>
    <w:p>
      <w:pPr>
        <w:ind w:left="680" w:hanging="654"/>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Form 10-Q of Cumberland Pharmaceuticals Inc.;</w:t>
      </w:r>
    </w:p>
    <w:p>
      <w:pPr>
        <w:spacing w:after="0" w:line="144" w:lineRule="exact"/>
        <w:rPr>
          <w:sz w:val="20"/>
          <w:szCs w:val="20"/>
          <w:color w:val="auto"/>
        </w:rPr>
      </w:pPr>
    </w:p>
    <w:p>
      <w:pPr>
        <w:jc w:val="both"/>
        <w:ind w:left="680" w:right="100" w:hanging="654"/>
        <w:spacing w:after="0" w:line="22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sz w:val="20"/>
          <w:szCs w:val="20"/>
          <w:color w:val="auto"/>
        </w:rPr>
      </w:pPr>
    </w:p>
    <w:p>
      <w:pPr>
        <w:ind w:left="680" w:right="60" w:hanging="654"/>
        <w:spacing w:after="0" w:line="258"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sz w:val="20"/>
          <w:szCs w:val="20"/>
          <w:color w:val="auto"/>
        </w:rPr>
      </w:pPr>
    </w:p>
    <w:p>
      <w:pPr>
        <w:ind w:left="680" w:right="100" w:hanging="654"/>
        <w:spacing w:after="0" w:line="22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540" w:right="500" w:hanging="316"/>
        <w:spacing w:after="0" w:line="255" w:lineRule="auto"/>
        <w:tabs>
          <w:tab w:leader="none" w:pos="53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540" w:right="180" w:hanging="316"/>
        <w:spacing w:after="0" w:line="250"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40" w:right="20" w:hanging="316"/>
        <w:spacing w:after="0" w:line="265" w:lineRule="auto"/>
        <w:tabs>
          <w:tab w:leader="none" w:pos="53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sz w:val="20"/>
          <w:szCs w:val="20"/>
          <w:color w:val="auto"/>
        </w:rPr>
      </w:pPr>
    </w:p>
    <w:p>
      <w:pPr>
        <w:ind w:left="680" w:right="260" w:hanging="654"/>
        <w:spacing w:after="0" w:line="289" w:lineRule="auto"/>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540" w:right="400" w:hanging="316"/>
        <w:spacing w:after="0" w:line="258" w:lineRule="auto"/>
        <w:tabs>
          <w:tab w:leader="none" w:pos="53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40" w:hanging="316"/>
        <w:spacing w:after="0" w:line="260"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780"/>
        <w:spacing w:after="0"/>
        <w:tabs>
          <w:tab w:leader="none" w:pos="6480" w:val="left"/>
        </w:tabs>
        <w:rPr>
          <w:sz w:val="20"/>
          <w:szCs w:val="20"/>
          <w:color w:val="auto"/>
        </w:rPr>
      </w:pPr>
      <w:r>
        <w:rPr>
          <w:rFonts w:ascii="Arial" w:cs="Arial" w:eastAsia="Arial" w:hAnsi="Arial"/>
          <w:sz w:val="18"/>
          <w:szCs w:val="18"/>
          <w:color w:val="auto"/>
        </w:rPr>
        <w:t>August 13, 2021By:</w:t>
      </w:r>
      <w:r>
        <w:rPr>
          <w:sz w:val="20"/>
          <w:szCs w:val="20"/>
          <w:color w:val="auto"/>
        </w:rPr>
        <w:tab/>
      </w:r>
      <w:r>
        <w:rPr>
          <w:rFonts w:ascii="Arial" w:cs="Arial" w:eastAsia="Arial" w:hAnsi="Arial"/>
          <w:sz w:val="17"/>
          <w:szCs w:val="17"/>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857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A.J. Kazimi</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3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Hamm, certify that:</w:t>
      </w:r>
    </w:p>
    <w:p>
      <w:pPr>
        <w:spacing w:after="0" w:line="50" w:lineRule="exact"/>
        <w:rPr>
          <w:sz w:val="20"/>
          <w:szCs w:val="20"/>
          <w:color w:val="auto"/>
        </w:rPr>
      </w:pPr>
    </w:p>
    <w:p>
      <w:pPr>
        <w:ind w:left="680" w:hanging="654"/>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Form 10-Q of Cumberland Pharmaceuticals Inc.;</w:t>
      </w:r>
    </w:p>
    <w:p>
      <w:pPr>
        <w:spacing w:after="0" w:line="144" w:lineRule="exact"/>
        <w:rPr>
          <w:sz w:val="20"/>
          <w:szCs w:val="20"/>
          <w:color w:val="auto"/>
        </w:rPr>
      </w:pPr>
    </w:p>
    <w:p>
      <w:pPr>
        <w:jc w:val="both"/>
        <w:ind w:left="680" w:right="100" w:hanging="654"/>
        <w:spacing w:after="0" w:line="224"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sz w:val="20"/>
          <w:szCs w:val="20"/>
          <w:color w:val="auto"/>
        </w:rPr>
      </w:pPr>
    </w:p>
    <w:p>
      <w:pPr>
        <w:ind w:left="680" w:right="60" w:hanging="654"/>
        <w:spacing w:after="0" w:line="258" w:lineRule="auto"/>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sz w:val="20"/>
          <w:szCs w:val="20"/>
          <w:color w:val="auto"/>
        </w:rPr>
      </w:pPr>
    </w:p>
    <w:p>
      <w:pPr>
        <w:ind w:left="680" w:right="100" w:hanging="654"/>
        <w:spacing w:after="0" w:line="224"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540" w:right="500" w:hanging="316"/>
        <w:spacing w:after="0" w:line="255" w:lineRule="auto"/>
        <w:tabs>
          <w:tab w:leader="none" w:pos="5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540" w:right="180" w:hanging="316"/>
        <w:spacing w:after="0" w:line="250" w:lineRule="auto"/>
        <w:tabs>
          <w:tab w:leader="none" w:pos="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40" w:right="20" w:hanging="316"/>
        <w:spacing w:after="0" w:line="265" w:lineRule="auto"/>
        <w:tabs>
          <w:tab w:leader="none" w:pos="53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sz w:val="20"/>
          <w:szCs w:val="20"/>
          <w:color w:val="auto"/>
        </w:rPr>
      </w:pPr>
    </w:p>
    <w:p>
      <w:pPr>
        <w:ind w:left="680" w:right="260" w:hanging="654"/>
        <w:spacing w:after="0" w:line="289"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540" w:right="400" w:hanging="316"/>
        <w:spacing w:after="0" w:line="258" w:lineRule="auto"/>
        <w:tabs>
          <w:tab w:leader="none" w:pos="5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40" w:hanging="316"/>
        <w:spacing w:after="0" w:line="260" w:lineRule="auto"/>
        <w:tabs>
          <w:tab w:leader="none" w:pos="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840"/>
        <w:spacing w:after="0"/>
        <w:tabs>
          <w:tab w:leader="none" w:pos="6480" w:val="left"/>
        </w:tabs>
        <w:rPr>
          <w:sz w:val="20"/>
          <w:szCs w:val="20"/>
          <w:color w:val="auto"/>
        </w:rPr>
      </w:pPr>
      <w:r>
        <w:rPr>
          <w:rFonts w:ascii="Arial" w:cs="Arial" w:eastAsia="Arial" w:hAnsi="Arial"/>
          <w:sz w:val="18"/>
          <w:szCs w:val="18"/>
          <w:color w:val="auto"/>
        </w:rPr>
        <w:t>August 13, 2021By:</w:t>
      </w:r>
      <w:r>
        <w:rPr>
          <w:sz w:val="20"/>
          <w:szCs w:val="20"/>
          <w:color w:val="auto"/>
        </w:rPr>
        <w:tab/>
      </w:r>
      <w:r>
        <w:rPr>
          <w:rFonts w:ascii="Arial" w:cs="Arial" w:eastAsia="Arial" w:hAnsi="Arial"/>
          <w:sz w:val="16"/>
          <w:szCs w:val="16"/>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857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John Hamm</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3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In connection with the Quarterly Report on Form 10-Q for the fiscal quarter ended June 30, 2021 of Cumberland Pharmaceuticals Inc. (the “Company”), as filed with the Securities and Exchange Commission on the date hereof (the “Report”), I, A.J. Kazimi, Chief Executive Officer and John Hamm, Chief Financial Officer of the Company, certify, pursuant to Section 906 of the Sarbanes-Oxley Act of 2002 (18 U.S.C. section 1350), that:</w:t>
      </w:r>
    </w:p>
    <w:p>
      <w:pPr>
        <w:spacing w:after="0" w:line="1" w:lineRule="exact"/>
        <w:rPr>
          <w:sz w:val="20"/>
          <w:szCs w:val="20"/>
          <w:color w:val="auto"/>
        </w:rPr>
      </w:pPr>
    </w:p>
    <w:p>
      <w:pPr>
        <w:ind w:left="680" w:hanging="654"/>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sz w:val="20"/>
          <w:szCs w:val="20"/>
          <w:color w:val="auto"/>
        </w:rPr>
      </w:pPr>
    </w:p>
    <w:p>
      <w:pPr>
        <w:ind w:left="680" w:hanging="654"/>
        <w:spacing w:after="0"/>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27686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A.J. Kazimi</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August 13, 2021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27686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Hamm</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August 13, 2021</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04"/>
    </w:lvl>
    <w:lvl w:ilvl="1">
      <w:lvlJc w:val="left"/>
      <w:lvlText w:val="*"/>
      <w:numFmt w:val="bullet"/>
      <w:start w:val="1"/>
    </w:lvl>
  </w:abstractNum>
  <w:abstractNum w:abstractNumId="7">
    <w:nsid w:val="DED7263"/>
    <w:multiLevelType w:val="hybridMultilevel"/>
    <w:lvl w:ilvl="0">
      <w:lvlJc w:val="left"/>
      <w:lvlText w:val="%1"/>
      <w:numFmt w:val="decimal"/>
      <w:start w:val="1"/>
    </w:lvl>
    <w:lvl w:ilvl="1">
      <w:lvlJc w:val="left"/>
      <w:lvlText w:val="**"/>
      <w:numFmt w:val="bullet"/>
      <w:start w:val="1"/>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4"/>
      <w:numFmt w:val="bullet"/>
      <w:start w:val="1"/>
    </w:lvl>
    <w:lvl w:ilvl="1">
      <w:lvlJc w:val="left"/>
      <w:lvlText w:val="%2."/>
      <w:numFmt w:val="lowerLetter"/>
      <w:start w:val="1"/>
    </w:lvl>
  </w:abstractNum>
  <w:abstractNum w:abstractNumId="12">
    <w:nsid w:val="4E6AFB66"/>
    <w:multiLevelType w:val="hybridMultilevel"/>
    <w:lvl w:ilvl="0">
      <w:lvlJc w:val="left"/>
      <w:lvlText w:val="5"/>
      <w:numFmt w:val="bullet"/>
      <w:start w:val="1"/>
    </w:lvl>
    <w:lvl w:ilvl="1">
      <w:lvlJc w:val="left"/>
      <w:lvlText w:val="%2."/>
      <w:numFmt w:val="lowerLetter"/>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2"/>
      <w:numFmt w:val="bullet"/>
      <w:start w:val="1"/>
    </w:lvl>
  </w:abstractNum>
  <w:abstractNum w:abstractNumId="15">
    <w:nsid w:val="431BD7B7"/>
    <w:multiLevelType w:val="hybridMultilevel"/>
    <w:lvl w:ilvl="0">
      <w:lvlJc w:val="left"/>
      <w:lvlText w:val="3"/>
      <w:numFmt w:val="bullet"/>
      <w:start w:val="1"/>
    </w:lvl>
  </w:abstractNum>
  <w:abstractNum w:abstractNumId="16">
    <w:nsid w:val="3F2DBA31"/>
    <w:multiLevelType w:val="hybridMultilevel"/>
    <w:lvl w:ilvl="0">
      <w:lvlJc w:val="left"/>
      <w:lvlText w:val="4"/>
      <w:numFmt w:val="bullet"/>
      <w:start w:val="1"/>
    </w:lvl>
    <w:lvl w:ilvl="1">
      <w:lvlJc w:val="left"/>
      <w:lvlText w:val="%2."/>
      <w:numFmt w:val="lowerLetter"/>
      <w:start w:val="1"/>
    </w:lvl>
  </w:abstractNum>
  <w:abstractNum w:abstractNumId="17">
    <w:nsid w:val="7C83E458"/>
    <w:multiLevelType w:val="hybridMultilevel"/>
    <w:lvl w:ilvl="0">
      <w:lvlJc w:val="left"/>
      <w:lvlText w:val="5"/>
      <w:numFmt w:val="bullet"/>
      <w:start w:val="1"/>
    </w:lvl>
    <w:lvl w:ilvl="1">
      <w:lvlJc w:val="left"/>
      <w:lvlText w:val="%2."/>
      <w:numFmt w:val="lowerLetter"/>
      <w:start w:val="1"/>
    </w:lvl>
  </w:abstractNum>
  <w:abstractNum w:abstractNumId="18">
    <w:nsid w:val="257130A3"/>
    <w:multiLevelType w:val="hybridMultilevel"/>
    <w:lvl w:ilvl="0">
      <w:lvlJc w:val="left"/>
      <w:lvlText w:val="1"/>
      <w:numFmt w:val="bullet"/>
      <w:start w:val="1"/>
    </w:lvl>
  </w:abstractNum>
  <w:abstractNum w:abstractNumId="19">
    <w:nsid w:val="62BBD95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1" Type="http://schemas.openxmlformats.org/officeDocument/2006/relationships/hyperlink" Target="http://www.sec.gov/Archives/edgar/data/1087294/000162828021010388/a8-kexhibit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2021-08-13T16:12:16Z</dcterms:created>
  <dcterms:modified xsi:type="dcterms:W3CDTF">2021-08-13T16:12:16Z</dcterms:modified>
</cp:coreProperties>
</file>