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KAZIMI A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CUMBERLAND PHARMACEUTICALS</w:t>
        </w:r>
      </w:hyperlink>
      <w:r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  <w:t xml:space="preserve"> </w:t>
      </w: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[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17"/>
            <w:szCs w:val="17"/>
            <w:color w:val="0000FF"/>
          </w:rPr>
          <w:t>CPIX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  <w:r>
          <w:rPr>
            <w:rFonts w:ascii="Times New Roman" w:cs="Times New Roman" w:eastAsia="Times New Roman" w:hAnsi="Times New Roman"/>
            <w:sz w:val="21"/>
            <w:szCs w:val="21"/>
            <w:color w:val="000000"/>
          </w:rPr>
          <w:t>]</w:t>
        </w:r>
      </w:hyperlink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03/18/2023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3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Chairman and CEO</w:t>
      </w:r>
    </w:p>
    <w:p>
      <w:pPr>
        <w:spacing w:after="0" w:line="4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20" w:space="19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03/18/2023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37,205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5,716,153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represents shares withheld/purchased by the Company to cover the tax withholding obligations for the vesting of shares.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A.J. Kazimi by /s/ John Hamm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03/21/2023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95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9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as 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8032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7505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2023-03-21T17:50:19Z</dcterms:created>
  <dcterms:modified xsi:type="dcterms:W3CDTF">2023-03-21T17:50:19Z</dcterms:modified>
</cp:coreProperties>
</file>