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-744855</wp:posOffset>
            </wp:positionV>
            <wp:extent cx="6732905" cy="9050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905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100" w:space="460"/>
            <w:col w:w="8000"/>
          </w:cols>
          <w:pgMar w:left="660" w:top="556" w:right="680" w:bottom="409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19"/>
          <w:szCs w:val="19"/>
          <w:color w:val="auto"/>
          <w:vertAlign w:val="superscript"/>
        </w:rPr>
        <w:t>*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rFonts w:ascii="Times New Roman" w:cs="Times New Roman" w:eastAsia="Times New Roman" w:hAnsi="Times New Roman"/>
          <w:sz w:val="19"/>
          <w:szCs w:val="19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Jones James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(Middle)</w:t>
            </w:r>
          </w:p>
        </w:tc>
      </w:tr>
      <w:tr>
        <w:trPr>
          <w:trHeight w:val="260"/>
        </w:trPr>
        <w:tc>
          <w:tcPr>
            <w:tcW w:w="2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1600 WEST END AVENUE, SUITE 1300</w:t>
            </w:r>
          </w:p>
        </w:tc>
      </w:tr>
      <w:tr>
        <w:trPr>
          <w:trHeight w:val="44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4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NASHVILLE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TN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37203</w:t>
            </w:r>
          </w:p>
        </w:tc>
      </w:tr>
      <w:tr>
        <w:trPr>
          <w:trHeight w:val="436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3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>CUMBERLAND PHARMACEUTICALS</w:t>
              </w:r>
            </w:hyperlink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680" w:type="dxa"/>
            <w:vAlign w:val="bottom"/>
            <w:gridSpan w:val="4"/>
            <w:vMerge w:val="restart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3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10/02/2023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Rule 10b5-1(c) Transaction Indication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20" w:right="200" w:hanging="209"/>
        <w:spacing w:after="0" w:line="184" w:lineRule="auto"/>
        <w:tabs>
          <w:tab w:leader="none" w:pos="3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0000FF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ectPr>
          <w:pgSz w:w="11900" w:h="16840" w:orient="portrait"/>
          <w:cols w:equalWidth="0" w:num="2">
            <w:col w:w="2980" w:space="720"/>
            <w:col w:w="6860"/>
          </w:cols>
          <w:pgMar w:left="660" w:top="556" w:right="680" w:bottom="409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10/02/2023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1.89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29,188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10/03/2023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1.85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29,243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10/04/2023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1.79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29,288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10/05/2023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1.85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29,343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10/06/2023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1.88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29,398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10/09/2023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2.06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29,453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10/10/2023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2.04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29,508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10/11/2023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2.04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29,563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10/12/2023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2.13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29,618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2.07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29,673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10/16/2023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2.03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29,728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10/17/2023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2.24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29,783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10/18/2023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1.96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29,838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10/19/2023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2.05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29,893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10/20/2023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2.08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29,905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10/23/2023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2.08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29,955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10/24/2023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2.1</w:t>
            </w: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30,010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10/25/2023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1.99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30,065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10/26/2023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1.99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30,120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10/27/2023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1.98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30,175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10/30/2023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 w:line="2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51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2.04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30,226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10/31/2023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2.01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30,281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60" w:type="dxa"/>
            <w:vAlign w:val="bottom"/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60" w:type="dxa"/>
            <w:vAlign w:val="bottom"/>
            <w:gridSpan w:val="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 Derivative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(A)(D)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The reported purchases occurred automatically pursuant to a Rule 10b5-1 trading plan adopted by the reporting person on May16, 2023.</w:t>
      </w:r>
    </w:p>
    <w:p>
      <w:pPr>
        <w:sectPr>
          <w:pgSz w:w="11900" w:h="16840" w:orient="portrait"/>
          <w:cols w:equalWidth="0" w:num="1">
            <w:col w:w="10560"/>
          </w:cols>
          <w:pgMar w:left="660" w:top="556" w:right="680" w:bottom="409" w:gutter="0" w:footer="0" w:header="0"/>
          <w:type w:val="continuous"/>
        </w:sectPr>
      </w:pP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Remarks:</w:t>
      </w:r>
    </w:p>
    <w:p>
      <w:pPr>
        <w:sectPr>
          <w:pgSz w:w="11900" w:h="16840" w:orient="portrait"/>
          <w:cols w:equalWidth="0" w:num="1">
            <w:col w:w="10560"/>
          </w:cols>
          <w:pgMar w:left="660" w:top="556" w:right="680" w:bottom="409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James Jones by /s/ John Hamm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as attorney-in-fact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jc w:val="both"/>
        <w:ind w:right="2840" w:firstLine="2"/>
        <w:spacing w:after="0" w:line="387" w:lineRule="auto"/>
        <w:tabs>
          <w:tab w:leader="none" w:pos="12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9760"/>
      </w:cols>
      <w:pgMar w:left="700" w:top="55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490829" TargetMode="External"/><Relationship Id="rId11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2023-11-03T18:12:13Z</dcterms:created>
  <dcterms:modified xsi:type="dcterms:W3CDTF">2023-11-03T18:12:13Z</dcterms:modified>
</cp:coreProperties>
</file>