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14, 2023</w:t>
      </w:r>
    </w:p>
    <w:p>
      <w:pPr>
        <w:ind w:left="8880"/>
        <w:spacing w:after="0"/>
        <w:rPr>
          <w:sz w:val="20"/>
          <w:szCs w:val="20"/>
          <w:color w:val="auto"/>
        </w:rPr>
      </w:pPr>
      <w:r>
        <w:rPr>
          <w:rFonts w:ascii="Times New Roman" w:cs="Times New Roman" w:eastAsia="Times New Roman" w:hAnsi="Times New Roman"/>
          <w:sz w:val="18"/>
          <w:szCs w:val="18"/>
          <w:b w:val="1"/>
          <w:bCs w:val="1"/>
          <w:color w:val="auto"/>
        </w:rPr>
        <w:t>Registration No. 333-________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1142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2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158750</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S-3</w:t>
      </w:r>
    </w:p>
    <w:p>
      <w:pPr>
        <w:jc w:val="center"/>
        <w:spacing w:after="0" w:line="212" w:lineRule="auto"/>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spacing w:after="0" w:line="205"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158750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167640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53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472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184"/>
        </w:trPr>
        <w:tc>
          <w:tcPr>
            <w:tcW w:w="5340" w:type="dxa"/>
            <w:vAlign w:val="bottom"/>
            <w:gridSpan w:val="2"/>
          </w:tcPr>
          <w:p>
            <w:pPr>
              <w:jc w:val="center"/>
              <w:ind w:right="5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720" w:type="dxa"/>
            <w:vAlign w:val="bottom"/>
            <w:gridSpan w:val="2"/>
          </w:tcPr>
          <w:p>
            <w:pPr>
              <w:jc w:val="center"/>
              <w:ind w:left="490"/>
              <w:spacing w:after="0" w:line="184" w:lineRule="exact"/>
              <w:rPr>
                <w:sz w:val="20"/>
                <w:szCs w:val="20"/>
                <w:color w:val="auto"/>
              </w:rPr>
            </w:pPr>
            <w:r>
              <w:rPr>
                <w:rFonts w:ascii="Times New Roman" w:cs="Times New Roman" w:eastAsia="Times New Roman" w:hAnsi="Times New Roman"/>
                <w:sz w:val="18"/>
                <w:szCs w:val="18"/>
                <w:b w:val="1"/>
                <w:bCs w:val="1"/>
                <w:color w:val="auto"/>
              </w:rPr>
              <w:t>(IRS Employer</w:t>
            </w:r>
          </w:p>
        </w:tc>
        <w:tc>
          <w:tcPr>
            <w:tcW w:w="0" w:type="dxa"/>
            <w:vAlign w:val="bottom"/>
          </w:tcPr>
          <w:p>
            <w:pPr>
              <w:spacing w:after="0"/>
              <w:rPr>
                <w:sz w:val="1"/>
                <w:szCs w:val="1"/>
                <w:color w:val="auto"/>
              </w:rPr>
            </w:pPr>
          </w:p>
        </w:tc>
      </w:tr>
      <w:tr>
        <w:trPr>
          <w:trHeight w:val="238"/>
        </w:trPr>
        <w:tc>
          <w:tcPr>
            <w:tcW w:w="53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72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414"/>
        </w:trPr>
        <w:tc>
          <w:tcPr>
            <w:tcW w:w="534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1600 West End Avenue, Suite 1300</w:t>
            </w:r>
          </w:p>
        </w:tc>
        <w:tc>
          <w:tcPr>
            <w:tcW w:w="2080" w:type="dxa"/>
            <w:vAlign w:val="bottom"/>
          </w:tcPr>
          <w:p>
            <w:pPr>
              <w:spacing w:after="0"/>
              <w:rPr>
                <w:sz w:val="24"/>
                <w:szCs w:val="24"/>
                <w:color w:val="auto"/>
              </w:rPr>
            </w:pPr>
          </w:p>
        </w:tc>
        <w:tc>
          <w:tcPr>
            <w:tcW w:w="26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John Hamm</w:t>
            </w:r>
          </w:p>
        </w:tc>
        <w:tc>
          <w:tcPr>
            <w:tcW w:w="0" w:type="dxa"/>
            <w:vAlign w:val="bottom"/>
          </w:tcPr>
          <w:p>
            <w:pPr>
              <w:spacing w:after="0"/>
              <w:rPr>
                <w:sz w:val="1"/>
                <w:szCs w:val="1"/>
                <w:color w:val="auto"/>
              </w:rPr>
            </w:pPr>
          </w:p>
        </w:tc>
      </w:tr>
      <w:tr>
        <w:trPr>
          <w:trHeight w:val="184"/>
        </w:trPr>
        <w:tc>
          <w:tcPr>
            <w:tcW w:w="5340" w:type="dxa"/>
            <w:vAlign w:val="bottom"/>
            <w:gridSpan w:val="2"/>
            <w:vMerge w:val="continue"/>
          </w:tcPr>
          <w:p>
            <w:pPr>
              <w:spacing w:after="0"/>
              <w:rPr>
                <w:sz w:val="16"/>
                <w:szCs w:val="16"/>
                <w:color w:val="auto"/>
              </w:rPr>
            </w:pPr>
          </w:p>
        </w:tc>
        <w:tc>
          <w:tcPr>
            <w:tcW w:w="4720" w:type="dxa"/>
            <w:vAlign w:val="bottom"/>
            <w:gridSpan w:val="2"/>
          </w:tcPr>
          <w:p>
            <w:pPr>
              <w:jc w:val="center"/>
              <w:ind w:left="4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175"/>
        </w:trPr>
        <w:tc>
          <w:tcPr>
            <w:tcW w:w="5340" w:type="dxa"/>
            <w:vAlign w:val="bottom"/>
            <w:gridSpan w:val="2"/>
          </w:tcPr>
          <w:p>
            <w:pPr>
              <w:jc w:val="center"/>
              <w:ind w:right="6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Nashville, Tennessee 37203</w:t>
            </w:r>
          </w:p>
        </w:tc>
        <w:tc>
          <w:tcPr>
            <w:tcW w:w="4720" w:type="dxa"/>
            <w:vAlign w:val="bottom"/>
            <w:gridSpan w:val="2"/>
          </w:tcPr>
          <w:p>
            <w:pPr>
              <w:jc w:val="center"/>
              <w:ind w:left="5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Cumberland Pharmaceuticals Inc.</w:t>
            </w:r>
          </w:p>
        </w:tc>
        <w:tc>
          <w:tcPr>
            <w:tcW w:w="0" w:type="dxa"/>
            <w:vAlign w:val="bottom"/>
          </w:tcPr>
          <w:p>
            <w:pPr>
              <w:spacing w:after="0"/>
              <w:rPr>
                <w:sz w:val="1"/>
                <w:szCs w:val="1"/>
                <w:color w:val="auto"/>
              </w:rPr>
            </w:pPr>
          </w:p>
        </w:tc>
      </w:tr>
      <w:tr>
        <w:trPr>
          <w:trHeight w:val="180"/>
        </w:trPr>
        <w:tc>
          <w:tcPr>
            <w:tcW w:w="2940" w:type="dxa"/>
            <w:vAlign w:val="bottom"/>
          </w:tcPr>
          <w:p>
            <w:pPr>
              <w:jc w:val="center"/>
              <w:ind w:left="17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(615) 255-0068</w:t>
            </w:r>
          </w:p>
        </w:tc>
        <w:tc>
          <w:tcPr>
            <w:tcW w:w="2400" w:type="dxa"/>
            <w:vAlign w:val="bottom"/>
          </w:tcPr>
          <w:p>
            <w:pPr>
              <w:spacing w:after="0"/>
              <w:rPr>
                <w:sz w:val="15"/>
                <w:szCs w:val="15"/>
                <w:color w:val="auto"/>
              </w:rPr>
            </w:pPr>
          </w:p>
        </w:tc>
        <w:tc>
          <w:tcPr>
            <w:tcW w:w="4720" w:type="dxa"/>
            <w:vAlign w:val="bottom"/>
            <w:gridSpan w:val="2"/>
          </w:tcPr>
          <w:p>
            <w:pPr>
              <w:jc w:val="center"/>
              <w:ind w:left="4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1600 West End Avenue, Suite 1300</w:t>
            </w: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720" w:type="dxa"/>
            <w:vAlign w:val="bottom"/>
            <w:gridSpan w:val="2"/>
          </w:tcPr>
          <w:p>
            <w:pPr>
              <w:jc w:val="center"/>
              <w:ind w:left="4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Nashville, Tennessee 37203</w:t>
            </w:r>
          </w:p>
        </w:tc>
        <w:tc>
          <w:tcPr>
            <w:tcW w:w="0" w:type="dxa"/>
            <w:vAlign w:val="bottom"/>
          </w:tcPr>
          <w:p>
            <w:pPr>
              <w:spacing w:after="0"/>
              <w:rPr>
                <w:sz w:val="1"/>
                <w:szCs w:val="1"/>
                <w:color w:val="auto"/>
              </w:rPr>
            </w:pPr>
          </w:p>
        </w:tc>
      </w:tr>
      <w:tr>
        <w:trPr>
          <w:trHeight w:val="221"/>
        </w:trPr>
        <w:tc>
          <w:tcPr>
            <w:tcW w:w="29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72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(615) 255-0068</w:t>
            </w:r>
          </w:p>
        </w:tc>
        <w:tc>
          <w:tcPr>
            <w:tcW w:w="0" w:type="dxa"/>
            <w:vAlign w:val="bottom"/>
          </w:tcPr>
          <w:p>
            <w:pPr>
              <w:spacing w:after="0"/>
              <w:rPr>
                <w:sz w:val="1"/>
                <w:szCs w:val="1"/>
                <w:color w:val="auto"/>
              </w:rPr>
            </w:pPr>
          </w:p>
        </w:tc>
      </w:tr>
      <w:tr>
        <w:trPr>
          <w:trHeight w:val="189"/>
        </w:trPr>
        <w:tc>
          <w:tcPr>
            <w:tcW w:w="534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(Address, including zip code, and telephone number,</w:t>
            </w:r>
          </w:p>
        </w:tc>
        <w:tc>
          <w:tcPr>
            <w:tcW w:w="4720" w:type="dxa"/>
            <w:vAlign w:val="bottom"/>
            <w:gridSpan w:val="2"/>
          </w:tcPr>
          <w:p>
            <w:pPr>
              <w:jc w:val="center"/>
              <w:ind w:left="5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(Name and address, including zip code, and telephone</w:t>
            </w:r>
          </w:p>
        </w:tc>
        <w:tc>
          <w:tcPr>
            <w:tcW w:w="0" w:type="dxa"/>
            <w:vAlign w:val="bottom"/>
          </w:tcPr>
          <w:p>
            <w:pPr>
              <w:spacing w:after="0"/>
              <w:rPr>
                <w:sz w:val="1"/>
                <w:szCs w:val="1"/>
                <w:color w:val="auto"/>
              </w:rPr>
            </w:pPr>
          </w:p>
        </w:tc>
      </w:tr>
      <w:tr>
        <w:trPr>
          <w:trHeight w:val="238"/>
        </w:trPr>
        <w:tc>
          <w:tcPr>
            <w:tcW w:w="53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including area code, of registrant’s principal executive offices)</w:t>
            </w:r>
          </w:p>
        </w:tc>
        <w:tc>
          <w:tcPr>
            <w:tcW w:w="472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number, including area code, of agent for service)</w:t>
            </w: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Tonya Mitchem Grindon, Esq.</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Nathanael P. Kibler, Esq.</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Baker, Donelson, Bearman, Caldwell &amp; Berkowitz, PC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1600 West End Ave, Suite 2000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Nashville, Tennessee 37203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615-726-5600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141605</wp:posOffset>
            </wp:positionV>
            <wp:extent cx="2846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Approximate date of commencement of proposed sale of securities to the public: From time to time after the effective date of this registration statement.</w:t>
      </w:r>
    </w:p>
    <w:p>
      <w:pPr>
        <w:spacing w:after="0" w:line="94"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240"/>
          </w:cols>
          <w:pgMar w:left="320" w:top="771" w:right="339" w:bottom="1440" w:gutter="0" w:footer="0" w:header="0"/>
        </w:sectPr>
      </w:pPr>
    </w:p>
    <w:bookmarkStart w:id="1" w:name="page2"/>
    <w:bookmarkEnd w:id="1"/>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 (c)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03" w:lineRule="exact"/>
        <w:rPr>
          <w:sz w:val="20"/>
          <w:szCs w:val="20"/>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37" w:right="339" w:bottom="1440" w:gutter="0" w:footer="0" w:header="0"/>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0"/>
          <w:szCs w:val="20"/>
          <w:color w:val="auto"/>
        </w:rPr>
      </w:pPr>
    </w:p>
    <w:p>
      <w:pPr>
        <w:sectPr>
          <w:pgSz w:w="11900" w:h="16838" w:orient="portrait"/>
          <w:cols w:equalWidth="0" w:num="4">
            <w:col w:w="1620" w:space="180"/>
            <w:col w:w="160" w:space="180"/>
            <w:col w:w="1200" w:space="180"/>
            <w:col w:w="7720"/>
          </w:cols>
          <w:pgMar w:left="320" w:top="837"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4" w:lineRule="exact"/>
        <w:rPr>
          <w:sz w:val="20"/>
          <w:szCs w:val="20"/>
          <w:color w:val="auto"/>
        </w:rPr>
      </w:pPr>
    </w:p>
    <w:p>
      <w:pPr>
        <w:sectPr>
          <w:pgSz w:w="11900" w:h="16838" w:orient="portrait"/>
          <w:cols w:equalWidth="0" w:num="4">
            <w:col w:w="1540" w:space="180"/>
            <w:col w:w="160" w:space="220"/>
            <w:col w:w="1960" w:space="180"/>
            <w:col w:w="7000"/>
          </w:cols>
          <w:pgMar w:left="320" w:top="837"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0"/>
          <w:szCs w:val="20"/>
          <w:color w:val="auto"/>
        </w:rPr>
      </w:pPr>
    </w:p>
    <w:p>
      <w:pPr>
        <w:sectPr>
          <w:pgSz w:w="11900" w:h="16838" w:orient="portrait"/>
          <w:cols w:equalWidth="0" w:num="2">
            <w:col w:w="1980" w:space="180"/>
            <w:col w:w="9080"/>
          </w:cols>
          <w:pgMar w:left="320" w:top="837" w:right="339" w:bottom="144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type w:val="continuous"/>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December 14, 2023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$100,000,000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6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$100,000,000 in the aggregate of common stock, preferred stock, or warrants to purchase our common stock or preferred stock, debt securities and/or units consisting of two or more of those classes or series of securities and securities that may be convertible or exchangeable to other securities covered hereby, at prices and on terms that we will determine at the time of the offering. Preferred stock and debt securities may be convertible into preferred stock, common stock, or debt securities. We refer to our common stock, preferred stock, debt securities, warrants, and units hereunder collectively as the “securities.”</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time we sell securities, to the extent required by applicable law, we will provide a supplement to this prospectus that contains specific information about the offering and the terms of the securities being offered. The supplement may also add, update or change information contained in this prospectus. </w:t>
      </w:r>
      <w:r>
        <w:rPr>
          <w:rFonts w:ascii="Times New Roman" w:cs="Times New Roman" w:eastAsia="Times New Roman" w:hAnsi="Times New Roman"/>
          <w:sz w:val="18"/>
          <w:szCs w:val="18"/>
          <w:b w:val="1"/>
          <w:bCs w:val="1"/>
          <w:color w:val="auto"/>
        </w:rPr>
        <w:t>You should carefully read this prospectus, all prospectus supplements and all other documents incorporated by reference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before you invest in our securities.</w:t>
      </w:r>
    </w:p>
    <w:p>
      <w:pPr>
        <w:spacing w:after="0" w:line="1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offer the securities in amounts, at prices and on terms to be determined by market conditions at the time of the offerings. The securities may be offered separately or together in any combination.</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offer the securities directly or through underwriters, agents or dealers. The supplements to this prospectus will designate the terms of our plan of distribution. See the discussion under the heading “Plan of Distribution” for more information on the topic.</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offices are located at 1600 West End Avenue, Suite 1300, Nashville, Tennessee 37203, and our telephone number is (615) 255-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0068.</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“CPIX.” On December 13, 2023, the closing price for our common stock, as reported by Nasdaq, was $1.72 per share.</w:t>
      </w:r>
    </w:p>
    <w:p>
      <w:pPr>
        <w:spacing w:after="0" w:line="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5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Please see “Risk Factors” beginning on page 2 for a discussion of certain risks that you should consider before investing in our securities.</w:t>
      </w:r>
    </w:p>
    <w:p>
      <w:pPr>
        <w:spacing w:after="0" w:line="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securities unless accompanied by a prospectus supplement.</w:t>
      </w:r>
    </w:p>
    <w:p>
      <w:pPr>
        <w:spacing w:after="0" w:line="15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14, 2023.</w:t>
      </w:r>
    </w:p>
    <w:p>
      <w:pPr>
        <w:sectPr>
          <w:pgSz w:w="11900" w:h="16838" w:orient="portrait"/>
          <w:cols w:equalWidth="0" w:num="1">
            <w:col w:w="11240"/>
          </w:cols>
          <w:pgMar w:left="320" w:top="8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70"/>
              </w:rPr>
              <w:t>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CAUTIONARY STATEMENTS REGARDING FORWARD-LOOKING STATEMENTS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OUR COMPANY</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88"/>
              </w:rPr>
              <w:t>15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180" w:type="dxa"/>
            <w:vAlign w:val="bottom"/>
            <w:tcBorders>
              <w:bottom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88"/>
              </w:rPr>
              <w:t>18</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180" w:type="dxa"/>
            <w:vAlign w:val="bottom"/>
            <w:tcBorders>
              <w:bottom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EXPERTS</w:t>
            </w: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INFORMATION INCORPORATED BY REFERENCE</w:t>
            </w: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00"/>
          </w:cols>
          <w:pgMar w:left="400" w:top="1008" w:right="6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using a “shelf” registration process. Using this process, we may sell any combination of the securities described in this prospectus in one or more offerings up to a total dollar amount of $100,000,000.</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time we use this prospectus to offer securities, we will provide a prospectus supplement that will describe the specific terms of the offering.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may also add to or update other information contained in this prospectus.</w:t>
      </w:r>
    </w:p>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making your investment decision, you should rely only on the information contained or incorporated by reference in this prospectus and any prospectus supplement we may authorize to be delivered to you. This prospectus incorporates important business and financial information about us that is not included in or delivered with this prospectus. You may obtain a copy of this information, without charge, as described in the “Where You Can Find More Information” section on page </w:t>
      </w:r>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auto"/>
        </w:rPr>
        <w:t>. We have not authorized anyone to provide you with any other information. If you receive any other information, you should not rely on it.</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appearing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reserves and prospects may have changed since that date.</w:t>
      </w:r>
    </w:p>
    <w:p>
      <w:pPr>
        <w:spacing w:after="0" w:line="1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encourage you to read this entire prospectus together with the documents incorporated by reference into this prospectus before making a decision whether to invest in our securities.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1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certain degree of risk. You should carefully consider the factors contained in our Annual Report on Form 10-K for the fiscal year ended December 31, 2022, under the heading “Risk Factors” and updated, if applicable, in our Quarterly Reports on Form 10-Q before investing in our securities. You should also consider similar information contained in any Annual Report on Form 10-K, Quarterly Report on Form 10-Q or other document filed by us with the Securities and Exchange Commission (the “SEC”) after the date of this prospectus before deciding to invest in our securities. If any of these risks were to occur, our business, financial condition or results of operations could be adversely affected. In that case, the trading price of our common stock or other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prospectus may be deemed to be forward-looking statements. Where any forward-looking statement includes a statement of the assumptions or bases underlying the forward-looking statement, we caution that, while we believe these assumptions or bases to be reasonable and made in good faith, assumed facts or bases almost always vary from the actual results, and the differences between assumed facts or bases and actual results can be material, depending upon the circumstances. Where, in any forward-looking statement, we express an expectation or belief as to future results, such expectation or belief is expressed in good faith and is believed to have a reasonable basis. We cannot assure you, however, that the statement of expectation or belief will result or be achieved or accomplished. These statements relate to analyses and other information which are based on forecasts of future results and estimates of amounts not yet determinable. These statements also relate to our future prospects, developments and business strategies. These forward-looking statements are identified by their use of terms and phrases such as “anticipate,” “believe,” “could,” “estimate,” “expect,” “intend,” “may,” “plan,” “predict,” “project,” “will,” and similar terms and phrases,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12" w:lineRule="exact"/>
        <w:rPr>
          <w:sz w:val="20"/>
          <w:szCs w:val="20"/>
          <w:color w:val="auto"/>
        </w:rPr>
      </w:pPr>
    </w:p>
    <w:p>
      <w:pPr>
        <w:ind w:left="500" w:hanging="330"/>
        <w:spacing w:after="0" w:line="282" w:lineRule="auto"/>
        <w:tabs>
          <w:tab w:leader="none" w:pos="4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or assumed future results of operations, including the accuracy of our estimates regarding expenses, future revenues, capital requirements and needs for additional financing;</w:t>
      </w:r>
    </w:p>
    <w:p>
      <w:pPr>
        <w:spacing w:after="0" w:line="9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or regional economic conditions, including changes in interest rates and the availability and the cost of capital to us;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competitors, including the size and growth potential of the markets for our products and product candidates;</w:t>
      </w:r>
    </w:p>
    <w:p>
      <w:pPr>
        <w:spacing w:after="0" w:line="15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acquisition and development activities and clinical trials; and our ability to successfully commercialize our product candidates;</w:t>
      </w:r>
    </w:p>
    <w:p>
      <w:pPr>
        <w:spacing w:after="0" w:line="94"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efficacy or safety concerns, whether or not based on scientific evidence, resulting in product withdrawals, recalls, regulatory action on the part of the FDA (or international counterparts) or declining sales;</w:t>
      </w:r>
    </w:p>
    <w:p>
      <w:pPr>
        <w:spacing w:after="0" w:line="80"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which impacts our supply chain and could create business shutdowns or product shortages; and the retention of key scientific and management personnel;</w:t>
      </w:r>
    </w:p>
    <w:p>
      <w:pPr>
        <w:spacing w:after="0" w:line="94"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patents and the introduction of generic versions of our products and product candidates, which could negatively impact our ability to commercialize and sell our products and product candidates and decrease sales a result of a market exclusivity;</w:t>
      </w:r>
    </w:p>
    <w:p>
      <w:pPr>
        <w:spacing w:after="0" w:line="94"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14" w:right="339" w:bottom="1440" w:gutter="0" w:footer="0" w:header="0"/>
        </w:sectPr>
      </w:pPr>
    </w:p>
    <w:bookmarkStart w:id="6" w:name="page7"/>
    <w:bookmarkEnd w:id="6"/>
    <w:p>
      <w:pPr>
        <w:jc w:val="both"/>
        <w:ind w:left="500" w:hanging="330"/>
        <w:spacing w:after="0" w:line="243" w:lineRule="auto"/>
        <w:tabs>
          <w:tab w:leader="none" w:pos="49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w:t>
      </w:r>
    </w:p>
    <w:p>
      <w:pPr>
        <w:spacing w:after="0" w:line="127" w:lineRule="exact"/>
        <w:rPr>
          <w:rFonts w:ascii="Arial" w:cs="Arial" w:eastAsia="Arial" w:hAnsi="Arial"/>
          <w:sz w:val="22"/>
          <w:szCs w:val="22"/>
          <w:color w:val="auto"/>
        </w:rPr>
      </w:pPr>
    </w:p>
    <w:p>
      <w:pPr>
        <w:ind w:left="500" w:right="20" w:hanging="330"/>
        <w:spacing w:after="0" w:line="282" w:lineRule="auto"/>
        <w:tabs>
          <w:tab w:leader="none" w:pos="4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rising rate of inflation, volatility in financial markets, and the ongoing conflicts in Eastern Europe and the Middle East; and</w:t>
      </w:r>
    </w:p>
    <w:p>
      <w:pPr>
        <w:spacing w:after="0" w:line="8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revised accounting standards by the Financial Accounting Standards Board and the SEC.</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whether as a result of new information or otherwise. If one or more of these risks or uncertainties materialize, or if underlying assumptions prove incorrect, our actual results may vary materially from those expected, estimated or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58" w:right="339" w:bottom="1440" w:gutter="0" w:footer="0" w:header="0"/>
        </w:sectPr>
      </w:pPr>
    </w:p>
    <w:bookmarkStart w:id="7" w:name="page8"/>
    <w:bookmarkEnd w:id="7"/>
    <w:p>
      <w:pPr>
        <w:ind w:left="49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this prospectus, “Cumberland,” “we,” “our,” and “us” refer to Cumberland Pharmaceuticals Inc., a Tennessee corporation.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Cumberland is a Tennessee corporation. Our principal executive offices are located at 1600 West End Avenue, Suite 1300, Nashville, Tennessee 37203. Our telephone number is (615) 255-0068. We maintain a website at </w:t>
      </w:r>
      <w:r>
        <w:rPr>
          <w:rFonts w:ascii="Times New Roman" w:cs="Times New Roman" w:eastAsia="Times New Roman" w:hAnsi="Times New Roman"/>
          <w:sz w:val="18"/>
          <w:szCs w:val="18"/>
          <w:i w:val="1"/>
          <w:iCs w:val="1"/>
          <w:u w:val="single" w:color="auto"/>
          <w:color w:val="0000FF"/>
        </w:rPr>
        <w:t>www.cumberlandpharma.com</w:t>
      </w:r>
      <w:r>
        <w:rPr>
          <w:rFonts w:ascii="Times New Roman" w:cs="Times New Roman" w:eastAsia="Times New Roman" w:hAnsi="Times New Roman"/>
          <w:sz w:val="18"/>
          <w:szCs w:val="18"/>
          <w:color w:val="auto"/>
        </w:rPr>
        <w:t>, which contains information about us. Our website and the information contained on it and connected to it will not be deemed incorporated by reference into this prospectus. We were incorporated in 1999 and have been headquartered in Nashville, Tennessee since inception. During 2009, we completed an initial public offering of our common stock, which is listed on Nasdaq Global Market under the symbol “CPIX.”</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is a specialty pharmaceutical company focused on the acquisition, development and commercialization of branded prescription products. Our primary target markets are hospital acute care, gastroenterology and rheumatology. These medical specialties are characterized by relatively concentrated prescriber bases that we believe can be penetrated effectively by small, targeted sales forces. Cumberland is dedicated to providing innovative products that improve quality of care for patients and address poorly met medical needs. We promote our approved products through our hospital and field sales forces in the United States and are establishing a network of international partners to register and provide our medicines to patients in their countries.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portfolio of FDA approved brands includes:</w:t>
      </w:r>
    </w:p>
    <w:p>
      <w:pPr>
        <w:spacing w:after="0" w:line="169" w:lineRule="exact"/>
        <w:rPr>
          <w:sz w:val="20"/>
          <w:szCs w:val="20"/>
          <w:color w:val="auto"/>
        </w:rPr>
      </w:pPr>
    </w:p>
    <w:p>
      <w:pPr>
        <w:ind w:left="1320" w:hanging="664"/>
        <w:spacing w:after="0"/>
        <w:tabs>
          <w:tab w:leader="none" w:pos="132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Acetadote® (</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158" w:lineRule="exact"/>
        <w:rPr>
          <w:rFonts w:ascii="Arial" w:cs="Arial" w:eastAsia="Arial" w:hAnsi="Arial"/>
          <w:sz w:val="18"/>
          <w:szCs w:val="18"/>
          <w:b w:val="1"/>
          <w:bCs w:val="1"/>
          <w:color w:val="auto"/>
        </w:rPr>
      </w:pPr>
    </w:p>
    <w:p>
      <w:pPr>
        <w:ind w:left="1320" w:hanging="664"/>
        <w:spacing w:after="0"/>
        <w:tabs>
          <w:tab w:leader="none" w:pos="132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Caldolor® (ibuprofen) Injection for the treatment of pain and fever;</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Kristalose® (lactulose) for Oral Solution, a prescription laxative, for the treatment of chronic and acute constipation;</w:t>
      </w:r>
    </w:p>
    <w:p>
      <w:pPr>
        <w:spacing w:after="0" w:line="170" w:lineRule="exact"/>
        <w:rPr>
          <w:rFonts w:ascii="Arial" w:cs="Arial" w:eastAsia="Arial" w:hAnsi="Arial"/>
          <w:sz w:val="18"/>
          <w:szCs w:val="18"/>
          <w:b w:val="1"/>
          <w:bCs w:val="1"/>
          <w:color w:val="auto"/>
        </w:rPr>
      </w:pPr>
    </w:p>
    <w:p>
      <w:pPr>
        <w:ind w:left="1300" w:hanging="644"/>
        <w:spacing w:after="0" w:line="281" w:lineRule="auto"/>
        <w:tabs>
          <w:tab w:leader="none" w:pos="1323"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Omeclamox®-Pak, (omeprazole, clarithromycin, amoxicillin) for the treatment of Helicobacter pylori (H. pylori) infection and related duodenal ulcer disease;</w:t>
      </w:r>
    </w:p>
    <w:p>
      <w:pPr>
        <w:spacing w:after="0" w:line="94" w:lineRule="exact"/>
        <w:rPr>
          <w:rFonts w:ascii="Arial" w:cs="Arial" w:eastAsia="Arial" w:hAnsi="Arial"/>
          <w:sz w:val="18"/>
          <w:szCs w:val="18"/>
          <w:b w:val="1"/>
          <w:bCs w:val="1"/>
          <w:color w:val="auto"/>
        </w:rPr>
      </w:pPr>
    </w:p>
    <w:p>
      <w:pPr>
        <w:ind w:left="1300" w:hanging="644"/>
        <w:spacing w:after="0" w:line="281" w:lineRule="auto"/>
        <w:tabs>
          <w:tab w:leader="none" w:pos="1337"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Sancuso® (granisetron) transdermal, for the prevention of nausea and vomiting in patients receiving certain types of chemotherapy treatment;</w:t>
      </w:r>
    </w:p>
    <w:p>
      <w:pPr>
        <w:spacing w:after="0" w:line="108" w:lineRule="exact"/>
        <w:rPr>
          <w:rFonts w:ascii="Arial" w:cs="Arial" w:eastAsia="Arial" w:hAnsi="Arial"/>
          <w:sz w:val="18"/>
          <w:szCs w:val="18"/>
          <w:b w:val="1"/>
          <w:bCs w:val="1"/>
          <w:color w:val="auto"/>
        </w:rPr>
      </w:pPr>
    </w:p>
    <w:p>
      <w:pPr>
        <w:ind w:left="1300" w:hanging="644"/>
        <w:spacing w:after="0" w:line="281" w:lineRule="auto"/>
        <w:tabs>
          <w:tab w:leader="none" w:pos="131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Vaprisol® (conivaptan) Injection, to raise serum sodium levels in hospitalized patients with euvolemic and hypervolemic hyponatremia; and</w:t>
      </w:r>
    </w:p>
    <w:p>
      <w:pPr>
        <w:spacing w:after="0" w:line="108" w:lineRule="exact"/>
        <w:rPr>
          <w:rFonts w:ascii="Arial" w:cs="Arial" w:eastAsia="Arial" w:hAnsi="Arial"/>
          <w:sz w:val="18"/>
          <w:szCs w:val="18"/>
          <w:b w:val="1"/>
          <w:bCs w:val="1"/>
          <w:color w:val="auto"/>
        </w:rPr>
      </w:pPr>
    </w:p>
    <w:p>
      <w:pPr>
        <w:ind w:left="1300" w:right="20" w:hanging="644"/>
        <w:spacing w:after="0" w:line="281" w:lineRule="auto"/>
        <w:tabs>
          <w:tab w:leader="none" w:pos="1337"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Vibativ® (telavancin) Injection, for the treatment of certain serious bacterial infections including hospital-acquired and ventilator-associated bacterial pneumonia, as well as complicated skin and skin structure infections.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these commercial brands, we have Phase II clinical programs underway evaluating our ifetroban product candidates for patients with cardiomyopathy associated with (1) Duchenne Muscular Dystrophy (“DMD”), a fatal, genetic neuromuscular disease and (2) Systemic Sclerosis (“SSc”) or scleroderma, a debilitating autoimmune disorder characterized by fibrosis of the skin and internal organs.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Cumberland has built core competencies in the acquisition, development and commercialization of pharmaceutical products in the United States – and we believe we can leverage this existing infrastructure to support our continued growth both domestically and internationally. Our management team consists of pharmaceutical industry veterans with experience in business development, product development, regulatory, manufacturing, sales, marketing and finance. 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success of our existing brands while continuing to build a portfolio of differentiated products. We currently feature seven products approved by the FDA in the United States. We are also continuing to establish international partnerships to bring our medicines to patients in other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14"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could further develop and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1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accompanying this prospectus, we expect to use the net proceeds from the sale of our securities for general corporate purposes, which may include, among other things, the financing of capital expenditures, acquisitions and additions to our working capital. The actual application of proceeds from the sale of any particular tranche of securities issued hereunder will be described in the applicable prospectus supplement relating to such tranche of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capital consists of 120,000,000 shares of stock at no par value. Of the authorized capital, 100,000,000 shares are authorized to be issued as common stock and 20,000,000 shares are authorized to be issued as preferred stock. Our issued and outstanding shares of common stock as of December 13, 2023 consisted of 14,904,786 shares which were held by 179 shareholders of record, which excludes shareholders whose shares are held in nominee or street name by brokers. To date, there are no issued and outstanding shares of preferred stock.</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summarizes general terms and provisions that apply to our capital stock. Since this is only a summary, it does not contain all of the information that may be important to you. The summary is subject to and qualified in its entirety by reference to our Fourth Amended and Restated Charter and our Second Amended and Restated Bylaws, which are incorporated by reference into this prospectus. See “Where You Can Find More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all matters submitted to a vote of shareholders, holders of common stock are entitled to one vote for each share registered in his or her name on our books, and they do not have cumulative voting rights. Each share of the common stock is entitled to share equally with each other share of common stock in dividends from sources legally available therefore, when, as, and if declared by the board of directors and, upon our liquidation or dissolution, whether voluntary or involuntary, to share equally in the assets that are available for distribution to the holders of the common stock. We have not paid any cash dividends since our inception. Holders of our common stock have no preemptive, subscription, redemption or conversion rights. The board of directors is authorized to issue additional shares of common stock within the limits authorized by our Fourth Amended and Restated Charter and without shareholder 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classes or series, each such class or series to be so designated as to distinguish the shares thereof from the shares of all other series and classes. The board of directors is authorized to divide preferred stock into classes or series and to fix and determine the relative rights, preferences, qualifications and limitations of the shares of any class or series so established. The number of shares of Preferred Stock the Company may offer is up to 20,000,000 and those shares can be one or more classes or series.</w:t>
      </w:r>
    </w:p>
    <w:p>
      <w:pPr>
        <w:spacing w:after="0" w:line="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designated 3 million shares of Preferred Stock as Series A (“Series A”), but none of which is issued and outstanding. A summary of the terms of the Series A is set forth below:</w:t>
      </w:r>
    </w:p>
    <w:p>
      <w:pPr>
        <w:spacing w:after="0" w:line="108" w:lineRule="exact"/>
        <w:rPr>
          <w:sz w:val="20"/>
          <w:szCs w:val="20"/>
          <w:color w:val="auto"/>
        </w:rPr>
      </w:pPr>
    </w:p>
    <w:p>
      <w:pPr>
        <w:ind w:left="1320" w:hanging="664"/>
        <w:spacing w:after="0"/>
        <w:tabs>
          <w:tab w:leader="none" w:pos="13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Currently there are 3 million shares of Series A designated,</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 a liquidation value of $3.25,</w:t>
      </w:r>
    </w:p>
    <w:p>
      <w:pPr>
        <w:spacing w:after="0" w:line="156" w:lineRule="exact"/>
        <w:rPr>
          <w:rFonts w:ascii="Arial" w:cs="Arial" w:eastAsia="Arial" w:hAnsi="Arial"/>
          <w:sz w:val="18"/>
          <w:szCs w:val="18"/>
          <w:b w:val="1"/>
          <w:bCs w:val="1"/>
          <w:color w:val="auto"/>
        </w:rPr>
      </w:pPr>
    </w:p>
    <w:p>
      <w:pPr>
        <w:ind w:left="1320" w:hanging="664"/>
        <w:spacing w:after="0"/>
        <w:tabs>
          <w:tab w:leader="none" w:pos="13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dividend rate on parity with the common stock,</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voting rights equal to one vote per share,</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 redeemable or subject to a sinking fund;</w:t>
      </w:r>
    </w:p>
    <w:p>
      <w:pPr>
        <w:spacing w:after="0" w:line="156" w:lineRule="exact"/>
        <w:rPr>
          <w:rFonts w:ascii="Arial" w:cs="Arial" w:eastAsia="Arial" w:hAnsi="Arial"/>
          <w:sz w:val="18"/>
          <w:szCs w:val="18"/>
          <w:b w:val="1"/>
          <w:bCs w:val="1"/>
          <w:color w:val="auto"/>
        </w:rPr>
      </w:pPr>
    </w:p>
    <w:p>
      <w:pPr>
        <w:ind w:left="1320" w:hanging="664"/>
        <w:spacing w:after="0"/>
        <w:tabs>
          <w:tab w:leader="none" w:pos="13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price at which the preferred stock will be issued will be set by the Company;</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preferences, qualifications, limitations and restrictions on the remaining shares of Preferred Stock shall be set by the Company prior to issuance and those terms of any new series or classes of preferred stock will be filed with the SEC. The Company will determine whether the preferred stock is convertible or exchangeable for any other securities, and the terms of any such conversion. All other rights, preferences, qualifications, limitations and restrictions of the preferred stock shall be established by the Company before issuance and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14"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to sell preferred stock, our board of directors is authorized to designate and issue shares of preferred stock in one or more series without shareholder approval. Our board of directors would have discretion to determine the rights, preferences, privileges and restrictions, including voting rights, dividend rights, conversion rights, redemption privileges and liquidation preferences, of each series of preferred stock.</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conditions and provisions of the Series A Preferred Stock are described in Exhibit 4.2.</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not possible to state the actual effect of the issuance of any shares of preferred stock upon the rights of holders of our common stock until the board of directors determines the specific rights of the holders of the preferred stock. However, these effects might include:</w:t>
      </w:r>
    </w:p>
    <w:p>
      <w:pPr>
        <w:spacing w:after="0" w:line="108" w:lineRule="exact"/>
        <w:rPr>
          <w:sz w:val="20"/>
          <w:szCs w:val="20"/>
          <w:color w:val="auto"/>
        </w:rPr>
      </w:pPr>
    </w:p>
    <w:p>
      <w:pPr>
        <w:ind w:left="1320" w:hanging="664"/>
        <w:spacing w:after="0"/>
        <w:tabs>
          <w:tab w:leader="none" w:pos="13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restricting dividends on the common stock;</w:t>
      </w:r>
    </w:p>
    <w:p>
      <w:pPr>
        <w:spacing w:after="0" w:line="156" w:lineRule="exact"/>
        <w:rPr>
          <w:rFonts w:ascii="Arial" w:cs="Arial" w:eastAsia="Arial" w:hAnsi="Arial"/>
          <w:sz w:val="18"/>
          <w:szCs w:val="18"/>
          <w:b w:val="1"/>
          <w:bCs w:val="1"/>
          <w:color w:val="auto"/>
        </w:rPr>
      </w:pPr>
    </w:p>
    <w:p>
      <w:pPr>
        <w:ind w:left="1320" w:hanging="664"/>
        <w:spacing w:after="0"/>
        <w:tabs>
          <w:tab w:leader="none" w:pos="13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diluting the voting power of the common stock;</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impairing the liquidation rights of the common stock; and</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delaying or preventing a change in control of our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or Registrar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and registrar of our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jc w:val="both"/>
        <w:ind w:firstLine="226"/>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Global Market under the symbol “CPIX.” On December 13, 2023, the closing price for our common stock, as reported on Nasdaq, was $1.72 per share.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Warrants may be issued independently or together with common stock or preferred stock offered by any prospectus supplement and may be attached to or separate from any such offered securities. Series of warrants may be issued under a separate warrant agreement entered into between us and a bank or trust company, as warrant agent, all as will be set forth in the prospectus supplement relating to the particular issue of warrants. The warrant agent would act solely as our agent in connection with the warrants and would not assume any obligation or relationship of agency or trust for or with any holders of warrants or beneficial owners of warrants.</w:t>
      </w:r>
    </w:p>
    <w:p>
      <w:pPr>
        <w:spacing w:after="0" w:line="1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warrants does not purport to be complete and is subject to, and is qualified in its entirety by reference to, all provisions of the warrant agreements.</w:t>
      </w:r>
    </w:p>
    <w:p>
      <w:pPr>
        <w:spacing w:after="0" w:line="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94" w:lineRule="exact"/>
        <w:rPr>
          <w:sz w:val="20"/>
          <w:szCs w:val="20"/>
          <w:color w:val="auto"/>
        </w:rPr>
      </w:pPr>
    </w:p>
    <w:p>
      <w:pPr>
        <w:ind w:left="1300" w:right="20" w:hanging="644"/>
        <w:spacing w:after="0" w:line="281" w:lineRule="auto"/>
        <w:tabs>
          <w:tab w:leader="none" w:pos="131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number of shares of common stock or preferred stock purchasable upon the exercise of warrants to purchase common stock or preferred stock and the price at which such number of shares of common stock or preferred stock may be purchased upon such exercise;</w:t>
      </w:r>
    </w:p>
    <w:p>
      <w:pPr>
        <w:spacing w:after="0" w:line="108" w:lineRule="exact"/>
        <w:rPr>
          <w:rFonts w:ascii="Arial" w:cs="Arial" w:eastAsia="Arial" w:hAnsi="Arial"/>
          <w:sz w:val="18"/>
          <w:szCs w:val="18"/>
          <w:b w:val="1"/>
          <w:bCs w:val="1"/>
          <w:color w:val="auto"/>
        </w:rPr>
      </w:pPr>
    </w:p>
    <w:p>
      <w:pPr>
        <w:ind w:left="1320" w:hanging="664"/>
        <w:spacing w:after="0"/>
        <w:tabs>
          <w:tab w:leader="none" w:pos="13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United States federal income tax consequences applicable to such warrants;</w:t>
      </w:r>
    </w:p>
    <w:p>
      <w:pPr>
        <w:spacing w:after="0" w:line="156" w:lineRule="exact"/>
        <w:rPr>
          <w:rFonts w:ascii="Arial" w:cs="Arial" w:eastAsia="Arial" w:hAnsi="Arial"/>
          <w:sz w:val="18"/>
          <w:szCs w:val="18"/>
          <w:b w:val="1"/>
          <w:bCs w:val="1"/>
          <w:color w:val="auto"/>
        </w:rPr>
      </w:pPr>
    </w:p>
    <w:p>
      <w:pPr>
        <w:ind w:left="1320" w:hanging="664"/>
        <w:spacing w:after="0"/>
        <w:tabs>
          <w:tab w:leader="none" w:pos="13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 of warrants outstanding as of the most recent practicable date; and</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terms of such warrants.</w:t>
      </w:r>
    </w:p>
    <w:p>
      <w:pPr>
        <w:spacing w:after="0" w:line="1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Warrants will be issued in registered form only. The exercise price for warrants will be subject to adjustment in accordance with the applicable prospectus supplement.</w:t>
      </w:r>
    </w:p>
    <w:p>
      <w:pPr>
        <w:spacing w:after="0" w:line="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thereof to purchase such number of shares of common stock or preferred stock at such exercise price as shall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us, unexercised warrants will become void. The place or places where, and the manner in which, warrants may be exercised shall be specified in the prospectus supplement relating to such warrants.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18"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exercise of any warrants to purchase common stock or preferred stock, holders of such warrants will not have any of the rights of holders of common stock or preferred stock, as the case may be, purchasable upon such exercise, including the right to receive payments of dividends, if any, on the common stock purchasable upon such exercise, or to exercise any applicable right to vote.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of debt securities to which any prospectus supplement may relate. A prospectus supplement will describe the terms relating to any debt securities to be offered in greater detail, and may provide information that is different from this prospectus. If the information in the prospectus supplement differs with respect to the particular debt securities being offered from this prospectus, you should rely on the information in the prospectus supplement. The debt securities may be issued from time to time in one or more series. The particular terms of each series that are offered by a prospectus supplement will be described in the prospectus supplement.</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conduct a portion of our operations through subsidiaries. Unless the debt securities are guaranteed by our subsidiaries as described below, the rights of our company and our creditors, including holders of the debt securities, to participate in the assets of any subsidiary upon the latter’s liquidation or reorganization will be subject to the prior claims of the subsidiary’s creditors, except to the extent that we may ourselves be a creditor with recognized claims against such subsidiary.</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debt securities will be either our senior debt securities or our subordinated debt securities. The senior debt securities and the subordinated debt securities will be issued under separate indentures among us, and any domestic subsidiaries that become guarantors of the debt securities (and are added as co-registrants to the registration statement of which this prospectus supplement forms a part), and a trustee that meets certain requirements and is selected by us (the “Trustee”). Senior debt securities will be issued under a “Senior Indenture” and subordinated debt securities will be issued under a “Subordinated Indenture.” Together, the Senior Indenture and the Subordinated Indenture are called “Indentures.”</w:t>
      </w:r>
    </w:p>
    <w:p>
      <w:pPr>
        <w:spacing w:after="0" w:line="1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summarized selected provisions of the Indentures below. The summary is not complete and is qualified in its entirety by express reference to the provisions of the Indentures. The form of each Indenture has been filed with the SEC as an exhibit to the registration statement of which this prospectus is a part, and you should read the Indentures for provisions that may be important to you. In the summary below, we have included references to article or section numbers of the applicable Indenture so that you can easily locate these provisions. Whenever we refer in this prospectus or in the prospectus supplement to particular article or sections or defined terms of the Indentures, those article or sections or defined terms are incorporated by reference herein or therein, as applicable. The Indentures will be subject to and governed by certain provisions of the Trust Indenture Act of 1939, and we refer you to the Indentures and the Trust Indenture Act for a statement of such provisions. Capitalized terms used in the summary have the meanings specified in the Indentures.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offer debt securities under this prospectus. The Indentures do not limit the aggregate amount of debt securities, and we may issue debt securities up to the aggregate principal amount which may be authorized from time to time by the board of directors. The Indentures provide that debt securities in separate series may be issued thereunder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 The debt securities will be our unsecured obligations.</w:t>
      </w:r>
    </w:p>
    <w:p>
      <w:pPr>
        <w:spacing w:after="0" w:line="1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subordinated in right of payment to the prior payment in full of all of our Senior Debt as described under “—Subordination of Subordinated Debt Securities” and in the prospectus supplement applicable to any subordinated debt securities. If the prospectus supplement so indicates, the debt securities will be convertible into our common stock (Section 301).</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price or prices at which the debt securities to be offered will be issued and will describe the following terms of such debt securities:</w:t>
      </w:r>
    </w:p>
    <w:p>
      <w:pPr>
        <w:spacing w:after="0" w:line="81" w:lineRule="exact"/>
        <w:rPr>
          <w:sz w:val="20"/>
          <w:szCs w:val="20"/>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 of the debt securities;</w:t>
      </w:r>
    </w:p>
    <w:p>
      <w:pPr>
        <w:spacing w:after="0" w:line="157" w:lineRule="exact"/>
        <w:rPr>
          <w:rFonts w:ascii="Times New Roman" w:cs="Times New Roman" w:eastAsia="Times New Roman" w:hAnsi="Times New Roman"/>
          <w:sz w:val="18"/>
          <w:szCs w:val="18"/>
          <w:color w:val="auto"/>
        </w:rPr>
      </w:pPr>
    </w:p>
    <w:p>
      <w:pPr>
        <w:ind w:firstLine="656"/>
        <w:spacing w:after="0" w:line="282"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debt securities or subordinated debt securities and, if subordinated debt securities, the related subordination terms;</w:t>
      </w:r>
    </w:p>
    <w:p>
      <w:pPr>
        <w:spacing w:after="0" w:line="9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4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5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69" w:right="339" w:bottom="1440" w:gutter="0" w:footer="0" w:header="0"/>
        </w:sectPr>
      </w:pPr>
    </w:p>
    <w:bookmarkStart w:id="12" w:name="page13"/>
    <w:bookmarkEnd w:id="12"/>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payments on the debt securities will be payable;</w:t>
      </w:r>
    </w:p>
    <w:p>
      <w:pPr>
        <w:spacing w:after="0" w:line="14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upon which the debt securities may be redeemed, in whole or in part, at our option;</w:t>
      </w:r>
    </w:p>
    <w:p>
      <w:pPr>
        <w:spacing w:after="0" w:line="15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157" w:lineRule="exact"/>
        <w:rPr>
          <w:rFonts w:ascii="Times New Roman" w:cs="Times New Roman" w:eastAsia="Times New Roman" w:hAnsi="Times New Roman"/>
          <w:sz w:val="18"/>
          <w:szCs w:val="18"/>
          <w:color w:val="auto"/>
        </w:rPr>
      </w:pPr>
    </w:p>
    <w:p>
      <w:pPr>
        <w:ind w:right="20" w:firstLine="656"/>
        <w:spacing w:after="0" w:line="282"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if less than all, of the debt securities that will be payable upon declaration of acceleration of the Maturity of the debt securities;</w:t>
      </w:r>
    </w:p>
    <w:p>
      <w:pPr>
        <w:spacing w:after="0" w:line="8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defeasible;</w:t>
      </w:r>
    </w:p>
    <w:p>
      <w:pPr>
        <w:spacing w:after="0" w:line="157"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w:t>
      </w:r>
    </w:p>
    <w:p>
      <w:pPr>
        <w:spacing w:after="0" w:line="157" w:lineRule="exact"/>
        <w:rPr>
          <w:rFonts w:ascii="Times New Roman" w:cs="Times New Roman" w:eastAsia="Times New Roman" w:hAnsi="Times New Roman"/>
          <w:sz w:val="18"/>
          <w:szCs w:val="18"/>
          <w:color w:val="auto"/>
        </w:rPr>
      </w:pPr>
    </w:p>
    <w:p>
      <w:pPr>
        <w:ind w:right="20" w:firstLine="656"/>
        <w:spacing w:after="0" w:line="282" w:lineRule="auto"/>
        <w:tabs>
          <w:tab w:leader="none" w:pos="12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into our common stock and, if so, the terms and conditions upon which conversion will be effected, including the initial conversion price or conversion rate and any adjustments thereto and the conversion period;</w:t>
      </w:r>
    </w:p>
    <w:p>
      <w:pPr>
        <w:spacing w:after="0" w:line="8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in the Indenture applicable to the debt securities; and</w:t>
      </w:r>
    </w:p>
    <w:p>
      <w:pPr>
        <w:spacing w:after="0" w:line="15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 (Section 301).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our direct-unsecured obligations and will constitute senior indebtedness (in each case as defined in the applicable Supplemental Indenture) ranking on a parity with all of our other unsecured and unsubordinated indebtedness.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will, to the extent set forth in the Subordinated Indenture with respect to each series of subordinated debt securities, be subordinate in right of payment to the prior payment in full of all of our Senior Debt, including the senior debt securities, and it may also be senior in right of payment to all of our Subordinated Debt (Article Twelve of the Subordinated Indenture). The prospectus supplement relating to any subordinated debt securities will summarize the subordination provisions of the Subordinated Indenture applicable to that series including:</w:t>
      </w:r>
    </w:p>
    <w:p>
      <w:pPr>
        <w:spacing w:after="0" w:line="116" w:lineRule="exact"/>
        <w:rPr>
          <w:sz w:val="20"/>
          <w:szCs w:val="20"/>
          <w:color w:val="auto"/>
        </w:rPr>
      </w:pPr>
    </w:p>
    <w:p>
      <w:pPr>
        <w:jc w:val="both"/>
        <w:ind w:left="1300" w:hanging="644"/>
        <w:spacing w:after="0" w:line="265" w:lineRule="auto"/>
        <w:tabs>
          <w:tab w:leader="none" w:pos="1337"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applicability and effect of such provisions upon any payment or distribution respecting that series following any liquidation, dissolution or other winding-up, or any assignment for the benefit of creditors or other marshaling of assets or any bankruptcy, insolvency or similar proceedings;</w:t>
      </w:r>
    </w:p>
    <w:p>
      <w:pPr>
        <w:spacing w:after="0" w:line="123" w:lineRule="exact"/>
        <w:rPr>
          <w:rFonts w:ascii="Arial" w:cs="Arial" w:eastAsia="Arial" w:hAnsi="Arial"/>
          <w:sz w:val="18"/>
          <w:szCs w:val="18"/>
          <w:b w:val="1"/>
          <w:bCs w:val="1"/>
          <w:color w:val="auto"/>
        </w:rPr>
      </w:pPr>
    </w:p>
    <w:p>
      <w:pPr>
        <w:jc w:val="both"/>
        <w:ind w:left="1300" w:hanging="644"/>
        <w:spacing w:after="0" w:line="265" w:lineRule="auto"/>
        <w:tabs>
          <w:tab w:leader="none" w:pos="135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applicability and effect of such provisions in the event of specified defaults with respect to any Senior Debt, including the circumstances under which and the periods in which we will be prohibited from making payments on the subordinated debt securities; and</w:t>
      </w:r>
    </w:p>
    <w:p>
      <w:pPr>
        <w:spacing w:after="0" w:line="123" w:lineRule="exact"/>
        <w:rPr>
          <w:rFonts w:ascii="Arial" w:cs="Arial" w:eastAsia="Arial" w:hAnsi="Arial"/>
          <w:sz w:val="18"/>
          <w:szCs w:val="18"/>
          <w:b w:val="1"/>
          <w:bCs w:val="1"/>
          <w:color w:val="auto"/>
        </w:rPr>
      </w:pPr>
    </w:p>
    <w:p>
      <w:pPr>
        <w:ind w:left="1300" w:hanging="644"/>
        <w:spacing w:after="0" w:line="281" w:lineRule="auto"/>
        <w:tabs>
          <w:tab w:leader="none" w:pos="1337"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definition of Senior Debt applicable to the subordinated debt securities of that series and, if the series is issued on a senior subordinated basis, the definition of Subordinated Debt applicable to that series.</w:t>
      </w:r>
    </w:p>
    <w:p>
      <w:pPr>
        <w:spacing w:after="0" w:line="94" w:lineRule="exact"/>
        <w:rPr>
          <w:rFonts w:ascii="Arial" w:cs="Arial" w:eastAsia="Arial" w:hAnsi="Arial"/>
          <w:sz w:val="18"/>
          <w:szCs w:val="18"/>
          <w:b w:val="1"/>
          <w:bCs w:val="1"/>
          <w:color w:val="auto"/>
        </w:rPr>
      </w:pPr>
    </w:p>
    <w:p>
      <w:pPr>
        <w:ind w:left="1300" w:right="20" w:hanging="644"/>
        <w:spacing w:after="0" w:line="281" w:lineRule="auto"/>
        <w:tabs>
          <w:tab w:leader="none" w:pos="131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prospectus supplement will also describe as of a recent date the approximate amount of Senior Debt to which the subordinated debt securities of that series will be subordinated.</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“—Legal Defeasance and Covenant Defeasance.”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 (Section 305).</w:t>
      </w:r>
    </w:p>
    <w:p>
      <w:pPr>
        <w:sectPr>
          <w:pgSz w:w="11900" w:h="16838" w:orient="portrait"/>
          <w:cols w:equalWidth="0" w:num="1">
            <w:col w:w="11240"/>
          </w:cols>
          <w:pgMar w:left="320" w:top="918"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918" w:right="339" w:bottom="1440" w:gutter="0" w:footer="0" w:header="0"/>
          <w:type w:val="continuous"/>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(Section 305).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108" w:lineRule="exact"/>
        <w:rPr>
          <w:sz w:val="20"/>
          <w:szCs w:val="20"/>
          <w:color w:val="auto"/>
        </w:rPr>
      </w:pPr>
    </w:p>
    <w:p>
      <w:pPr>
        <w:ind w:firstLine="656"/>
        <w:spacing w:after="0" w:line="282" w:lineRule="auto"/>
        <w:tabs>
          <w:tab w:leader="none" w:pos="10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for such Global Security or has ceased to be qualified to act as such as required by the applicable Indenture, and in either case we fail to appoint a successor Depositary within 90 days;</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0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debt securities represented by such Global Security has occurred and is continuing and the Trustee has received a written request from the Depositary to issue certificated debt securities; or</w:t>
      </w:r>
    </w:p>
    <w:p>
      <w:pPr>
        <w:spacing w:after="0" w:line="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exist, in addition to or in lieu of those described above, as may be described in the applicable prospectus supplement.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debt securities issued in exchange for a Global Security or any portion thereof will be registered in such names as the Depositary may direct (Sections 205 and 305).</w:t>
      </w:r>
    </w:p>
    <w:p>
      <w:pPr>
        <w:spacing w:after="0" w:line="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(Section 308).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is represents for any purpose under the debt securities or the applicable Indenture. All payments on a Global Security will be made to the Depositary or its nominee, as the case may be, as the Holder of the security. The laws of some jurisdictions require that some purchasers of debt securities take physical delivery of such debt securities in definitive form. These laws may impair the ability to transfer beneficial interests in a Global Security.</w:t>
      </w:r>
    </w:p>
    <w:p>
      <w:pPr>
        <w:spacing w:after="0" w:line="1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Subsidiary Guarantors,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18"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Trustees or our agents, the Subsidiary Guarantors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 (Section 307).</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 (Section 1003).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into, or transfer, lease or otherwise dispose of all or substantially all of our assets to, any Person (a “successor Person”), and may not permit any Person to consolidate with or merge into us, unless:</w:t>
      </w:r>
    </w:p>
    <w:p>
      <w:pPr>
        <w:spacing w:after="0" w:line="81" w:lineRule="exact"/>
        <w:rPr>
          <w:sz w:val="20"/>
          <w:szCs w:val="20"/>
          <w:color w:val="auto"/>
        </w:rPr>
      </w:pPr>
    </w:p>
    <w:p>
      <w:pPr>
        <w:jc w:val="both"/>
        <w:ind w:firstLine="656"/>
        <w:spacing w:after="0" w:line="266" w:lineRule="auto"/>
        <w:tabs>
          <w:tab w:leader="none" w:pos="10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(if any) is a corporation, partnership, trust or other entity organized and validly existing under the laws of any domestic jurisdiction and assumes our obligations on the debt securities and under the Indentures including the due and punctual payment of the principal of, any premium on, and any interest on, all of the outstanding debt securities and the performance of every covenant applicable to be performed or observed by us;</w:t>
      </w:r>
    </w:p>
    <w:p>
      <w:pPr>
        <w:spacing w:after="0" w:line="108" w:lineRule="exact"/>
        <w:rPr>
          <w:rFonts w:ascii="Times New Roman" w:cs="Times New Roman" w:eastAsia="Times New Roman" w:hAnsi="Times New Roman"/>
          <w:sz w:val="18"/>
          <w:szCs w:val="18"/>
          <w:color w:val="auto"/>
        </w:rPr>
      </w:pPr>
    </w:p>
    <w:p>
      <w:pPr>
        <w:ind w:firstLine="656"/>
        <w:spacing w:after="0" w:line="282" w:lineRule="auto"/>
        <w:tabs>
          <w:tab w:leader="none" w:pos="10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giving pro forma effect to the transaction, no Event of Default, and no event which, after notice or lapse of time or both, would become an Event of Default, has occurred and is continuing;</w:t>
      </w:r>
    </w:p>
    <w:p>
      <w:pPr>
        <w:spacing w:after="0" w:line="94" w:lineRule="exact"/>
        <w:rPr>
          <w:rFonts w:ascii="Times New Roman" w:cs="Times New Roman" w:eastAsia="Times New Roman" w:hAnsi="Times New Roman"/>
          <w:sz w:val="18"/>
          <w:szCs w:val="18"/>
          <w:color w:val="auto"/>
        </w:rPr>
      </w:pPr>
    </w:p>
    <w:p>
      <w:pPr>
        <w:ind w:right="20" w:firstLine="656"/>
        <w:spacing w:after="0" w:line="282" w:lineRule="auto"/>
        <w:tabs>
          <w:tab w:leader="none" w:pos="11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such consolidation, merger, conveyance or transfer and such Supplemental Indenture comply with the foregoing provisions relating to such transaction; and</w:t>
      </w:r>
    </w:p>
    <w:p>
      <w:pPr>
        <w:spacing w:after="0" w:line="80" w:lineRule="exact"/>
        <w:rPr>
          <w:rFonts w:ascii="Times New Roman" w:cs="Times New Roman" w:eastAsia="Times New Roman" w:hAnsi="Times New Roman"/>
          <w:sz w:val="18"/>
          <w:szCs w:val="18"/>
          <w:color w:val="auto"/>
        </w:rPr>
      </w:pPr>
    </w:p>
    <w:p>
      <w:pPr>
        <w:ind w:firstLine="656"/>
        <w:spacing w:after="0" w:line="282" w:lineRule="auto"/>
        <w:tabs>
          <w:tab w:leader="none" w:pos="11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other conditions, including any additional conditions with respect to any particular debt securities specified in the applicable prospectus supplement, are met (Section 801).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each of the following will constitute an Event of Default under the applicable Indenture with respect to debt securities of any series:</w:t>
      </w:r>
    </w:p>
    <w:p>
      <w:pPr>
        <w:spacing w:after="0" w:line="81" w:lineRule="exact"/>
        <w:rPr>
          <w:sz w:val="20"/>
          <w:szCs w:val="20"/>
          <w:color w:val="auto"/>
        </w:rPr>
      </w:pPr>
    </w:p>
    <w:p>
      <w:pPr>
        <w:ind w:firstLine="656"/>
        <w:spacing w:after="0" w:line="282" w:lineRule="auto"/>
        <w:tabs>
          <w:tab w:leader="none" w:pos="10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 whether or not, in the case of subordinated debt securities, such payment is prohibited by the subordination provisions of the Subordinated Indenture;</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0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securities of that series when due, continued for 30 days, whether or not, in the case of subordinated debt securities, such payment is prohibited by the subordination provisions of the Subordinated Indenture;</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1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 in respect of any debt security of that series, whether or not, in the case of subordinated debt securities, such deposit is prohibited by the subordination provisions of the Subordinated Indenture;</w:t>
      </w:r>
    </w:p>
    <w:p>
      <w:pPr>
        <w:spacing w:after="0" w:line="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comply with the provisions described under “—Consolidation, Merger and Sale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18" w:right="339" w:bottom="1440" w:gutter="0" w:footer="0" w:header="0"/>
        </w:sectPr>
      </w:pPr>
    </w:p>
    <w:bookmarkStart w:id="15" w:name="page16"/>
    <w:bookmarkEnd w:id="15"/>
    <w:p>
      <w:pPr>
        <w:jc w:val="both"/>
        <w:ind w:firstLine="656"/>
        <w:spacing w:after="0" w:line="266" w:lineRule="auto"/>
        <w:tabs>
          <w:tab w:leader="none" w:pos="10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and</w:t>
      </w:r>
    </w:p>
    <w:p>
      <w:pPr>
        <w:spacing w:after="0" w:line="9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affecting us or any Significant Subsidiary.</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(other than an Event of Default with respect to Cumberland Pharmaceuticals Inc. described in clause (6)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If an Event of Default with respect to Cumberland Pharmaceuticals Inc. described in clause (6)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(Section 502). For information as to waiver of defaults, see “—Modification and Waiver” below.</w:t>
      </w:r>
    </w:p>
    <w:p>
      <w:pPr>
        <w:spacing w:after="0" w:line="1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default under other indebtedness of the Company will not be a default under the Indentures and a default under one series of debt securities will not necessarily be a default under another series. Any additions, deletions or other changes to the Events of Default which will apply to a series of debt securities will be described in the prospectus supplement relating to such series of debt securities.</w:t>
      </w:r>
    </w:p>
    <w:p>
      <w:pPr>
        <w:spacing w:after="0" w:line="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Indentures, the trustee must give to the holders of each series of debt securities notice of all uncured defaults known to it with respect to such series within 90 days after such a default occurs (the term default to include the events specified above without notice or grace periods). However, except in the case of default in the payment of principal of, any premium on, or any interest on any of the debt securities, or default in the payment of any sinking or purchase fund installment or analogous obligations, the trustee shall be protected in withholding such notice if it in good faith determines that the withholding of such notice is in the interests of the holders of the debt securities of such series (Section 602).</w:t>
      </w:r>
    </w:p>
    <w:p>
      <w:pPr>
        <w:spacing w:after="0" w:line="1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indemnity (Section 603).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Holder of a debt security of any series will have any right to institute any proceeding with respect to the applicable Indenture, or for the appointment of a receiver or a trustee, or for any other remedy thereunder, unless:</w:t>
      </w:r>
    </w:p>
    <w:p>
      <w:pPr>
        <w:spacing w:after="0" w:line="81" w:lineRule="exact"/>
        <w:rPr>
          <w:sz w:val="20"/>
          <w:szCs w:val="20"/>
          <w:color w:val="auto"/>
        </w:rPr>
      </w:pPr>
    </w:p>
    <w:p>
      <w:pPr>
        <w:ind w:firstLine="656"/>
        <w:spacing w:after="0" w:line="282" w:lineRule="auto"/>
        <w:tabs>
          <w:tab w:leader="none" w:pos="10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under the applicable Indenture written notice of a continuing Event of Default with respect to the debt securities of that series;</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94" w:lineRule="exact"/>
        <w:rPr>
          <w:rFonts w:ascii="Times New Roman" w:cs="Times New Roman" w:eastAsia="Times New Roman" w:hAnsi="Times New Roman"/>
          <w:sz w:val="18"/>
          <w:szCs w:val="18"/>
          <w:color w:val="auto"/>
        </w:rPr>
      </w:pPr>
    </w:p>
    <w:p>
      <w:pPr>
        <w:ind w:right="20" w:firstLine="656"/>
        <w:spacing w:after="0" w:line="282" w:lineRule="auto"/>
        <w:tabs>
          <w:tab w:leader="none" w:pos="11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 (Section 507).</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(Section 508).</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 (Section 1004).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the trustee may, without the consent of the holders of the debt securities, enter into one or more Supplemental Indentures for, among others, one or more of the following purposes, provided that in the case of clauses (2), (3), (4) and (6), the interests of the holders of debt securities would not be adversely affected:</w:t>
      </w:r>
    </w:p>
    <w:p>
      <w:pPr>
        <w:spacing w:after="0" w:line="108" w:lineRule="exact"/>
        <w:rPr>
          <w:sz w:val="20"/>
          <w:szCs w:val="20"/>
          <w:color w:val="auto"/>
        </w:rPr>
      </w:pPr>
    </w:p>
    <w:p>
      <w:pPr>
        <w:ind w:right="20" w:firstLine="656"/>
        <w:spacing w:after="0" w:line="282" w:lineRule="auto"/>
        <w:tabs>
          <w:tab w:leader="none" w:pos="11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of our obligations under the applicable Indenture and the debt securities of any series;</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0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by us, or surrender any of our rights conferred by the applicable Indenture, for the benefit of the holders of debt securities of any or all series;</w:t>
      </w:r>
    </w:p>
    <w:p>
      <w:pPr>
        <w:spacing w:after="0" w:line="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in or make any other provision with respect to questions arising under the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13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series of debt securities, including any subordinated securities;</w:t>
      </w:r>
    </w:p>
    <w:p>
      <w:pPr>
        <w:spacing w:after="0" w:line="157" w:lineRule="exact"/>
        <w:rPr>
          <w:rFonts w:ascii="Times New Roman" w:cs="Times New Roman" w:eastAsia="Times New Roman" w:hAnsi="Times New Roman"/>
          <w:sz w:val="18"/>
          <w:szCs w:val="18"/>
          <w:color w:val="auto"/>
        </w:rPr>
      </w:pPr>
    </w:p>
    <w:p>
      <w:pPr>
        <w:ind w:firstLine="656"/>
        <w:spacing w:after="0" w:line="282" w:lineRule="auto"/>
        <w:tabs>
          <w:tab w:leader="none" w:pos="10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any successor trustee with respect to one or more series of debt securities or to facilitate the administration of the trusts thereunder by one or more trustees in accordance with the applicable Indenture; and</w:t>
      </w:r>
    </w:p>
    <w:p>
      <w:pPr>
        <w:spacing w:after="0" w:line="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additional Events of Default (Section 901).</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Modifications and amendments of an Indenture may be made by us, the Subsidiary Guarantors, if applicable, and the applicable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108" w:lineRule="exact"/>
        <w:rPr>
          <w:sz w:val="20"/>
          <w:szCs w:val="20"/>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w:t>
      </w:r>
    </w:p>
    <w:p>
      <w:pPr>
        <w:spacing w:after="0" w:line="14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debt security;</w:t>
      </w:r>
    </w:p>
    <w:p>
      <w:pPr>
        <w:spacing w:after="0" w:line="15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or any other debt security payable upon acceleration of the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139" w:lineRule="exact"/>
        <w:rPr>
          <w:sz w:val="20"/>
          <w:szCs w:val="20"/>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any debt security;</w:t>
      </w:r>
    </w:p>
    <w:p>
      <w:pPr>
        <w:spacing w:after="0" w:line="14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due on or any conversion right with respect to any debt security;</w:t>
      </w:r>
    </w:p>
    <w:p>
      <w:pPr>
        <w:spacing w:after="0" w:line="157" w:lineRule="exact"/>
        <w:rPr>
          <w:rFonts w:ascii="Times New Roman" w:cs="Times New Roman" w:eastAsia="Times New Roman" w:hAnsi="Times New Roman"/>
          <w:sz w:val="18"/>
          <w:szCs w:val="18"/>
          <w:color w:val="auto"/>
        </w:rPr>
      </w:pPr>
    </w:p>
    <w:p>
      <w:pPr>
        <w:ind w:firstLine="656"/>
        <w:spacing w:after="0" w:line="282" w:lineRule="auto"/>
        <w:tabs>
          <w:tab w:leader="none" w:pos="11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case of subordinated debt securities, or modify any conversion provisions, in either case in a manner adverse to the Holders of the subordinated debt securities;</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1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spacing w:after="0" w:line="80" w:lineRule="exact"/>
        <w:rPr>
          <w:rFonts w:ascii="Times New Roman" w:cs="Times New Roman" w:eastAsia="Times New Roman" w:hAnsi="Times New Roman"/>
          <w:sz w:val="18"/>
          <w:szCs w:val="18"/>
          <w:color w:val="auto"/>
        </w:rPr>
      </w:pPr>
    </w:p>
    <w:p>
      <w:pPr>
        <w:ind w:firstLine="656"/>
        <w:spacing w:after="0" w:line="282" w:lineRule="auto"/>
        <w:tabs>
          <w:tab w:leader="none" w:pos="11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 or</w:t>
      </w:r>
    </w:p>
    <w:p>
      <w:pPr>
        <w:spacing w:after="0" w:line="9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amendment or waiver (Section 902).</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may waive compliance by us with certain restrictive provisions of the applicable Indenture (Section 1009). 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 (Section 513).</w:t>
      </w:r>
    </w:p>
    <w:p>
      <w:pPr>
        <w:spacing w:after="0" w:line="1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Indentures provides that in determining whether the Holders of the requisite principal amount of the Outstanding debt securities have given or taken any direction, notice, consent, waiver or other action under such Indenture as of any date:</w:t>
      </w:r>
    </w:p>
    <w:p>
      <w:pPr>
        <w:spacing w:after="0" w:line="94" w:lineRule="exact"/>
        <w:rPr>
          <w:sz w:val="20"/>
          <w:szCs w:val="20"/>
          <w:color w:val="auto"/>
        </w:rPr>
      </w:pPr>
    </w:p>
    <w:p>
      <w:pPr>
        <w:ind w:firstLine="656"/>
        <w:spacing w:after="0" w:line="282" w:lineRule="auto"/>
        <w:tabs>
          <w:tab w:leader="none" w:pos="10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14" w:right="339" w:bottom="1440" w:gutter="0" w:footer="0" w:header="0"/>
        </w:sectPr>
      </w:pPr>
    </w:p>
    <w:bookmarkStart w:id="17" w:name="page18"/>
    <w:bookmarkEnd w:id="17"/>
    <w:p>
      <w:pPr>
        <w:jc w:val="both"/>
        <w:ind w:firstLine="656"/>
        <w:spacing w:after="0" w:line="266" w:lineRule="auto"/>
        <w:tabs>
          <w:tab w:leader="none" w:pos="11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w:t>
      </w:r>
    </w:p>
    <w:p>
      <w:pPr>
        <w:spacing w:after="0" w:line="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debt securities, including those owned by us or any of our other Affiliates, will not be deemed to be Outstanding (Section 101). 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(Section 104).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144" w:lineRule="exact"/>
        <w:rPr>
          <w:sz w:val="20"/>
          <w:szCs w:val="20"/>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58" w:lineRule="exact"/>
        <w:rPr>
          <w:sz w:val="20"/>
          <w:szCs w:val="20"/>
          <w:color w:val="auto"/>
        </w:rPr>
      </w:pPr>
    </w:p>
    <w:p>
      <w:pPr>
        <w:jc w:val="both"/>
        <w:ind w:firstLine="656"/>
        <w:spacing w:after="0" w:line="266" w:lineRule="auto"/>
        <w:tabs>
          <w:tab w:leader="none" w:pos="11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08"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102" w:lineRule="exact"/>
        <w:rPr>
          <w:sz w:val="20"/>
          <w:szCs w:val="20"/>
          <w:color w:val="auto"/>
        </w:rPr>
      </w:pPr>
    </w:p>
    <w:p>
      <w:pPr>
        <w:ind w:left="1040" w:hanging="384"/>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with respect to the debt securities of that series; and</w:t>
      </w:r>
    </w:p>
    <w:p>
      <w:pPr>
        <w:spacing w:after="0" w:line="157" w:lineRule="exact"/>
        <w:rPr>
          <w:rFonts w:ascii="Times New Roman" w:cs="Times New Roman" w:eastAsia="Times New Roman" w:hAnsi="Times New Roman"/>
          <w:sz w:val="18"/>
          <w:szCs w:val="18"/>
          <w:color w:val="auto"/>
        </w:rPr>
      </w:pPr>
    </w:p>
    <w:p>
      <w:pPr>
        <w:ind w:firstLine="656"/>
        <w:spacing w:after="0" w:line="282" w:lineRule="auto"/>
        <w:tabs>
          <w:tab w:leader="none" w:pos="10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of the Indenture with respect to the debt securities of that series have been satisfied (Article Four).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indicated in the applicable prospectus supplement, we may elect, at our option at any time, to have the provisions of Section 1502, relating to defeasance and discharge of indebtedness, which we call “legal defeasance” or Section 1503, relating to defeasance of certain restrictive covenants applied to the debt securities of any series, or to any specified part of a series, which we call “covenant defeasance” (Section 1501).</w:t>
      </w:r>
    </w:p>
    <w:p>
      <w:pPr>
        <w:spacing w:after="0" w:line="1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Indentures provide that, upon our exercise of our option (if any) to have Section 1502 applied to any debt securities,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w:t>
      </w:r>
    </w:p>
    <w:p>
      <w:pPr>
        <w:spacing w:after="0" w:line="119" w:lineRule="exact"/>
        <w:rPr>
          <w:sz w:val="20"/>
          <w:szCs w:val="20"/>
          <w:color w:val="auto"/>
        </w:rPr>
      </w:pPr>
    </w:p>
    <w:p>
      <w:pPr>
        <w:jc w:val="both"/>
        <w:ind w:firstLine="656"/>
        <w:spacing w:after="0" w:line="261" w:lineRule="auto"/>
        <w:tabs>
          <w:tab w:leader="none" w:pos="106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18" w:right="339" w:bottom="1440" w:gutter="0" w:footer="0" w:header="0"/>
        </w:sectPr>
      </w:pPr>
    </w:p>
    <w:bookmarkStart w:id="18" w:name="page19"/>
    <w:bookmarkEnd w:id="18"/>
    <w:p>
      <w:pPr>
        <w:jc w:val="both"/>
        <w:ind w:firstLine="656"/>
        <w:spacing w:after="0" w:line="266" w:lineRule="auto"/>
        <w:tabs>
          <w:tab w:leader="none" w:pos="10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(6) under “—Events of Default,” at any time until 121 days after such deposit;</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0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and legal defeasance will not result in a breach or violation of, or constitute a default under, any agreement or instrument to which we are a party or by which we are bound;</w:t>
      </w:r>
    </w:p>
    <w:p>
      <w:pPr>
        <w:spacing w:after="0" w:line="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w:t>
      </w:r>
    </w:p>
    <w:p>
      <w:pPr>
        <w:spacing w:after="0" w:line="112" w:lineRule="exact"/>
        <w:rPr>
          <w:rFonts w:ascii="Times New Roman" w:cs="Times New Roman" w:eastAsia="Times New Roman" w:hAnsi="Times New Roman"/>
          <w:sz w:val="18"/>
          <w:szCs w:val="18"/>
          <w:color w:val="auto"/>
        </w:rPr>
      </w:pPr>
    </w:p>
    <w:p>
      <w:pPr>
        <w:ind w:firstLine="656"/>
        <w:spacing w:after="0" w:line="282" w:lineRule="auto"/>
        <w:tabs>
          <w:tab w:leader="none" w:pos="10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Opinion of Counsel to the effect that such deposit shall not cause the Trustee or the trust so created to be subject to the Investment Company Act of 1940 (Sections 1502 and 1504).</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The Indentures provide that, upon our exercise of our option (if any) to have Section 1503 applied to any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omit to comply with certain restrictive covenants (but not to conversion, if applicable), including those that may be described in the applicable prospectus supplement, the occurrence of certain Events of Default, which are described above in clause (5) (with respect to such restrictive covenants) and clause (6) (with respect only to Significant Subsidiaries) under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1503 and 1504).</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exercise either our legal defeasance or covenant defeasance option, any Subsidiary Guarantees will terminate (Section 1304).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Notices to Holders of debt securities will be given by mail to the addresses of such Holders as they may appear in the Security Register (Sections 101 and 106).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the Subsidiary Guarantors, the Trustees and any agent of us, the Subsidiary Guarantors or a Trustee may treat the Person in whose name a debt security is registered as the absolute owner of the debt security (whether or not such debt security may be overdue) for the purpose of making payment and for all other purposes (Section 308).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 of the State of New York (Section 112).</w:t>
      </w:r>
    </w:p>
    <w:p>
      <w:pPr>
        <w:spacing w:after="0" w:line="1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issue units comprised of common stock, preferred stock, warrants and other securities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18" w:right="339" w:bottom="1440" w:gutter="0" w:footer="0" w:header="0"/>
        </w:sectPr>
      </w:pPr>
    </w:p>
    <w:bookmarkStart w:id="19" w:name="page20"/>
    <w:bookmarkEnd w:id="19"/>
    <w:p>
      <w:pPr>
        <w:spacing w:after="0" w:line="289" w:lineRule="auto"/>
        <w:rPr>
          <w:sz w:val="20"/>
          <w:szCs w:val="20"/>
          <w:color w:val="auto"/>
        </w:rPr>
      </w:pPr>
      <w:r>
        <w:rPr>
          <w:rFonts w:ascii="Times New Roman" w:cs="Times New Roman" w:eastAsia="Times New Roman" w:hAnsi="Times New Roman"/>
          <w:sz w:val="17"/>
          <w:szCs w:val="17"/>
          <w:color w:val="auto"/>
        </w:rPr>
        <w:t>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0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26" w:lineRule="exact"/>
        <w:rPr>
          <w:sz w:val="20"/>
          <w:szCs w:val="20"/>
          <w:color w:val="auto"/>
        </w:rPr>
      </w:pPr>
    </w:p>
    <w:p>
      <w:pPr>
        <w:ind w:left="980" w:right="520" w:hanging="324"/>
        <w:spacing w:after="0" w:line="282" w:lineRule="auto"/>
        <w:tabs>
          <w:tab w:leader="none" w:pos="9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U.S. federal income tax considerations relating to the units;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17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Stock", "Description of Preferred Stock," and "Description of Warrants" will apply to the securities included in each unit, to the extent relevant and as may be updated in any prospectus supplements.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7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without Consent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71"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 any provisions of the governing unit agreement that differ from those described below;</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71"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31"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with Consent</w:t>
      </w:r>
    </w:p>
    <w:p>
      <w:pPr>
        <w:spacing w:after="0" w:line="17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08" w:lineRule="exact"/>
        <w:rPr>
          <w:sz w:val="20"/>
          <w:szCs w:val="20"/>
          <w:color w:val="auto"/>
        </w:rPr>
      </w:pPr>
    </w:p>
    <w:p>
      <w:pPr>
        <w:ind w:left="980" w:right="360" w:hanging="324"/>
        <w:spacing w:after="0" w:line="282" w:lineRule="auto"/>
        <w:tabs>
          <w:tab w:leader="none" w:pos="9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0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71" w:lineRule="exact"/>
        <w:rPr>
          <w:sz w:val="20"/>
          <w:szCs w:val="20"/>
          <w:color w:val="auto"/>
        </w:rPr>
      </w:pPr>
    </w:p>
    <w:p>
      <w:pPr>
        <w:ind w:left="980" w:right="580" w:hanging="324"/>
        <w:spacing w:after="0" w:line="282" w:lineRule="auto"/>
        <w:tabs>
          <w:tab w:leader="none" w:pos="9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07" w:lineRule="exact"/>
        <w:rPr>
          <w:rFonts w:ascii="Times New Roman" w:cs="Times New Roman" w:eastAsia="Times New Roman" w:hAnsi="Times New Roman"/>
          <w:sz w:val="18"/>
          <w:szCs w:val="18"/>
          <w:color w:val="auto"/>
        </w:rPr>
      </w:pPr>
    </w:p>
    <w:p>
      <w:pPr>
        <w:jc w:val="both"/>
        <w:ind w:left="980" w:right="320" w:hanging="324"/>
        <w:spacing w:after="0" w:line="282" w:lineRule="auto"/>
        <w:tabs>
          <w:tab w:leader="none" w:pos="9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0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Agreements Will Not Be Qualified under Trust Indenture Act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holders of units issued under unit agreements will not have the protections of the Trust Indenture Act with respect to their units.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Similar Transactions Permitted; No Restrictive Covenants or Events of Default</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Exchange and Transfer</w:t>
      </w:r>
    </w:p>
    <w:p>
      <w:pPr>
        <w:spacing w:after="0" w:line="1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80"/>
          </w:cols>
          <w:pgMar w:left="320" w:top="931" w:right="39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171" w:lineRule="exact"/>
        <w:rPr>
          <w:sz w:val="20"/>
          <w:szCs w:val="20"/>
          <w:color w:val="auto"/>
        </w:rPr>
      </w:pPr>
    </w:p>
    <w:p>
      <w:pPr>
        <w:ind w:left="1300" w:right="1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08"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08" w:lineRule="exact"/>
        <w:rPr>
          <w:sz w:val="20"/>
          <w:szCs w:val="20"/>
          <w:color w:val="auto"/>
        </w:rPr>
      </w:pPr>
    </w:p>
    <w:p>
      <w:pPr>
        <w:ind w:left="1300" w:right="80"/>
        <w:spacing w:after="0" w:line="261"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126" w:lineRule="exact"/>
        <w:rPr>
          <w:sz w:val="20"/>
          <w:szCs w:val="20"/>
          <w:color w:val="auto"/>
        </w:rPr>
      </w:pPr>
    </w:p>
    <w:p>
      <w:pPr>
        <w:ind w:left="1300" w:right="120"/>
        <w:spacing w:after="0" w:line="256" w:lineRule="auto"/>
        <w:rPr>
          <w:sz w:val="20"/>
          <w:szCs w:val="20"/>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33" w:lineRule="exact"/>
        <w:rPr>
          <w:sz w:val="20"/>
          <w:szCs w:val="20"/>
          <w:color w:val="auto"/>
        </w:rPr>
      </w:pPr>
    </w:p>
    <w:p>
      <w:pPr>
        <w:ind w:right="1740" w:firstLine="648"/>
        <w:spacing w:after="0" w:line="438" w:lineRule="auto"/>
        <w:rPr>
          <w:sz w:val="20"/>
          <w:szCs w:val="20"/>
          <w:color w:val="auto"/>
        </w:rPr>
      </w:pPr>
      <w:r>
        <w:rPr>
          <w:rFonts w:ascii="Times New Roman" w:cs="Times New Roman" w:eastAsia="Times New Roman" w:hAnsi="Times New Roman"/>
          <w:sz w:val="18"/>
          <w:szCs w:val="18"/>
          <w:color w:val="auto"/>
        </w:rPr>
        <w:t xml:space="preserve">Only the depositary will be entitled to transfer or exchange a unit in global form, since it will be the sole holder of the unit. </w:t>
      </w:r>
      <w:r>
        <w:rPr>
          <w:rFonts w:ascii="Times New Roman" w:cs="Times New Roman" w:eastAsia="Times New Roman" w:hAnsi="Times New Roman"/>
          <w:sz w:val="18"/>
          <w:szCs w:val="18"/>
          <w:i w:val="1"/>
          <w:iCs w:val="1"/>
          <w:color w:val="auto"/>
        </w:rPr>
        <w:t>Payments and Notices</w:t>
      </w:r>
    </w:p>
    <w:p>
      <w:pPr>
        <w:spacing w:after="0" w:line="1"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from time to time pursuant to underwritten public offering, negotiated transactions, block trades or a combination of these methods in the United States through underwriters or dealers, directly to purchasers or through agents or in ordinary brokerage transactions and transactions in which the broker-dealer solicits purchasers. The securities may be distributed from time to time in one or more transactions:</w:t>
      </w:r>
    </w:p>
    <w:p>
      <w:pPr>
        <w:spacing w:after="0" w:line="135" w:lineRule="exact"/>
        <w:rPr>
          <w:sz w:val="20"/>
          <w:szCs w:val="20"/>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a fixed price or prices, which may be changed;</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market prices prevailing at the time of sale;</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prices related to such prevailing market prices; or</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negotiated prices.</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the extent required by applicable law, a prospectus supplement will include the following information:</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the offering;</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names of any underwriters or agents;</w:t>
      </w:r>
    </w:p>
    <w:p>
      <w:pPr>
        <w:spacing w:after="0" w:line="183" w:lineRule="exact"/>
        <w:rPr>
          <w:rFonts w:ascii="Arial" w:cs="Arial" w:eastAsia="Arial" w:hAnsi="Arial"/>
          <w:sz w:val="18"/>
          <w:szCs w:val="18"/>
          <w:b w:val="1"/>
          <w:bCs w:val="1"/>
          <w:color w:val="auto"/>
        </w:rPr>
      </w:pPr>
    </w:p>
    <w:p>
      <w:pPr>
        <w:ind w:left="1300" w:hanging="644"/>
        <w:spacing w:after="0" w:line="281" w:lineRule="auto"/>
        <w:tabs>
          <w:tab w:leader="none" w:pos="131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purchase price of the securities and, if the purchase price is not payable in U.S. dollars, the currency or composite currency in which the purchase price is payable;</w:t>
      </w:r>
    </w:p>
    <w:p>
      <w:pPr>
        <w:spacing w:after="0" w:line="12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net proceeds to us from the sale of the common stock;</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delayed delivery arrangements;</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initial public offering price;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31" w:right="339" w:bottom="1440" w:gutter="0" w:footer="0" w:header="0"/>
        </w:sectPr>
      </w:pPr>
    </w:p>
    <w:bookmarkStart w:id="22" w:name="page23"/>
    <w:bookmarkEnd w:id="22"/>
    <w:p>
      <w:pPr>
        <w:ind w:left="1320" w:hanging="664"/>
        <w:spacing w:after="0"/>
        <w:tabs>
          <w:tab w:leader="none" w:pos="132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commissions paid to agents.</w:t>
      </w:r>
    </w:p>
    <w:p>
      <w:pPr>
        <w:spacing w:after="0" w:line="17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maximum consideration or discount to be received by any FINRA member or independent broker dealer may not exceed 8% of the aggregate proceeds of the offering.</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4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will be passed upon for us by Baker, Donelson, Bearman, Caldwell &amp; Berkowitz, PC. Legal counsel to any underwriters may pass upon legal matters for such underwriters.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schedule of Cumberland Pharmaceuticals Inc. as of December 31, 2022 and 2021, and for each of the two years in the period ended December 31, 2022 incorporated by reference in this prospectus have been so incorporated in reliance on the reports of FORVIS, LLP (formerly BKD, LLP), an independent registered public accounting firm, incorporated herein by reference, given on the authority of said firm as expert in auditing and accounting.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Our SEC filings are also available on our website located at </w:t>
      </w:r>
      <w:r>
        <w:rPr>
          <w:rFonts w:ascii="Times New Roman" w:cs="Times New Roman" w:eastAsia="Times New Roman" w:hAnsi="Times New Roman"/>
          <w:sz w:val="18"/>
          <w:szCs w:val="18"/>
          <w:i w:val="1"/>
          <w:iCs w:val="1"/>
          <w:color w:val="auto"/>
        </w:rPr>
        <w:t>www.cumberlandpharma.com</w:t>
      </w:r>
      <w:r>
        <w:rPr>
          <w:rFonts w:ascii="Times New Roman" w:cs="Times New Roman" w:eastAsia="Times New Roman" w:hAnsi="Times New Roman"/>
          <w:sz w:val="18"/>
          <w:szCs w:val="18"/>
          <w:color w:val="auto"/>
        </w:rPr>
        <w:t>. Information contained on our website is not incorporated by reference into this prospectus and, therefore, is not part of this prospectus or any accompanying prospectus supplement.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incorporating by reference in this prospectus the documents that we file with the SEC. This means that we are disclosing important information to you by referring to these filings. The information we incorporate by reference is considered a part of this prospectus, and subsequent information that we file with the SEC will automatically update and supersede this information.</w:t>
      </w:r>
    </w:p>
    <w:p>
      <w:pPr>
        <w:spacing w:after="0" w:line="12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other subsequently filed document that is considered to be incorporated by reference in this prospectus modifies or supersedes such statement.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following documents that we have filed with the SEC:</w:t>
      </w:r>
    </w:p>
    <w:p>
      <w:pPr>
        <w:spacing w:after="0" w:line="185" w:lineRule="exact"/>
        <w:rPr>
          <w:sz w:val="20"/>
          <w:szCs w:val="20"/>
          <w:color w:val="auto"/>
        </w:rPr>
      </w:pPr>
    </w:p>
    <w:p>
      <w:pPr>
        <w:jc w:val="both"/>
        <w:ind w:left="1300" w:hanging="644"/>
        <w:spacing w:after="0" w:line="265" w:lineRule="auto"/>
        <w:tabs>
          <w:tab w:leader="none" w:pos="13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2022, filed on </w:t>
      </w:r>
      <w:hyperlink r:id="rId14">
        <w:r>
          <w:rPr>
            <w:rFonts w:ascii="Times New Roman" w:cs="Times New Roman" w:eastAsia="Times New Roman" w:hAnsi="Times New Roman"/>
            <w:sz w:val="18"/>
            <w:szCs w:val="18"/>
            <w:u w:val="single" w:color="auto"/>
            <w:color w:val="0000FF"/>
          </w:rPr>
          <w:t>March 13, 2023</w:t>
        </w:r>
      </w:hyperlink>
      <w:r>
        <w:rPr>
          <w:rFonts w:ascii="Times New Roman" w:cs="Times New Roman" w:eastAsia="Times New Roman" w:hAnsi="Times New Roman"/>
          <w:sz w:val="18"/>
          <w:szCs w:val="18"/>
          <w:color w:val="auto"/>
        </w:rPr>
        <w:t>, including information specifically incorporated by reference into our Form 10-K from our Proxy Statement for our Annual Meeting of Shareholders held on March 15, 2023;</w:t>
      </w:r>
    </w:p>
    <w:p>
      <w:pPr>
        <w:spacing w:after="0" w:line="13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10-Q for the quarter ended March 31, 2023, filed on </w:t>
      </w:r>
      <w:hyperlink r:id="rId15">
        <w:r>
          <w:rPr>
            <w:rFonts w:ascii="Times New Roman" w:cs="Times New Roman" w:eastAsia="Times New Roman" w:hAnsi="Times New Roman"/>
            <w:sz w:val="18"/>
            <w:szCs w:val="18"/>
            <w:u w:val="single" w:color="auto"/>
            <w:color w:val="0000FF"/>
          </w:rPr>
          <w:t>May 12, 2023</w:t>
        </w:r>
      </w:hyperlink>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10-Q for the quarter ended June 30, 2023, filed on </w:t>
      </w:r>
      <w:hyperlink r:id="rId16">
        <w:r>
          <w:rPr>
            <w:rFonts w:ascii="Times New Roman" w:cs="Times New Roman" w:eastAsia="Times New Roman" w:hAnsi="Times New Roman"/>
            <w:sz w:val="18"/>
            <w:szCs w:val="18"/>
            <w:u w:val="single" w:color="auto"/>
            <w:color w:val="0000FF"/>
          </w:rPr>
          <w:t>August 11, 2023</w:t>
        </w:r>
      </w:hyperlink>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10-Q for the quarter ended September 30, 2023, filed on </w:t>
      </w:r>
      <w:hyperlink r:id="rId17">
        <w:r>
          <w:rPr>
            <w:rFonts w:ascii="Times New Roman" w:cs="Times New Roman" w:eastAsia="Times New Roman" w:hAnsi="Times New Roman"/>
            <w:sz w:val="18"/>
            <w:szCs w:val="18"/>
            <w:u w:val="single" w:color="auto"/>
            <w:color w:val="0000FF"/>
          </w:rPr>
          <w:t>November 13, 2023</w:t>
        </w:r>
      </w:hyperlink>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5" w:lineRule="auto"/>
        <w:tabs>
          <w:tab w:leader="none" w:pos="1310" w:val="left"/>
        </w:tabs>
        <w:numPr>
          <w:ilvl w:val="0"/>
          <w:numId w:val="31"/>
        </w:numPr>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auto"/>
          </w:rPr>
          <w:t xml:space="preserve">Current Report on Form 8-K and 8-K/A filed with the SEC on </w:t>
        </w:r>
        <w:r>
          <w:rPr>
            <w:rFonts w:ascii="Times New Roman" w:cs="Times New Roman" w:eastAsia="Times New Roman" w:hAnsi="Times New Roman"/>
            <w:sz w:val="18"/>
            <w:szCs w:val="18"/>
            <w:u w:val="single" w:color="auto"/>
            <w:color w:val="0000FF"/>
          </w:rPr>
          <w:t>January 17,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April 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April 17,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April</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28, 2023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May 16,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May 24,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June 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June 7,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June 22,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June 30,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September 6, 2023</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October 13,</w:t>
        </w:r>
      </w:hyperlink>
      <w:r>
        <w:rPr>
          <w:rFonts w:ascii="Times New Roman" w:cs="Times New Roman" w:eastAsia="Times New Roman" w:hAnsi="Times New Roman"/>
          <w:sz w:val="18"/>
          <w:szCs w:val="18"/>
          <w:color w:val="0000FF"/>
        </w:rPr>
        <w:t xml:space="preserve"> </w:t>
      </w:r>
      <w:hyperlink r:id="rId19">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 and</w:t>
        </w:r>
      </w:hyperlink>
    </w:p>
    <w:p>
      <w:pPr>
        <w:spacing w:after="0" w:line="136" w:lineRule="exact"/>
        <w:rPr>
          <w:rFonts w:ascii="Times New Roman" w:cs="Times New Roman" w:eastAsia="Times New Roman" w:hAnsi="Times New Roman"/>
          <w:sz w:val="18"/>
          <w:szCs w:val="18"/>
          <w:color w:val="0000FF"/>
        </w:rPr>
      </w:pPr>
    </w:p>
    <w:p>
      <w:pPr>
        <w:jc w:val="both"/>
        <w:ind w:left="1300" w:hanging="644"/>
        <w:spacing w:after="0" w:line="265" w:lineRule="auto"/>
        <w:tabs>
          <w:tab w:leader="none" w:pos="13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its registration statement on </w:t>
      </w:r>
      <w:hyperlink r:id="rId20">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August 1, 2007, as amended on Form 8-A/A filed on </w:t>
      </w:r>
      <w:hyperlink r:id="rId21">
        <w:r>
          <w:rPr>
            <w:rFonts w:ascii="Times New Roman" w:cs="Times New Roman" w:eastAsia="Times New Roman" w:hAnsi="Times New Roman"/>
            <w:sz w:val="18"/>
            <w:szCs w:val="18"/>
            <w:u w:val="single" w:color="auto"/>
            <w:color w:val="0000FF"/>
          </w:rPr>
          <w:t>August 2, 2007</w:t>
        </w:r>
      </w:hyperlink>
      <w:r>
        <w:rPr>
          <w:rFonts w:ascii="Times New Roman" w:cs="Times New Roman" w:eastAsia="Times New Roman" w:hAnsi="Times New Roman"/>
          <w:sz w:val="18"/>
          <w:szCs w:val="18"/>
          <w:color w:val="auto"/>
        </w:rPr>
        <w:t>, and any amendment or report subsequently filed for the purpose of updating such description.</w:t>
      </w:r>
    </w:p>
    <w:p>
      <w:pPr>
        <w:spacing w:after="0" w:line="123" w:lineRule="exact"/>
        <w:rPr>
          <w:rFonts w:ascii="Arial" w:cs="Arial" w:eastAsia="Arial" w:hAnsi="Arial"/>
          <w:sz w:val="18"/>
          <w:szCs w:val="18"/>
          <w:b w:val="1"/>
          <w:bCs w:val="1"/>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incorporate by reference into this prospectus (i) all other reports filed pursuant to Section 13(a) or 15(d) of the Exchange Act since December 31, 2022, except for information furnished under Form 8-K which is not deemed filed and not incorporated herein by reference, (ii) all documents filed by us pursuant to Section 13(a), 13(c), 14 or 15(d) of the Exchange Act subsequent to the date of this prospectus and before we have sold all of the common stock to which the prospectus relates or the offering is otherwise terminated and (iii) all documents filed by us pursuant to the Exchange Act after the date of the initial registration statement and prior to effectiveness of the registration statement.</w:t>
      </w:r>
    </w:p>
    <w:p>
      <w:pPr>
        <w:spacing w:after="0" w:line="129" w:lineRule="exact"/>
        <w:rPr>
          <w:rFonts w:ascii="Arial" w:cs="Arial" w:eastAsia="Arial" w:hAnsi="Arial"/>
          <w:sz w:val="18"/>
          <w:szCs w:val="18"/>
          <w:b w:val="1"/>
          <w:bCs w:val="1"/>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a copy of any or all of the information that has been incorporated in this prospectus by reference but not delivered with this prospectus. Requests for copies should be directed to Cumberland Pharmaceuticals Inc., ATTN: Investor Relations, 1600 West End Avenue, Suite 1300, Nashville, Tennessee 37203, telephone (615) 255-0068.</w:t>
      </w:r>
    </w:p>
    <w:p>
      <w:pPr>
        <w:sectPr>
          <w:pgSz w:w="11900" w:h="16838" w:orient="portrait"/>
          <w:cols w:equalWidth="0" w:num="1">
            <w:col w:w="11240"/>
          </w:cols>
          <w:pgMar w:left="320" w:top="927" w:right="339" w:bottom="1440" w:gutter="0" w:footer="0" w:header="0"/>
        </w:sectPr>
      </w:pPr>
    </w:p>
    <w:p>
      <w:pPr>
        <w:spacing w:after="0" w:line="200" w:lineRule="exact"/>
        <w:rPr>
          <w:rFonts w:ascii="Arial" w:cs="Arial" w:eastAsia="Arial" w:hAnsi="Arial"/>
          <w:sz w:val="18"/>
          <w:szCs w:val="18"/>
          <w:b w:val="1"/>
          <w:bCs w:val="1"/>
          <w:color w:val="auto"/>
        </w:rPr>
      </w:pPr>
    </w:p>
    <w:p>
      <w:pPr>
        <w:spacing w:after="0" w:line="223" w:lineRule="exact"/>
        <w:rPr>
          <w:rFonts w:ascii="Arial" w:cs="Arial" w:eastAsia="Arial" w:hAnsi="Arial"/>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27"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0" w:lineRule="exact"/>
        <w:rPr>
          <w:sz w:val="20"/>
          <w:szCs w:val="20"/>
          <w:color w:val="auto"/>
        </w:rPr>
      </w:pPr>
    </w:p>
    <w:p>
      <w:pPr>
        <w:spacing w:after="0" w:line="31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expenses payable by Cumberland Pharmaceuticals Inc. (sometimes referred to as the “Company” in this Part II of the registration statement) in connection with the issuance and distribution of the securities.</w:t>
      </w:r>
    </w:p>
    <w:p>
      <w:pPr>
        <w:spacing w:after="0" w:line="200" w:lineRule="exact"/>
        <w:rPr>
          <w:sz w:val="20"/>
          <w:szCs w:val="20"/>
          <w:color w:val="auto"/>
        </w:rPr>
      </w:pPr>
    </w:p>
    <w:p>
      <w:pPr>
        <w:spacing w:after="0" w:line="313"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4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SEC registration fee</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$14,760</w:t>
            </w:r>
          </w:p>
        </w:tc>
      </w:tr>
      <w:tr>
        <w:trPr>
          <w:trHeight w:val="229"/>
        </w:trPr>
        <w:tc>
          <w:tcPr>
            <w:tcW w:w="4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FINRA Fee</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Legal fees and expenses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9"/>
              </w:rPr>
              <w:t>Transfer agent and registrar fees and expenses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4360" w:type="dxa"/>
            <w:vAlign w:val="bottom"/>
          </w:tcPr>
          <w:p>
            <w:pPr>
              <w:jc w:val="right"/>
              <w:ind w:right="950"/>
              <w:spacing w:after="0" w:line="194" w:lineRule="exact"/>
              <w:rPr>
                <w:sz w:val="20"/>
                <w:szCs w:val="20"/>
                <w:color w:val="auto"/>
              </w:rPr>
            </w:pPr>
            <w:r>
              <w:rPr>
                <w:rFonts w:ascii="Times New Roman" w:cs="Times New Roman" w:eastAsia="Times New Roman" w:hAnsi="Times New Roman"/>
                <w:sz w:val="18"/>
                <w:szCs w:val="18"/>
                <w:color w:val="auto"/>
              </w:rPr>
              <w:t>Miscellaneous</w:t>
            </w:r>
          </w:p>
        </w:tc>
        <w:tc>
          <w:tcPr>
            <w:tcW w:w="1540" w:type="dxa"/>
            <w:vAlign w:val="bottom"/>
            <w:gridSpan w:val="2"/>
          </w:tcPr>
          <w:p>
            <w:pPr>
              <w:spacing w:after="0"/>
              <w:rPr>
                <w:sz w:val="16"/>
                <w:szCs w:val="16"/>
                <w:color w:val="auto"/>
              </w:rPr>
            </w:pPr>
          </w:p>
        </w:tc>
        <w:tc>
          <w:tcPr>
            <w:tcW w:w="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r>
      <w:tr>
        <w:trPr>
          <w:trHeight w:val="210"/>
        </w:trPr>
        <w:tc>
          <w:tcPr>
            <w:tcW w:w="4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These fees depend on the securities offered and the number of issuances and cannot be estimated at this time.</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Tennessee law, a corporation shall indemnify a director or officer against expenses, including attorneys’ fees, actually and reasonably incurred by him, to the extent the director or officer has been successful on the merits or otherwise in defense of any action, suit or proceeding. A corporation may indemnify a director or officer who was or is a party or is threatened to be made a party to any threatened, pending or completed action, suit or proceeding, whether civil, criminal, administrative or investigative, against expenses, including attorneys’ fees, judgments, fines and amounts paid in settlement actually and reasonably incurred by him or her in connection with the action, suit or proceeding. Excepted from that immunity are:</w:t>
      </w:r>
    </w:p>
    <w:p>
      <w:pPr>
        <w:spacing w:after="0" w:line="129" w:lineRule="exact"/>
        <w:rPr>
          <w:sz w:val="20"/>
          <w:szCs w:val="20"/>
          <w:color w:val="auto"/>
        </w:rPr>
      </w:pPr>
    </w:p>
    <w:p>
      <w:pPr>
        <w:ind w:left="1300" w:hanging="644"/>
        <w:spacing w:after="0" w:line="281" w:lineRule="auto"/>
        <w:tabs>
          <w:tab w:leader="none" w:pos="1323"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willful failure to deal fairly with the company or its shareholders in connection with a matter in which the director has a material conflict of interest;</w:t>
      </w:r>
    </w:p>
    <w:p>
      <w:pPr>
        <w:spacing w:after="0" w:line="108" w:lineRule="exact"/>
        <w:rPr>
          <w:rFonts w:ascii="Arial" w:cs="Arial" w:eastAsia="Arial" w:hAnsi="Arial"/>
          <w:sz w:val="18"/>
          <w:szCs w:val="18"/>
          <w:b w:val="1"/>
          <w:bCs w:val="1"/>
          <w:color w:val="auto"/>
        </w:rPr>
      </w:pPr>
    </w:p>
    <w:p>
      <w:pPr>
        <w:ind w:left="1300" w:right="20" w:hanging="644"/>
        <w:spacing w:after="0" w:line="281" w:lineRule="auto"/>
        <w:tabs>
          <w:tab w:leader="none" w:pos="131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violation of criminal law (unless the director had reasonable cause to believe that his or her conduct was lawful or no reasonable cause to believe that his or her conduct was unlawful);</w:t>
      </w:r>
    </w:p>
    <w:p>
      <w:pPr>
        <w:spacing w:after="0" w:line="94" w:lineRule="exact"/>
        <w:rPr>
          <w:rFonts w:ascii="Arial" w:cs="Arial" w:eastAsia="Arial" w:hAnsi="Arial"/>
          <w:sz w:val="18"/>
          <w:szCs w:val="18"/>
          <w:b w:val="1"/>
          <w:bCs w:val="1"/>
          <w:color w:val="auto"/>
        </w:rPr>
      </w:pPr>
    </w:p>
    <w:p>
      <w:pPr>
        <w:ind w:left="1320" w:hanging="664"/>
        <w:spacing w:after="0"/>
        <w:tabs>
          <w:tab w:leader="none" w:pos="13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transaction from which the director derived an improper personal profit; and</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willful misconduct.</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Amended and Restated Bylaws include an indemnification provision under which we have the power to indemnify our directors, officers and former officers and directors (including heirs and personal representatives) against all costs, charges and expenses actually and reasonably incurred, including an amount paid to settle an action or satisfy a judgment to which the director or officer is made a party by reason of being or having been a director or officer of Cumberland Pharmaceuticals Inc. or any of our subsidiaries.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Second Amended and Restated Bylaws also provide that our directors may cause us to purchase and maintain insurance for the benefit of a person who is or was serving as a director, officer, employee or agent of Cumberland Pharmaceuticals or any of our subsidiaries (including heirs and personal representatives) against a liability incurred by him or her as our director, officer, employee 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157" w:right="339" w:bottom="1440" w:gutter="0" w:footer="0" w:header="0"/>
        </w:sectPr>
      </w:pPr>
    </w:p>
    <w:bookmarkStart w:id="25" w:name="page26"/>
    <w:bookmarkEnd w:id="25"/>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tab/>
        <w:t>Exhibits and Financial Statement Schedules.</w:t>
      </w:r>
    </w:p>
    <w:p>
      <w:pPr>
        <w:spacing w:after="0" w:line="148" w:lineRule="exact"/>
        <w:rPr>
          <w:sz w:val="20"/>
          <w:szCs w:val="20"/>
          <w:color w:val="auto"/>
        </w:rPr>
      </w:pPr>
    </w:p>
    <w:p>
      <w:pPr>
        <w:ind w:firstLine="656"/>
        <w:spacing w:after="0" w:line="282" w:lineRule="auto"/>
        <w:tabs>
          <w:tab w:leader="none" w:pos="9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exhibits required by Item 601 of Regulation S-K to be filed as a part of this registration statement is set forth in the Index to Exhibits on page II-4, which immediately precedes such exhibits.</w:t>
      </w:r>
    </w:p>
    <w:p>
      <w:pPr>
        <w:spacing w:after="0" w:line="9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44" w:lineRule="exact"/>
        <w:rPr>
          <w:sz w:val="20"/>
          <w:szCs w:val="20"/>
          <w:color w:val="auto"/>
        </w:rPr>
      </w:pPr>
    </w:p>
    <w:p>
      <w:pPr>
        <w:ind w:left="1040" w:hanging="384"/>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5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1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 in the effective registration statement;</w:t>
      </w:r>
    </w:p>
    <w:p>
      <w:pPr>
        <w:spacing w:after="0" w:line="106" w:lineRule="exact"/>
        <w:rPr>
          <w:rFonts w:ascii="Times New Roman" w:cs="Times New Roman" w:eastAsia="Times New Roman" w:hAnsi="Times New Roman"/>
          <w:sz w:val="18"/>
          <w:szCs w:val="18"/>
          <w:color w:val="auto"/>
        </w:rPr>
      </w:pPr>
    </w:p>
    <w:p>
      <w:pPr>
        <w:ind w:firstLine="1304"/>
        <w:spacing w:after="0" w:line="282" w:lineRule="auto"/>
        <w:tabs>
          <w:tab w:leader="none" w:pos="17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Paragraphs (1)(i), (1)(ii) and (1)(iii) of this section do not apply if the registration statement is on Form S-3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99" w:lineRule="exact"/>
        <w:rPr>
          <w:sz w:val="20"/>
          <w:szCs w:val="20"/>
          <w:color w:val="auto"/>
        </w:rPr>
      </w:pPr>
    </w:p>
    <w:p>
      <w:pPr>
        <w:jc w:val="both"/>
        <w:ind w:firstLine="656"/>
        <w:spacing w:after="0" w:line="266" w:lineRule="auto"/>
        <w:tabs>
          <w:tab w:leader="none" w:pos="10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Times New Roman" w:cs="Times New Roman" w:eastAsia="Times New Roman" w:hAnsi="Times New Roman"/>
          <w:sz w:val="18"/>
          <w:szCs w:val="18"/>
          <w:color w:val="auto"/>
        </w:rPr>
      </w:pPr>
    </w:p>
    <w:p>
      <w:pPr>
        <w:ind w:firstLine="656"/>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44" w:lineRule="exact"/>
        <w:rPr>
          <w:rFonts w:ascii="Times New Roman" w:cs="Times New Roman" w:eastAsia="Times New Roman" w:hAnsi="Times New Roman"/>
          <w:sz w:val="18"/>
          <w:szCs w:val="18"/>
          <w:color w:val="auto"/>
        </w:rPr>
      </w:pPr>
    </w:p>
    <w:p>
      <w:pPr>
        <w:ind w:right="20" w:firstLine="1304"/>
        <w:spacing w:after="0" w:line="282" w:lineRule="auto"/>
        <w:tabs>
          <w:tab w:leader="none" w:pos="16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914" w:right="339"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9" w:lineRule="exact"/>
        <w:rPr>
          <w:sz w:val="20"/>
          <w:szCs w:val="20"/>
          <w:color w:val="auto"/>
        </w:rPr>
      </w:pPr>
    </w:p>
    <w:p>
      <w:pPr>
        <w:ind w:left="1660" w:hanging="356"/>
        <w:spacing w:after="0"/>
        <w:tabs>
          <w:tab w:leader="none" w:pos="1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424;</w:t>
      </w:r>
    </w:p>
    <w:p>
      <w:pPr>
        <w:spacing w:after="0" w:line="139" w:lineRule="exact"/>
        <w:rPr>
          <w:sz w:val="20"/>
          <w:szCs w:val="20"/>
          <w:color w:val="auto"/>
        </w:rPr>
      </w:pPr>
    </w:p>
    <w:p>
      <w:pPr>
        <w:ind w:firstLine="1304"/>
        <w:spacing w:after="0" w:line="282" w:lineRule="auto"/>
        <w:tabs>
          <w:tab w:leader="none" w:pos="170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firstLine="1304"/>
        <w:spacing w:after="0" w:line="282" w:lineRule="auto"/>
        <w:tabs>
          <w:tab w:leader="none" w:pos="181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80"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57" w:lineRule="exact"/>
        <w:rPr>
          <w:rFonts w:ascii="Times New Roman" w:cs="Times New Roman" w:eastAsia="Times New Roman" w:hAnsi="Times New Roman"/>
          <w:sz w:val="18"/>
          <w:szCs w:val="18"/>
          <w:color w:val="auto"/>
        </w:rPr>
      </w:pPr>
    </w:p>
    <w:p>
      <w:pPr>
        <w:jc w:val="both"/>
        <w:ind w:firstLine="656"/>
        <w:spacing w:after="0" w:line="258" w:lineRule="auto"/>
        <w:tabs>
          <w:tab w:leader="none" w:pos="11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98" w:lineRule="exact"/>
        <w:rPr>
          <w:rFonts w:ascii="Times New Roman" w:cs="Times New Roman" w:eastAsia="Times New Roman" w:hAnsi="Times New Roman"/>
          <w:sz w:val="18"/>
          <w:szCs w:val="18"/>
          <w:color w:val="auto"/>
        </w:rPr>
      </w:pPr>
    </w:p>
    <w:p>
      <w:pPr>
        <w:jc w:val="both"/>
        <w:ind w:firstLine="656"/>
        <w:spacing w:after="0" w:line="254" w:lineRule="auto"/>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and</w:t>
      </w:r>
    </w:p>
    <w:p>
      <w:pPr>
        <w:spacing w:after="0" w:line="124"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91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900" w:type="dxa"/>
            <w:vAlign w:val="bottom"/>
          </w:tcPr>
          <w:p>
            <w:pPr>
              <w:spacing w:after="0"/>
              <w:rPr>
                <w:sz w:val="20"/>
                <w:szCs w:val="20"/>
                <w:color w:val="auto"/>
              </w:rPr>
            </w:pPr>
          </w:p>
        </w:tc>
      </w:tr>
      <w:tr>
        <w:trPr>
          <w:trHeight w:val="351"/>
        </w:trPr>
        <w:tc>
          <w:tcPr>
            <w:tcW w:w="280" w:type="dxa"/>
            <w:vAlign w:val="bottom"/>
          </w:tcPr>
          <w:p>
            <w:pPr>
              <w:spacing w:after="0"/>
              <w:rPr>
                <w:sz w:val="24"/>
                <w:szCs w:val="24"/>
                <w:color w:val="auto"/>
              </w:rPr>
            </w:pPr>
          </w:p>
        </w:tc>
        <w:tc>
          <w:tcPr>
            <w:tcW w:w="5480" w:type="dxa"/>
            <w:vAlign w:val="bottom"/>
            <w:gridSpan w:val="2"/>
          </w:tcPr>
          <w:p>
            <w:pPr>
              <w:jc w:val="center"/>
              <w:ind w:right="48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r>
      <w:tr>
        <w:trPr>
          <w:trHeight w:val="169"/>
        </w:trPr>
        <w:tc>
          <w:tcPr>
            <w:tcW w:w="28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48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98" w:lineRule="exact"/>
        <w:rPr>
          <w:sz w:val="20"/>
          <w:szCs w:val="20"/>
          <w:color w:val="auto"/>
        </w:rPr>
      </w:pPr>
    </w:p>
    <w:p>
      <w:pPr>
        <w:ind w:left="720"/>
        <w:spacing w:after="0"/>
        <w:tabs>
          <w:tab w:leader="none" w:pos="128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4.1**</w:t>
      </w:r>
      <w:r>
        <w:rPr>
          <w:sz w:val="20"/>
          <w:szCs w:val="20"/>
          <w:color w:val="auto"/>
        </w:rPr>
        <w:tab/>
      </w:r>
      <w:hyperlink r:id="rId22">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Specimen form of the Company’s Common Stock Certificate (Previously filed as Exhibit 4.1 to Form S-1/A filed on August 6, 2007)</w:t>
        </w:r>
      </w:hyperlink>
    </w:p>
    <w:p>
      <w:pPr>
        <w:spacing w:after="0" w:line="2"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(File No. 333-142535)</w:t>
        </w:r>
      </w:hyperlink>
    </w:p>
    <w:p>
      <w:pPr>
        <w:spacing w:after="0" w:line="178" w:lineRule="exact"/>
        <w:rPr>
          <w:sz w:val="20"/>
          <w:szCs w:val="20"/>
          <w:color w:val="auto"/>
        </w:rPr>
      </w:pPr>
    </w:p>
    <w:p>
      <w:pPr>
        <w:ind w:left="720"/>
        <w:spacing w:after="0"/>
        <w:tabs>
          <w:tab w:leader="none" w:pos="128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w:t>
      </w:r>
      <w:r>
        <w:rPr>
          <w:sz w:val="20"/>
          <w:szCs w:val="20"/>
          <w:color w:val="auto"/>
        </w:rPr>
        <w:tab/>
      </w:r>
      <w:hyperlink r:id="rId23">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Preferred Stock Terms, Rights, and Provisions (filed as Exhibit 4.2 to Amendment No. 1 to Form S-3 filed on December 19, 2017)</w:t>
        </w:r>
      </w:hyperlink>
    </w:p>
    <w:p>
      <w:pPr>
        <w:spacing w:after="0" w:line="2"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23">
        <w:r>
          <w:rPr>
            <w:rFonts w:ascii="Times New Roman" w:cs="Times New Roman" w:eastAsia="Times New Roman" w:hAnsi="Times New Roman"/>
            <w:sz w:val="18"/>
            <w:szCs w:val="18"/>
            <w:u w:val="single" w:color="auto"/>
            <w:color w:val="0000FF"/>
          </w:rPr>
          <w:t>(File No. 333-221402)</w:t>
        </w:r>
      </w:hyperlink>
    </w:p>
    <w:p>
      <w:pPr>
        <w:spacing w:after="0" w:line="178" w:lineRule="exact"/>
        <w:rPr>
          <w:sz w:val="20"/>
          <w:szCs w:val="20"/>
          <w:color w:val="auto"/>
        </w:rPr>
      </w:pPr>
    </w:p>
    <w:p>
      <w:pPr>
        <w:ind w:left="720"/>
        <w:spacing w:after="0"/>
        <w:tabs>
          <w:tab w:leader="none" w:pos="128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w:t>
      </w:r>
      <w:hyperlink r:id="rId24">
        <w:r>
          <w:rPr>
            <w:rFonts w:ascii="Times New Roman" w:cs="Times New Roman" w:eastAsia="Times New Roman" w:hAnsi="Times New Roman"/>
            <w:sz w:val="17"/>
            <w:szCs w:val="17"/>
            <w:u w:val="single" w:color="auto"/>
            <w:color w:val="0000FF"/>
          </w:rPr>
          <w:t>Form of Senior Indenture (filed as Exhibit 4.2 to Form S-3 filed on November 7, 2017) (File No. 333-221402)</w:t>
        </w:r>
      </w:hyperlink>
    </w:p>
    <w:p>
      <w:pPr>
        <w:spacing w:after="0" w:line="212" w:lineRule="exact"/>
        <w:rPr>
          <w:sz w:val="20"/>
          <w:szCs w:val="20"/>
          <w:color w:val="auto"/>
        </w:rPr>
      </w:pPr>
    </w:p>
    <w:p>
      <w:pPr>
        <w:ind w:left="720"/>
        <w:spacing w:after="0"/>
        <w:tabs>
          <w:tab w:leader="none" w:pos="128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w:t>
      </w:r>
      <w:hyperlink r:id="rId25">
        <w:r>
          <w:rPr>
            <w:rFonts w:ascii="Times New Roman" w:cs="Times New Roman" w:eastAsia="Times New Roman" w:hAnsi="Times New Roman"/>
            <w:sz w:val="17"/>
            <w:szCs w:val="17"/>
            <w:u w:val="single" w:color="auto"/>
            <w:color w:val="0000FF"/>
          </w:rPr>
          <w:t>Form of Subordinated Indenture (filed as Exhibit 4.3 to Form S-3 filed on November 7, 2017) (File No. 333-221402)</w:t>
        </w:r>
      </w:hyperlink>
    </w:p>
    <w:p>
      <w:pPr>
        <w:spacing w:after="0" w:line="2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4.5*  —Form of Warrant Agreement</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4.6*  —Form of Warrant Certificate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4.7*  —Form of Unit</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0000FF"/>
        </w:rPr>
        <w:t>—Opinion of Baker, Donelson, Bearman, Caldwell &amp; Berkowitz, PC</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0000FF"/>
        </w:rPr>
        <w:t>—Consent of FORVIS, LLP, Independent Registered Public Accounting Firm</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23.2***  —Consent of Baker, Donelson, Bearman, Caldwell &amp; Berkowitz, PC (included in its legal opinion filed as Exhibit 5.1)</w:t>
      </w:r>
    </w:p>
    <w:p>
      <w:pPr>
        <w:spacing w:after="0" w:line="23" w:lineRule="exact"/>
        <w:rPr>
          <w:sz w:val="20"/>
          <w:szCs w:val="20"/>
          <w:color w:val="auto"/>
        </w:rPr>
      </w:pPr>
    </w:p>
    <w:p>
      <w:pPr>
        <w:ind w:left="580" w:right="1140" w:hanging="44"/>
        <w:spacing w:after="0" w:line="292" w:lineRule="auto"/>
        <w:rPr>
          <w:sz w:val="20"/>
          <w:szCs w:val="20"/>
          <w:color w:val="auto"/>
        </w:rPr>
      </w:pPr>
      <w:r>
        <w:rPr>
          <w:rFonts w:ascii="Times New Roman" w:cs="Times New Roman" w:eastAsia="Times New Roman" w:hAnsi="Times New Roman"/>
          <w:sz w:val="18"/>
          <w:szCs w:val="18"/>
          <w:color w:val="auto"/>
        </w:rPr>
        <w:t xml:space="preserve">24.1*** —Power of Attorney of the Officers and Directors of Cumberland Pharmaceuticals Inc. (included on the signature page) 107*** </w:t>
      </w:r>
      <w:r>
        <w:rPr>
          <w:rFonts w:ascii="Times New Roman" w:cs="Times New Roman" w:eastAsia="Times New Roman" w:hAnsi="Times New Roman"/>
          <w:sz w:val="18"/>
          <w:szCs w:val="18"/>
          <w:u w:val="single" w:color="auto"/>
          <w:color w:val="0000FF"/>
        </w:rPr>
        <w:t>—Calculation of Filing Fee Table</w:t>
      </w:r>
    </w:p>
    <w:p>
      <w:pPr>
        <w:spacing w:after="0" w:line="180" w:lineRule="exact"/>
        <w:rPr>
          <w:sz w:val="20"/>
          <w:szCs w:val="20"/>
          <w:color w:val="auto"/>
        </w:rPr>
      </w:pPr>
    </w:p>
    <w:p>
      <w:pPr>
        <w:ind w:right="4320" w:firstLine="8"/>
        <w:spacing w:after="0" w:line="414" w:lineRule="auto"/>
        <w:tabs>
          <w:tab w:leader="none" w:pos="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current report on Form 8-K of the registrant. ** Previously filed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60"/>
          </w:cols>
          <w:pgMar w:left="320" w:top="914" w:right="519" w:bottom="1440" w:gutter="0" w:footer="0" w:header="0"/>
        </w:sectPr>
      </w:pPr>
    </w:p>
    <w:bookmarkStart w:id="28" w:name="page29"/>
    <w:bookmarkEnd w:id="28"/>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in Nashville, Tennessee, on the 14th day of December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4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0</wp:posOffset>
            </wp:positionV>
            <wp:extent cx="1466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A.J. Kazimi, Chairman of the Board and Chief Executive Officer</w:t>
      </w:r>
    </w:p>
    <w:p>
      <w:pPr>
        <w:spacing w:after="0" w:line="14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each of A.J. Kazimi and John M. Hamm his or her true and lawful attorneys-in-fact and agents, with full power of substitution and resubstitution, for him and in his name, place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stead, in any and all capacities, to sign, execute and file with the Securities and Exchange Commission and any state securities regulatory board or commission any documents relating to the proposed issuance and registration of the securities offered pursuant to this registration statement on Form S-3 under the Securities Act of 1933, as amended, including any amendment or amendments relating thereto (and, in addition, any post-effective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amendments), with all exhibits and any and all documents required to be filed with respect thereto with any regulatory authority, granting unto said attorneys-in-fact and agents, and each of them, full power and authority to do and perform each and every act and thing requisite and necessary to be done in and about the premises in order to effectuate the same as fully to all intents and purposes as he might or could do if personally present, hereby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ratifying and confirming all that said attorneys-in-fact and agents, or either of them, or their or his substitutes, may lawfully do or cause to be done.</w:t>
      </w:r>
    </w:p>
    <w:p>
      <w:pPr>
        <w:spacing w:after="0" w:line="1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below on the 4th day of December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800" w:type="dxa"/>
            <w:vAlign w:val="bottom"/>
            <w:gridSpan w:val="3"/>
          </w:tcPr>
          <w:p>
            <w:pPr>
              <w:ind w:left="32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19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1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A.J. Kazimi</w:t>
            </w:r>
          </w:p>
        </w:tc>
        <w:tc>
          <w:tcPr>
            <w:tcW w:w="7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A.J. Kazimi</w:t>
            </w: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6"/>
        </w:trPr>
        <w:tc>
          <w:tcPr>
            <w:tcW w:w="4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John M. Hamm</w:t>
            </w: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M. Hamm</w:t>
            </w: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236"/>
        </w:trPr>
        <w:tc>
          <w:tcPr>
            <w:tcW w:w="4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Gordon R. Bernard, M.D.</w:t>
            </w: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Gordon R. Bernard, M.D.</w:t>
            </w:r>
          </w:p>
        </w:tc>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6"/>
        </w:trPr>
        <w:tc>
          <w:tcPr>
            <w:tcW w:w="4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James R. Jones</w:t>
            </w: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R. Jones</w:t>
            </w:r>
          </w:p>
        </w:tc>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6"/>
        </w:trPr>
        <w:tc>
          <w:tcPr>
            <w:tcW w:w="4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Caroline R. Young</w:t>
            </w: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Caroline R. Young</w:t>
            </w:r>
          </w:p>
        </w:tc>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6"/>
        </w:trPr>
        <w:tc>
          <w:tcPr>
            <w:tcW w:w="4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Kenneth J. Krogulski</w:t>
            </w: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Kenneth J. Krogulski</w:t>
            </w:r>
          </w:p>
        </w:tc>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6"/>
        </w:trPr>
        <w:tc>
          <w:tcPr>
            <w:tcW w:w="4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Joseph C. Galante</w:t>
            </w: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Joseph C. Galante</w:t>
            </w:r>
          </w:p>
        </w:tc>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6"/>
        </w:trPr>
        <w:tc>
          <w:tcPr>
            <w:tcW w:w="4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Martin S. Brown, Jr.</w:t>
            </w: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Martin S. Brown, Jr.</w:t>
            </w:r>
          </w:p>
        </w:tc>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ectPr>
          <w:pgSz w:w="11900" w:h="16838" w:orient="portrait"/>
          <w:cols w:equalWidth="0" w:num="1">
            <w:col w:w="11240"/>
          </w:cols>
          <w:pgMar w:left="320" w:top="92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jc w:val="center"/>
        <w:spacing w:after="0"/>
        <w:rPr>
          <w:sz w:val="20"/>
          <w:szCs w:val="20"/>
          <w:color w:val="auto"/>
        </w:rPr>
      </w:pPr>
      <w:r>
        <w:rPr>
          <w:rFonts w:ascii="Times New Roman" w:cs="Times New Roman" w:eastAsia="Times New Roman" w:hAnsi="Times New Roman"/>
          <w:sz w:val="16"/>
          <w:szCs w:val="16"/>
          <w:color w:val="auto"/>
        </w:rPr>
        <w:t>(Form Type)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Table 1: Newly Registered and Carry Forward Securities</w:t>
      </w:r>
    </w:p>
    <w:p>
      <w:pPr>
        <w:spacing w:after="0" w:line="200" w:lineRule="exact"/>
        <w:rPr>
          <w:sz w:val="20"/>
          <w:szCs w:val="20"/>
          <w:color w:val="auto"/>
        </w:rPr>
      </w:pP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20" w:type="dxa"/>
            <w:vAlign w:val="bottom"/>
            <w:tcBorders>
              <w:top w:val="single" w:sz="8" w:color="auto"/>
              <w:left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 Class Title</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Fee Calculation</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Proposed Maximum</w:t>
            </w:r>
          </w:p>
        </w:tc>
        <w:tc>
          <w:tcPr>
            <w:tcW w:w="1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Aggregate</w:t>
            </w: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Registered</w:t>
            </w:r>
            <w:r>
              <w:rPr>
                <w:rFonts w:ascii="Times New Roman" w:cs="Times New Roman" w:eastAsia="Times New Roman" w:hAnsi="Times New Roman"/>
                <w:sz w:val="10"/>
                <w:szCs w:val="10"/>
                <w:b w:val="1"/>
                <w:bCs w:val="1"/>
                <w:color w:val="auto"/>
              </w:rPr>
              <w:t>(1)</w:t>
            </w:r>
          </w:p>
        </w:tc>
        <w:tc>
          <w:tcPr>
            <w:tcW w:w="2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Offering Price Per Unit</w:t>
            </w:r>
            <w:r>
              <w:rPr>
                <w:rFonts w:ascii="Times New Roman" w:cs="Times New Roman" w:eastAsia="Times New Roman" w:hAnsi="Times New Roman"/>
                <w:sz w:val="10"/>
                <w:szCs w:val="10"/>
                <w:b w:val="1"/>
                <w:bCs w:val="1"/>
                <w:color w:val="auto"/>
              </w:rPr>
              <w:t>(2)</w:t>
            </w:r>
          </w:p>
        </w:tc>
        <w:tc>
          <w:tcPr>
            <w:tcW w:w="1740" w:type="dxa"/>
            <w:vAlign w:val="bottom"/>
            <w:tcBorders>
              <w:right w:val="single" w:sz="8" w:color="auto"/>
            </w:tcBorders>
            <w:vMerge w:val="continue"/>
          </w:tcPr>
          <w:p>
            <w:pPr>
              <w:spacing w:after="0"/>
              <w:rPr>
                <w:sz w:val="14"/>
                <w:szCs w:val="14"/>
                <w:color w:val="auto"/>
              </w:rPr>
            </w:pPr>
          </w:p>
        </w:tc>
        <w:tc>
          <w:tcPr>
            <w:tcW w:w="960" w:type="dxa"/>
            <w:vAlign w:val="bottom"/>
            <w:tcBorders>
              <w:right w:val="single" w:sz="8" w:color="auto"/>
            </w:tcBorders>
            <w:vMerge w:val="continue"/>
          </w:tcPr>
          <w:p>
            <w:pPr>
              <w:spacing w:after="0"/>
              <w:rPr>
                <w:sz w:val="14"/>
                <w:szCs w:val="14"/>
                <w:color w:val="auto"/>
              </w:rPr>
            </w:pPr>
          </w:p>
        </w:tc>
        <w:tc>
          <w:tcPr>
            <w:tcW w:w="9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Registration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Type</w:t>
            </w:r>
          </w:p>
        </w:tc>
        <w:tc>
          <w:tcPr>
            <w:tcW w:w="14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Rule</w:t>
            </w:r>
          </w:p>
        </w:tc>
        <w:tc>
          <w:tcPr>
            <w:tcW w:w="116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Offering Price</w:t>
            </w:r>
          </w:p>
        </w:tc>
        <w:tc>
          <w:tcPr>
            <w:tcW w:w="9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62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Fees to</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Stock,</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 457(o)</w:t>
            </w:r>
          </w:p>
        </w:tc>
        <w:tc>
          <w:tcPr>
            <w:tcW w:w="1160" w:type="dxa"/>
            <w:vAlign w:val="bottom"/>
            <w:tcBorders>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be paid</w:t>
            </w:r>
          </w:p>
        </w:tc>
        <w:tc>
          <w:tcPr>
            <w:tcW w:w="96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no par value</w:t>
            </w:r>
          </w:p>
        </w:tc>
        <w:tc>
          <w:tcPr>
            <w:tcW w:w="112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20" w:type="dxa"/>
            <w:vAlign w:val="bottom"/>
            <w:tcBorders>
              <w:left w:val="single" w:sz="8" w:color="auto"/>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Preferred Stock,</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 457(o)</w:t>
            </w:r>
          </w:p>
        </w:tc>
        <w:tc>
          <w:tcPr>
            <w:tcW w:w="1160" w:type="dxa"/>
            <w:vAlign w:val="bottom"/>
            <w:tcBorders>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vMerge w:val="continue"/>
          </w:tcPr>
          <w:p>
            <w:pPr>
              <w:spacing w:after="0"/>
              <w:rPr>
                <w:sz w:val="20"/>
                <w:szCs w:val="20"/>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 par value</w:t>
            </w:r>
          </w:p>
        </w:tc>
        <w:tc>
          <w:tcPr>
            <w:tcW w:w="1120" w:type="dxa"/>
            <w:vAlign w:val="bottom"/>
            <w:tcBorders>
              <w:right w:val="single" w:sz="8" w:color="auto"/>
            </w:tcBorders>
            <w:vMerge w:val="continue"/>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20" w:type="dxa"/>
            <w:vAlign w:val="bottom"/>
            <w:tcBorders>
              <w:left w:val="single" w:sz="8" w:color="auto"/>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620" w:type="dxa"/>
            <w:vAlign w:val="bottom"/>
            <w:tcBorders>
              <w:left w:val="single" w:sz="8" w:color="auto"/>
              <w:right w:val="single" w:sz="8" w:color="auto"/>
            </w:tcBorders>
          </w:tcPr>
          <w:p>
            <w:pPr>
              <w:spacing w:after="0"/>
              <w:rPr>
                <w:sz w:val="22"/>
                <w:szCs w:val="22"/>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457(o)</w:t>
            </w:r>
          </w:p>
        </w:tc>
        <w:tc>
          <w:tcPr>
            <w:tcW w:w="11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20" w:type="dxa"/>
            <w:vAlign w:val="bottom"/>
            <w:tcBorders>
              <w:left w:val="single" w:sz="8" w:color="auto"/>
              <w:right w:val="single" w:sz="8" w:color="auto"/>
            </w:tcBorders>
          </w:tcPr>
          <w:p>
            <w:pPr>
              <w:spacing w:after="0"/>
              <w:rPr>
                <w:sz w:val="22"/>
                <w:szCs w:val="22"/>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457(o)</w:t>
            </w:r>
          </w:p>
        </w:tc>
        <w:tc>
          <w:tcPr>
            <w:tcW w:w="11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20" w:type="dxa"/>
            <w:vAlign w:val="bottom"/>
            <w:tcBorders>
              <w:left w:val="single" w:sz="8" w:color="auto"/>
              <w:right w:val="single" w:sz="8" w:color="auto"/>
            </w:tcBorders>
          </w:tcPr>
          <w:p>
            <w:pPr>
              <w:spacing w:after="0"/>
              <w:rPr>
                <w:sz w:val="22"/>
                <w:szCs w:val="22"/>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457(o)</w:t>
            </w:r>
          </w:p>
        </w:tc>
        <w:tc>
          <w:tcPr>
            <w:tcW w:w="11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62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Unallocated</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 457(o)</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8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(Universal)</w:t>
            </w:r>
          </w:p>
        </w:tc>
        <w:tc>
          <w:tcPr>
            <w:tcW w:w="144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$100,000,000</w:t>
            </w:r>
          </w:p>
        </w:tc>
        <w:tc>
          <w:tcPr>
            <w:tcW w:w="960" w:type="dxa"/>
            <w:vAlign w:val="bottom"/>
            <w:tcBorders>
              <w:right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0.00014760</w:t>
            </w:r>
          </w:p>
        </w:tc>
        <w:tc>
          <w:tcPr>
            <w:tcW w:w="9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$14,760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4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Borders>
              <w:left w:val="single" w:sz="8" w:color="auto"/>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116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$100,000,000</w:t>
            </w:r>
          </w:p>
        </w:tc>
        <w:tc>
          <w:tcPr>
            <w:tcW w:w="9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Borders>
              <w:left w:val="single" w:sz="8" w:color="auto"/>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16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Borders>
              <w:left w:val="single" w:sz="8" w:color="auto"/>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16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Borders>
              <w:left w:val="single" w:sz="8" w:color="auto"/>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16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6" w:right="339" w:bottom="1440" w:gutter="0" w:footer="0" w:header="0"/>
        </w:sectPr>
      </w:pPr>
    </w:p>
    <w:bookmarkStart w:id="30" w:name="page31"/>
    <w:bookmarkEnd w:id="30"/>
    <w:p>
      <w:pPr>
        <w:jc w:val="both"/>
        <w:ind w:left="252" w:hanging="252"/>
        <w:spacing w:after="0" w:line="231" w:lineRule="auto"/>
        <w:tabs>
          <w:tab w:leader="none" w:pos="23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be registered consists of up to $100,000,000 of an indeterminate amount of common stock, preferred stock, warrants, debt securities, and/or units. There are also being registered hereunder an indeterminate number of shares of common stock and preferred stock as shall be issuable upon conversion, exchange or exercise of any securities that provide for such issuance, including any applicable anti-dilution provisions. Any securities registered hereunder may be sold separately or together with other securities registered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 w:lineRule="exact"/>
        <w:rPr>
          <w:rFonts w:ascii="Times New Roman" w:cs="Times New Roman" w:eastAsia="Times New Roman" w:hAnsi="Times New Roman"/>
          <w:sz w:val="14"/>
          <w:szCs w:val="14"/>
          <w:color w:val="auto"/>
        </w:rPr>
      </w:pPr>
    </w:p>
    <w:p>
      <w:pPr>
        <w:jc w:val="both"/>
        <w:ind w:left="172" w:hanging="172"/>
        <w:spacing w:after="0" w:line="283" w:lineRule="auto"/>
        <w:tabs>
          <w:tab w:leader="none" w:pos="22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offering price per unit will be determined from time to time by the registrant in connection with the issuance by the registrant of the securities registered hereunder and is not specified as to each class of security pursuant to Instruction 2.A.iii.b. of the Instructions to the Calculation of Filing Fee Tables and Related Disclosure under Item 16(b) of Form S-3.</w:t>
      </w:r>
    </w:p>
    <w:p>
      <w:pPr>
        <w:sectPr>
          <w:pgSz w:w="11900" w:h="16838" w:orient="portrait"/>
          <w:cols w:equalWidth="0" w:num="1">
            <w:col w:w="11232"/>
          </w:cols>
          <w:pgMar w:left="328" w:top="1102" w:right="339" w:bottom="1440" w:gutter="0" w:footer="0" w:header="0"/>
        </w:sectPr>
      </w:pPr>
    </w:p>
    <w:bookmarkStart w:id="31" w:name="page32"/>
    <w:bookmarkEnd w:id="31"/>
    <w:p>
      <w:pPr>
        <w:ind w:left="2780"/>
        <w:spacing w:after="0"/>
        <w:rPr>
          <w:sz w:val="20"/>
          <w:szCs w:val="20"/>
          <w:color w:val="auto"/>
        </w:rPr>
      </w:pPr>
      <w:r>
        <w:rPr>
          <w:rFonts w:ascii="Arial" w:cs="Arial" w:eastAsia="Arial" w:hAnsi="Arial"/>
          <w:sz w:val="18"/>
          <w:szCs w:val="18"/>
          <w:color w:val="6C6F70"/>
        </w:rPr>
        <w:drawing>
          <wp:anchor simplePos="0" relativeHeight="251657728" behindDoc="1" locked="0" layoutInCell="0" allowOverlap="1">
            <wp:simplePos x="0" y="0"/>
            <wp:positionH relativeFrom="page">
              <wp:posOffset>2334260</wp:posOffset>
            </wp:positionH>
            <wp:positionV relativeFrom="page">
              <wp:posOffset>106045</wp:posOffset>
            </wp:positionV>
            <wp:extent cx="3291840"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291840" cy="248920"/>
                    </a:xfrm>
                    <a:prstGeom prst="rect">
                      <a:avLst/>
                    </a:prstGeom>
                    <a:noFill/>
                  </pic:spPr>
                </pic:pic>
              </a:graphicData>
            </a:graphic>
          </wp:anchor>
        </w:drawing>
        <w:t>1600 WEST END AVENUE • SUITE 2000 • NASHVILLE, TENNESSEE 37203 •</w:t>
      </w:r>
    </w:p>
    <w:p>
      <w:pPr>
        <w:ind w:left="4200"/>
        <w:spacing w:after="0"/>
        <w:rPr>
          <w:sz w:val="20"/>
          <w:szCs w:val="20"/>
          <w:color w:val="auto"/>
        </w:rPr>
      </w:pPr>
      <w:r>
        <w:rPr>
          <w:rFonts w:ascii="Arial" w:cs="Arial" w:eastAsia="Arial" w:hAnsi="Arial"/>
          <w:sz w:val="18"/>
          <w:szCs w:val="18"/>
          <w:color w:val="6C6F70"/>
        </w:rPr>
        <w:t>615.726.5600 • bakerdonelson.com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Tonya Mitchem Grindon, Shareholder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 Dial</w:t>
      </w:r>
      <w:r>
        <w:rPr>
          <w:rFonts w:ascii="Times New Roman" w:cs="Times New Roman" w:eastAsia="Times New Roman" w:hAnsi="Times New Roman"/>
          <w:sz w:val="14"/>
          <w:szCs w:val="14"/>
          <w:color w:val="auto"/>
        </w:rPr>
        <w:t>: 615.726.5607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 Fax</w:t>
      </w:r>
      <w:r>
        <w:rPr>
          <w:rFonts w:ascii="Times New Roman" w:cs="Times New Roman" w:eastAsia="Times New Roman" w:hAnsi="Times New Roman"/>
          <w:sz w:val="14"/>
          <w:szCs w:val="14"/>
          <w:color w:val="auto"/>
        </w:rPr>
        <w:t>: 615.744.5607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E-Mail Address</w:t>
      </w:r>
      <w:r>
        <w:rPr>
          <w:rFonts w:ascii="Times New Roman" w:cs="Times New Roman" w:eastAsia="Times New Roman" w:hAnsi="Times New Roman"/>
          <w:sz w:val="14"/>
          <w:szCs w:val="14"/>
          <w:color w:val="auto"/>
        </w:rPr>
        <w:t>: tgrindon@bakerdonelson.com</w:t>
      </w:r>
    </w:p>
    <w:p>
      <w:pPr>
        <w:spacing w:after="0" w:line="25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4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December 14,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05" w:lineRule="auto"/>
        <w:rPr>
          <w:sz w:val="20"/>
          <w:szCs w:val="20"/>
          <w:color w:val="auto"/>
        </w:rPr>
      </w:pPr>
      <w:r>
        <w:rPr>
          <w:rFonts w:ascii="Times New Roman" w:cs="Times New Roman" w:eastAsia="Times New Roman" w:hAnsi="Times New Roman"/>
          <w:sz w:val="22"/>
          <w:szCs w:val="22"/>
          <w:color w:val="auto"/>
        </w:rPr>
        <w:t>Cumberland Pharmaceuticals Inc.</w:t>
      </w:r>
    </w:p>
    <w:p>
      <w:pPr>
        <w:spacing w:after="0" w:line="205" w:lineRule="auto"/>
        <w:rPr>
          <w:sz w:val="20"/>
          <w:szCs w:val="20"/>
          <w:color w:val="auto"/>
        </w:rPr>
      </w:pPr>
      <w:r>
        <w:rPr>
          <w:rFonts w:ascii="Times New Roman" w:cs="Times New Roman" w:eastAsia="Times New Roman" w:hAnsi="Times New Roman"/>
          <w:sz w:val="22"/>
          <w:szCs w:val="22"/>
          <w:color w:val="auto"/>
        </w:rPr>
        <w:t>1600 West End Avenue, Suite 1300</w:t>
      </w:r>
    </w:p>
    <w:p>
      <w:pPr>
        <w:spacing w:after="0"/>
        <w:rPr>
          <w:sz w:val="20"/>
          <w:szCs w:val="20"/>
          <w:color w:val="auto"/>
        </w:rPr>
      </w:pPr>
      <w:r>
        <w:rPr>
          <w:rFonts w:ascii="Times New Roman" w:cs="Times New Roman" w:eastAsia="Times New Roman" w:hAnsi="Times New Roman"/>
          <w:sz w:val="22"/>
          <w:szCs w:val="22"/>
          <w:color w:val="auto"/>
        </w:rPr>
        <w:t>Nashville, Tennessee 37203</w:t>
      </w:r>
    </w:p>
    <w:p>
      <w:pPr>
        <w:spacing w:after="0" w:line="18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Registration Statement on Form S-3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We have acted as counsel for Cumberland Pharmaceuticals Inc., a Tennessee corporation (the “Company”), in connection with the preparation and filing of the Company’s Registration Statement on Form S-3, filed on December 13, 2023 (the “Registration Statement”) with the Securities and Exchange Commission (the “Commission”) under the Securities Act of 1933, as amended (the “Securities Act”), relating to the proposed public offering of up to $100 Million in the aggregate amount of one or more series of the following securities:</w:t>
      </w:r>
    </w:p>
    <w:p>
      <w:pPr>
        <w:spacing w:after="0" w:line="152"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no par value of the Company (“Common Stock”);</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preferred stock, no par value, of the Company (the “Preferred Stock”);</w:t>
      </w:r>
    </w:p>
    <w:p>
      <w:pPr>
        <w:spacing w:after="0" w:line="17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for the purchase of Common Stock, Preferred Stock or Units (as defined below) (the “Warrants”);</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13" w:lineRule="auto"/>
        <w:tabs>
          <w:tab w:leader="none" w:pos="137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securities of the Company, which may be issued in one or more series and which may be senior or subordinated (the “Debt Securities”), under the form of (i) senior indenture filed as Exhibit 4.2 of the Company’s registration statement on Form S-3 (No. 333-221402), filed on November 7, 2017 (the “2017 Registration Statement”), as such indenture may be supplemented from time to time (the “Senior Indenture”); and (ii) subordinated indenture filed as Exhibit 4.3 of the 2017 Registration Statement, as such indenture may be supplemented from time to time (the “Subordinated Indenture” and, together with the Senior Indenture, the “Indentures”); and</w:t>
      </w:r>
    </w:p>
    <w:p>
      <w:pPr>
        <w:spacing w:after="0" w:line="156"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units comprised of Common Stock, Preferred Stock, and/or Warrants in any combination thereof (the “Units”), which may be issued under unit agreements, to be dated on or about the date of the first issuance of the applicable Units thereunder, by and between the Company and a unit agent to be selected by the Company, in the forms that will be filed as exhibits to the Registration Statement, as such agreements may be supplemented from time to time (the Units, the Debt Securities, the Warrants, the Preferred Stock and the Common Stock are collectively referred to as the “Securities”);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80" w:right="700"/>
        <w:spacing w:after="0" w:line="222" w:lineRule="auto"/>
        <w:rPr>
          <w:sz w:val="20"/>
          <w:szCs w:val="20"/>
          <w:color w:val="auto"/>
        </w:rPr>
      </w:pPr>
      <w:r>
        <w:rPr>
          <w:rFonts w:ascii="Arial" w:cs="Arial" w:eastAsia="Arial" w:hAnsi="Arial"/>
          <w:sz w:val="16"/>
          <w:szCs w:val="16"/>
          <w:color w:val="auto"/>
        </w:rPr>
        <w:t xml:space="preserve">ALABAMA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FLORIDA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GEORGIA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LOUISIANA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MARYLAND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MISSISSIPPI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NORTH CAROLINA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SOUTH CAROLINA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TENNESSEE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TEXAS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VIRGINIA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WASHINGTON, D.C.</w:t>
      </w:r>
    </w:p>
    <w:p>
      <w:pPr>
        <w:sectPr>
          <w:pgSz w:w="11900" w:h="16838" w:orient="portrait"/>
          <w:cols w:equalWidth="0" w:num="1">
            <w:col w:w="11240"/>
          </w:cols>
          <w:pgMar w:left="320" w:top="8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04" w:lineRule="auto"/>
        <w:rPr>
          <w:sz w:val="20"/>
          <w:szCs w:val="20"/>
          <w:color w:val="auto"/>
        </w:rPr>
      </w:pPr>
      <w:r>
        <w:rPr>
          <w:rFonts w:ascii="Times New Roman" w:cs="Times New Roman" w:eastAsia="Times New Roman" w:hAnsi="Times New Roman"/>
          <w:sz w:val="22"/>
          <w:szCs w:val="22"/>
          <w:color w:val="auto"/>
        </w:rPr>
        <w:t>Cumberland Pharmaceuticals Inc.</w:t>
      </w:r>
    </w:p>
    <w:p>
      <w:pPr>
        <w:spacing w:after="0" w:line="205" w:lineRule="auto"/>
        <w:rPr>
          <w:sz w:val="20"/>
          <w:szCs w:val="20"/>
          <w:color w:val="auto"/>
        </w:rPr>
      </w:pPr>
      <w:r>
        <w:rPr>
          <w:rFonts w:ascii="Times New Roman" w:cs="Times New Roman" w:eastAsia="Times New Roman" w:hAnsi="Times New Roman"/>
          <w:sz w:val="22"/>
          <w:szCs w:val="22"/>
          <w:color w:val="auto"/>
        </w:rPr>
        <w:t>December 14,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all of which may be offered and sold by the Company from time to time on a delayed or continuous basis in accordance with Rule 415 promulgated under the Securities Act, as set forth in the prospectus which forms a part of the Registration Statement, and as to be set forth in one or more supplements to the prospectus.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As counsel to the Company, we have examined originals or copies, certified or otherwise identified to our satisfaction, of:</w:t>
      </w:r>
    </w:p>
    <w:p>
      <w:pPr>
        <w:spacing w:after="0"/>
        <w:rPr>
          <w:sz w:val="20"/>
          <w:szCs w:val="20"/>
          <w:color w:val="auto"/>
        </w:rPr>
      </w:pPr>
      <w:r>
        <w:rPr>
          <w:rFonts w:ascii="Times New Roman" w:cs="Times New Roman" w:eastAsia="Times New Roman" w:hAnsi="Times New Roman"/>
          <w:sz w:val="22"/>
          <w:szCs w:val="22"/>
          <w:color w:val="auto"/>
        </w:rPr>
        <w:t>(i) the Registration Statement and all exhibits thereto, (ii) the</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Indentures and (iii) such other agreements, certificates and other instruments and documents as we considered appropriate for purposes of the opinions hereafter expressed.</w:t>
      </w:r>
    </w:p>
    <w:p>
      <w:pPr>
        <w:spacing w:after="0" w:line="14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In making the foregoing examinations, we have assumed the genuineness of all signatures, the authenticity of all documents submitted to us as originals, the conformity to original documents submitted to us as certified, conformed or photostatic copies thereof and the authenticity of the originals of such documents.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As to various questions of fact material to the opinions expressed below, we have, without independent third party verification of their accuracy, relied in part, and to the extent we deemed reasonably necessary or appropriate, upon the representations and warranties of the Company contained in such documents, records, certificates, instruments or representations furnished or made available to us by the Company.</w:t>
      </w:r>
    </w:p>
    <w:p>
      <w:pPr>
        <w:spacing w:after="0" w:line="152"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For purposes of this opinion, we have assumed that (i) the issuance, sale, amount and terms of any Securities of the Company to be offered from time to time under the Registration Statement will have been duly authorized and established by proper action of the Board of Directors of the Company or a duly authorized committee of the Board of Directors (“Board Action”) in accordance with the Company’s Fourth Amended and Restated Charter (the “Charter”), the Second Amended and Restated Bylaws, and applicable provisions of the Tennessee Business Corporation Act (the “Act”), in a manner that does not violate any law, government or court-imposed order or restriction or agreement or instrument then binding on the Company or otherwise impair the valid or binding nature of the obligations represented by the applicable Securities; (ii) at the time of offer, issuance and sale of any Securities, the Registration Statement, and any amendments thereto (including post-effective amendments), will have been declared effective under the Securities Act, and no stop order suspending its effectiveness will have been issued and remain in effect; (iii) a prospectus supplement will have been filed with the Commission describing the Securities offered thereby; (iv) all Securities will be issued and sold in compliance with applicable U.S. federal and state securities laws and in the manner stated in the Registration Statement and the applicable prospectus supplement; (v) prior to the issuance of any Securities, a definitive purchase, underwriting or similar agreement with respect to any Securities offered will have been duly authorized and validly executed and delivered by the Company and the other parties thereto; (vi) any Warrants will be issued under one or more warrant agreements, each to be between the Company and a financial institution identified therein as warrant agent; (vii) all Securities will be issued and sold in compliance with the Trust Indenture Act of 1939, as amended, and the securities or blue sky laws of various states and in the manner stated in the Registration Statement and the applicable prospectus supplement; (viii) with respect to the Debt Securities, the Trustee under the Indentures (as applicable, the “Trustee”) will be qualified pursuant to the Trust Indenture Act of 1939, as amended, at the time the Securities are offered or issued (or such later time as may be permitted pursuant to the rules, regulations, interpretations or positions of the Commission) and a Statement of Eligibility of the Trustee on a Form T-1 has been or will be filed with the Commission with respect to such Trustee; (ix) the Indentures, together with any supplemental indentures relating to a series of</w:t>
      </w:r>
    </w:p>
    <w:p>
      <w:pPr>
        <w:sectPr>
          <w:pgSz w:w="11900" w:h="16838" w:orient="portrait"/>
          <w:cols w:equalWidth="0" w:num="1">
            <w:col w:w="11240"/>
          </w:cols>
          <w:pgMar w:left="320" w:top="8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04" w:lineRule="auto"/>
        <w:rPr>
          <w:sz w:val="20"/>
          <w:szCs w:val="20"/>
          <w:color w:val="auto"/>
        </w:rPr>
      </w:pPr>
      <w:r>
        <w:rPr>
          <w:rFonts w:ascii="Times New Roman" w:cs="Times New Roman" w:eastAsia="Times New Roman" w:hAnsi="Times New Roman"/>
          <w:sz w:val="22"/>
          <w:szCs w:val="22"/>
          <w:color w:val="auto"/>
        </w:rPr>
        <w:t>Cumberland Pharmaceuticals Inc.</w:t>
      </w:r>
    </w:p>
    <w:p>
      <w:pPr>
        <w:spacing w:after="0" w:line="205" w:lineRule="auto"/>
        <w:rPr>
          <w:sz w:val="20"/>
          <w:szCs w:val="20"/>
          <w:color w:val="auto"/>
        </w:rPr>
      </w:pPr>
      <w:r>
        <w:rPr>
          <w:rFonts w:ascii="Times New Roman" w:cs="Times New Roman" w:eastAsia="Times New Roman" w:hAnsi="Times New Roman"/>
          <w:sz w:val="22"/>
          <w:szCs w:val="22"/>
          <w:color w:val="auto"/>
        </w:rPr>
        <w:t>December 14,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Debt Securities to be issued under the Indentures, as applicable, will be duly authorized, executed and delivered by the parties thereto in substantially the form reviewed by us; (x) if being sold by the issuer thereof, the Securities will be delivered against payment of valid consideration therefor and in accordance with the terms of the applicable Board Action authorizing such sale and any applicable underwriting agreement or purchase agreement and as contemplated by the Registration Statement and/or the applicable prospectus supplement; (xi) the Company will remain a Tennessee corporation; (xii) the Securities will not be issued in violation of the ownership limit contained in any provision in the Certificate of Designation to the Charter setting forth the terms of any class or series of Preferred Stock; (xiii) upon the issuance of any Common Stock, including Common Stock which may be issued upon conversion or exercise of any other Securities convertible into or exercisable for Common Stock (“Common Securities”), the total number of shares of Common Stock issued and outstanding will not exceed the total number of shares of Common Stock that the Company is then authorized to issue under the Charter; (xiii) upon the issuance of any Securities that are shares of Preferred Stock, including any Preferred Stock which may be issued upon conversion or exercise of any other Securities convertible into or exercisable for Preferred Stock (“Preferred Securities”),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 (xiv) with respect to any Preferred Securities, the Certificate of Designation setting forth the number of shares and the terms of any class or series of Preferred Stock to be issued by the Company will be filed with and accepted for record by the Tennessee Secretary of State prior to their issuance (the “Preferred Filings”); (xv) the terms of the Securities will conform in all material respects to the respective descriptions thereof in the prospectus which is part of the Registration Statement; (xvi) certificates, if required, representing the Securities will be duly executed and delivered and, to the extent required by any applicable agreement, duly authenticated and countersigned; (xvii) the laws of the State of New York will be the governing law with respect to the Indentures, and any warrant agreement; and (xviii) any Securities convertible into or exercisable, exchangeable or redeemable for any other Securities will be duly converted, exercised, exchanged or redeemed in accordance with their terms.</w:t>
      </w:r>
    </w:p>
    <w:p>
      <w:pPr>
        <w:spacing w:after="0" w:line="16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To the extent that the obligations of the Company with respect to the Warrants may be dependent upon such matters, we assume for purposes of this opinion that the other party under the warrant agreement for any Warrants, namely the warrant agent, is duly organized, validly existing and in good standing under the laws of its jurisdiction of organization; that such other party will be duly qualified to engage in the activities contemplated by such warrant agreement, as applicable; that such warrant agreement will have been duly authorized, executed and delivered by the other party and will constitute the legal, valid and binding obligation of the other party enforceable against the other party in accordance with its terms; that such other party will be in compliance with respect to performance of its obligations under such warrant agreement, as applicable, with all applicable laws and regulations; and that such other party will have the requisite organizational and legal power and authority to perform its obligations under such warrant agreement, as applicable.</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To the extent that the obligations of the Company with respect to the Units may be dependent upon such matters, we assume for purposes of this opinion that the other party under the unit agreement for any Units, namely the unit agent, is duly organized, validly existing and in good standing under the laws of its jurisdiction of organization; that such other party will be duly qualified to engage in the activities contemplated by such unit agreement, as applicable; that such unit agreement will have been duly authorized, executed and delivered by the other party and</w:t>
      </w:r>
    </w:p>
    <w:p>
      <w:pPr>
        <w:sectPr>
          <w:pgSz w:w="11900" w:h="16838" w:orient="portrait"/>
          <w:cols w:equalWidth="0" w:num="1">
            <w:col w:w="11240"/>
          </w:cols>
          <w:pgMar w:left="320" w:top="8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04" w:lineRule="auto"/>
        <w:rPr>
          <w:sz w:val="20"/>
          <w:szCs w:val="20"/>
          <w:color w:val="auto"/>
        </w:rPr>
      </w:pPr>
      <w:r>
        <w:rPr>
          <w:rFonts w:ascii="Times New Roman" w:cs="Times New Roman" w:eastAsia="Times New Roman" w:hAnsi="Times New Roman"/>
          <w:sz w:val="22"/>
          <w:szCs w:val="22"/>
          <w:color w:val="auto"/>
        </w:rPr>
        <w:t>Cumberland Pharmaceuticals Inc.</w:t>
      </w:r>
    </w:p>
    <w:p>
      <w:pPr>
        <w:spacing w:after="0" w:line="205" w:lineRule="auto"/>
        <w:rPr>
          <w:sz w:val="20"/>
          <w:szCs w:val="20"/>
          <w:color w:val="auto"/>
        </w:rPr>
      </w:pPr>
      <w:r>
        <w:rPr>
          <w:rFonts w:ascii="Times New Roman" w:cs="Times New Roman" w:eastAsia="Times New Roman" w:hAnsi="Times New Roman"/>
          <w:sz w:val="22"/>
          <w:szCs w:val="22"/>
          <w:color w:val="auto"/>
        </w:rPr>
        <w:t>December 14,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will constitute the legal, valid and binding obligation of the other party enforceable against the other party in accordance with its terms; that such other party will be in compliance with respect to performance of its obligations under such unit agreement, as applicable, with all applicable laws and regulations; and that such other party will have the requisite organizational and legal power and authority to perform its obligations under such warrant agreement, as applicable.</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To the extent that the obligations of the Company under the Indentures may be dependent upon such matters, we assume for purposes of this opinion that the Trustee named therein will be duly organized, validly existing, and in good standing under the laws of its jurisdiction of organization; that the Trustee named therein will be duly qualified to engage in the activities contemplated by the Indentures; that the Indentures have been duly authorized, executed and delivered by the Trustee and constitutes the valid and binding obligation of the Trustee named therein enforceable against the Trustee named therein in accordance with its terms; that the Trustee named therein will be in compliance, with respect to acting as a trustee under the Indentures with all applicable laws and regulations; and that the Trustee named therein will have the requisite organizational and legal power and authority to perform its obligations under the Indentures.</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Based on the foregoing, and subject to the assumptions, qualifications, limitations, and exceptions set forth herein and having due regard for such legal considerations we deem relevant, we are of the opinion that:</w:t>
      </w:r>
    </w:p>
    <w:p>
      <w:pPr>
        <w:spacing w:after="0" w:line="150" w:lineRule="exact"/>
        <w:rPr>
          <w:sz w:val="20"/>
          <w:szCs w:val="20"/>
          <w:color w:val="auto"/>
        </w:rPr>
      </w:pPr>
    </w:p>
    <w:p>
      <w:pPr>
        <w:jc w:val="both"/>
        <w:ind w:firstLine="980"/>
        <w:spacing w:after="0" w:line="225" w:lineRule="auto"/>
        <w:tabs>
          <w:tab w:leader="none" w:pos="14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the Board Action, the Common Securities will be duly authorized and, when and if issued and delivered against payment therefor in accordance with the Registration Statement and the Board Action, will be validly issued, fully paid and nonassessable.</w:t>
      </w:r>
    </w:p>
    <w:p>
      <w:pPr>
        <w:spacing w:after="0" w:line="152" w:lineRule="exact"/>
        <w:rPr>
          <w:rFonts w:ascii="Times New Roman" w:cs="Times New Roman" w:eastAsia="Times New Roman" w:hAnsi="Times New Roman"/>
          <w:sz w:val="22"/>
          <w:szCs w:val="22"/>
          <w:color w:val="auto"/>
        </w:rPr>
      </w:pPr>
    </w:p>
    <w:p>
      <w:pPr>
        <w:jc w:val="both"/>
        <w:ind w:firstLine="980"/>
        <w:spacing w:after="0" w:line="225" w:lineRule="auto"/>
        <w:tabs>
          <w:tab w:leader="none" w:pos="156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completion of the Board Action and the Preferred Filings relating to the Preferred Securities, the Preferred Securities will be duly authorized and, when and if issued and delivered against payment therefor in accordance with the Registration Statement and the Board Action and Preferred Filings, will be validly issued, fully paid and nonassessable.</w:t>
      </w:r>
    </w:p>
    <w:p>
      <w:pPr>
        <w:spacing w:after="0" w:line="152" w:lineRule="exact"/>
        <w:rPr>
          <w:rFonts w:ascii="Times New Roman" w:cs="Times New Roman" w:eastAsia="Times New Roman" w:hAnsi="Times New Roman"/>
          <w:sz w:val="22"/>
          <w:szCs w:val="22"/>
          <w:color w:val="auto"/>
        </w:rPr>
      </w:pPr>
    </w:p>
    <w:p>
      <w:pPr>
        <w:jc w:val="both"/>
        <w:ind w:firstLine="980"/>
        <w:spacing w:after="0" w:line="220" w:lineRule="auto"/>
        <w:tabs>
          <w:tab w:leader="none" w:pos="146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Warrants, upon completion of the Board Action and the due execution and delivery of a warrant agreement relating thereto on behalf of the Company and the warrant agent named therein and due authentication of the Warrants by such warrant agent, and upon due execution and delivery of the Warrants on behalf of the Company, will constitute valid and binding obligations of the Company, enforceable against the Company in accordance with their terms.</w:t>
      </w:r>
    </w:p>
    <w:p>
      <w:pPr>
        <w:spacing w:after="0" w:line="152" w:lineRule="exact"/>
        <w:rPr>
          <w:rFonts w:ascii="Times New Roman" w:cs="Times New Roman" w:eastAsia="Times New Roman" w:hAnsi="Times New Roman"/>
          <w:sz w:val="22"/>
          <w:szCs w:val="22"/>
          <w:color w:val="auto"/>
        </w:rPr>
      </w:pPr>
    </w:p>
    <w:p>
      <w:pPr>
        <w:jc w:val="both"/>
        <w:ind w:firstLine="980"/>
        <w:spacing w:after="0" w:line="215" w:lineRule="auto"/>
        <w:tabs>
          <w:tab w:leader="none" w:pos="150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due authorization of the Debt Securities by all necessary corporate action of the Company and the Debt Securities have been executed, issued and delivered for value, pursuant to an applicable underwriting agreement, if any, and in accordance with the terms of the applicable Indenture and any supplemental indenture related thereto and duly authenticated by the Trustee under the applicable Indenture, as contemplated by the applicable prospectus and/or prospectus supplement made part of the Registration Statement, subject to the final terms of the Debt Securities being in compliance with then applicable law, the Debt Securities will constitute valid and binding obligations of the Company.</w:t>
      </w:r>
    </w:p>
    <w:p>
      <w:pPr>
        <w:spacing w:after="0" w:line="152" w:lineRule="exact"/>
        <w:rPr>
          <w:rFonts w:ascii="Times New Roman" w:cs="Times New Roman" w:eastAsia="Times New Roman" w:hAnsi="Times New Roman"/>
          <w:sz w:val="22"/>
          <w:szCs w:val="22"/>
          <w:color w:val="auto"/>
        </w:rPr>
      </w:pPr>
    </w:p>
    <w:p>
      <w:pPr>
        <w:jc w:val="both"/>
        <w:ind w:firstLine="980"/>
        <w:spacing w:after="0" w:line="225" w:lineRule="auto"/>
        <w:tabs>
          <w:tab w:leader="none" w:pos="150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Units offered under the Registration Statement, upon completion of the Board Action and assuming (i) the terms of the Units and of their issuance and sale have been duly established in conformity with the unit agreement and as described in the</w:t>
      </w:r>
    </w:p>
    <w:p>
      <w:pPr>
        <w:sectPr>
          <w:pgSz w:w="11900" w:h="16838" w:orient="portrait"/>
          <w:cols w:equalWidth="0" w:num="1">
            <w:col w:w="11240"/>
          </w:cols>
          <w:pgMar w:left="320" w:top="8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04" w:lineRule="auto"/>
        <w:rPr>
          <w:sz w:val="20"/>
          <w:szCs w:val="20"/>
          <w:color w:val="auto"/>
        </w:rPr>
      </w:pPr>
      <w:r>
        <w:rPr>
          <w:rFonts w:ascii="Times New Roman" w:cs="Times New Roman" w:eastAsia="Times New Roman" w:hAnsi="Times New Roman"/>
          <w:sz w:val="22"/>
          <w:szCs w:val="22"/>
          <w:color w:val="auto"/>
        </w:rPr>
        <w:t>Cumberland Pharmaceuticals Inc.</w:t>
      </w:r>
    </w:p>
    <w:p>
      <w:pPr>
        <w:spacing w:after="0" w:line="205" w:lineRule="auto"/>
        <w:rPr>
          <w:sz w:val="20"/>
          <w:szCs w:val="20"/>
          <w:color w:val="auto"/>
        </w:rPr>
      </w:pPr>
      <w:r>
        <w:rPr>
          <w:rFonts w:ascii="Times New Roman" w:cs="Times New Roman" w:eastAsia="Times New Roman" w:hAnsi="Times New Roman"/>
          <w:sz w:val="22"/>
          <w:szCs w:val="22"/>
          <w:color w:val="auto"/>
        </w:rPr>
        <w:t>December 14,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Registration Statement and the related prospectus supplement(s), and (ii) the Units have been duly executed and delivered by the Company and authenticated by the unit agent pursuant to the unit agreement and delivered against payment therefor, then the Units, when issued and sold in accordance with the applicable unit agreement and duly authorized, executed and delivered purchase, underwriting or similar agreement, will constitute valid and binding obligations of the Company, enforceable against the Company in accordance with their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opinion that any document is legal, valid and binding is qualified as to:</w:t>
      </w:r>
    </w:p>
    <w:p>
      <w:pPr>
        <w:spacing w:after="0" w:line="233" w:lineRule="exact"/>
        <w:rPr>
          <w:sz w:val="20"/>
          <w:szCs w:val="20"/>
          <w:color w:val="auto"/>
        </w:rPr>
      </w:pPr>
    </w:p>
    <w:p>
      <w:pPr>
        <w:ind w:left="1300" w:hanging="320"/>
        <w:spacing w:after="0" w:line="236" w:lineRule="auto"/>
        <w:tabs>
          <w:tab w:leader="none" w:pos="14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imposed by bankruptcy, insolvency, reorganization, arrangement, fraudulent conveyance, moratorium or other laws relating to or affecting the rights of creditors generally;</w:t>
      </w:r>
    </w:p>
    <w:p>
      <w:pPr>
        <w:spacing w:after="0" w:line="150" w:lineRule="exact"/>
        <w:rPr>
          <w:rFonts w:ascii="Times New Roman" w:cs="Times New Roman" w:eastAsia="Times New Roman" w:hAnsi="Times New Roman"/>
          <w:sz w:val="22"/>
          <w:szCs w:val="22"/>
          <w:color w:val="auto"/>
        </w:rPr>
      </w:pPr>
    </w:p>
    <w:p>
      <w:pPr>
        <w:ind w:left="1440" w:hanging="460"/>
        <w:spacing w:after="0"/>
        <w:tabs>
          <w:tab w:leader="none" w:pos="14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indemnification and contribution, which may be limited by applicable law or equitable principles; and</w:t>
      </w:r>
    </w:p>
    <w:p>
      <w:pPr>
        <w:spacing w:after="0" w:line="179" w:lineRule="exact"/>
        <w:rPr>
          <w:rFonts w:ascii="Times New Roman" w:cs="Times New Roman" w:eastAsia="Times New Roman" w:hAnsi="Times New Roman"/>
          <w:sz w:val="22"/>
          <w:szCs w:val="22"/>
          <w:color w:val="auto"/>
        </w:rPr>
      </w:pPr>
    </w:p>
    <w:p>
      <w:pPr>
        <w:jc w:val="both"/>
        <w:ind w:left="1300" w:hanging="320"/>
        <w:spacing w:after="0" w:line="225" w:lineRule="auto"/>
        <w:tabs>
          <w:tab w:leader="none" w:pos="146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opinions expressed herein are limited to the federal securities law of the United States of America, the Act, and applicable provisions of the laws of the State of New York (but not including any laws, statutes, ordinances, administrative decisions, rules or regulations of any political subdivision of the State of New York) in each case as currently in effect. We are expressing no opinion as to the effect of the laws of any other jurisdiction, domestic or foreign.</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This opinion (i) is rendered in connection with the filing of the Registration Statement, (ii) is rendered as of the date hereof, and we undertake no, and hereby disclaim any kind of, obligation to advise you of any change or any new developments that might affect any matters or opinions set forth herein, and (iii) is limited to the matters stated herein and no opinions may be inferred or implied beyond the matters expressly stated herein.</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Registration Statement and to the use of our firm’s name in the Registration Statement. In giving this consent, we do not admit that we are within the category of persons whose consent is required under Section 7 of the Securities Act and the rules and regulations thereunder.</w:t>
      </w:r>
    </w:p>
    <w:p>
      <w:pPr>
        <w:spacing w:after="0" w:line="1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3240"/>
        <w:spacing w:after="0" w:line="236" w:lineRule="auto"/>
        <w:rPr>
          <w:sz w:val="20"/>
          <w:szCs w:val="20"/>
          <w:color w:val="auto"/>
        </w:rPr>
      </w:pPr>
      <w:r>
        <w:rPr>
          <w:rFonts w:ascii="Times New Roman" w:cs="Times New Roman" w:eastAsia="Times New Roman" w:hAnsi="Times New Roman"/>
          <w:sz w:val="22"/>
          <w:szCs w:val="22"/>
          <w:color w:val="auto"/>
        </w:rPr>
        <w:t>BAKER, DONELSON, BEARMAN, CALDWELL &amp; BERKOWITZ, a professional corporation</w:t>
      </w:r>
    </w:p>
    <w:p>
      <w:pPr>
        <w:spacing w:after="0" w:line="200" w:lineRule="exact"/>
        <w:rPr>
          <w:sz w:val="20"/>
          <w:szCs w:val="20"/>
          <w:color w:val="auto"/>
        </w:rPr>
      </w:pPr>
    </w:p>
    <w:p>
      <w:pPr>
        <w:spacing w:after="0" w:line="20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Tonya Mitchem Grindon___</w:t>
      </w:r>
    </w:p>
    <w:p>
      <w:pPr>
        <w:ind w:left="3680"/>
        <w:spacing w:after="0" w:line="204" w:lineRule="auto"/>
        <w:rPr>
          <w:sz w:val="20"/>
          <w:szCs w:val="20"/>
          <w:color w:val="auto"/>
        </w:rPr>
      </w:pPr>
      <w:r>
        <w:rPr>
          <w:rFonts w:ascii="Times New Roman" w:cs="Times New Roman" w:eastAsia="Times New Roman" w:hAnsi="Times New Roman"/>
          <w:sz w:val="22"/>
          <w:szCs w:val="22"/>
          <w:color w:val="auto"/>
        </w:rPr>
        <w:t>Tonya Mitchem Grindon</w:t>
      </w:r>
    </w:p>
    <w:p>
      <w:pPr>
        <w:spacing w:after="0" w:line="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Authorized Representative</w:t>
      </w:r>
    </w:p>
    <w:p>
      <w:pPr>
        <w:sectPr>
          <w:pgSz w:w="11900" w:h="16838" w:orient="portrait"/>
          <w:cols w:equalWidth="0" w:num="1">
            <w:col w:w="11240"/>
          </w:cols>
          <w:pgMar w:left="320" w:top="86"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Prospectus constituting a part of this Registration Statement on Form S-3 of our report dated March 13, 2023, on our audit of the consolidated financial statements and schedule of Cumberland Pharmaceuticals Inc. as of and for the years ended December 31, 2022 and 2021, appearing in the Form 10-K of Cumberland Pharmaceuticals Inc. filed on March 13, 2023. We also consent to the reference to our firm under the caption “Experts” in the Prospectus.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LLP (formerly BKD,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6"/>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5"/>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4"/>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3"/>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decimal"/>
      <w:start w:val="2"/>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2"/>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decimal"/>
      <w:start w:val="1"/>
    </w:lvl>
    <w:lvl w:ilvl="1">
      <w:lvlJc w:val="left"/>
      <w:lvlText w:val="(%2)"/>
      <w:numFmt w:val="lowerRoman"/>
      <w:start w:val="1"/>
    </w:lvl>
  </w:abstractNum>
  <w:abstractNum w:abstractNumId="34">
    <w:nsid w:val="5E884ADC"/>
    <w:multiLevelType w:val="hybridMultilevel"/>
    <w:lvl w:ilvl="0">
      <w:lvlJc w:val="left"/>
      <w:lvlText w:val="(%1)"/>
      <w:numFmt w:val="decimal"/>
      <w:start w:val="2"/>
    </w:lvl>
    <w:lvl w:ilvl="1">
      <w:lvlJc w:val="left"/>
      <w:lvlText w:val="(%2)"/>
      <w:numFmt w:val="lowerRoman"/>
      <w:start w:val="1"/>
    </w:lvl>
  </w:abstractNum>
  <w:abstractNum w:abstractNumId="35">
    <w:nsid w:val="51EAD36B"/>
    <w:multiLevelType w:val="hybridMultilevel"/>
    <w:lvl w:ilvl="0">
      <w:lvlJc w:val="left"/>
      <w:lvlText w:val="(%1)"/>
      <w:numFmt w:val="lowerRoman"/>
      <w:start w:val="1"/>
    </w:lvl>
  </w:abstractNum>
  <w:abstractNum w:abstractNumId="36">
    <w:nsid w:val="2D517796"/>
    <w:multiLevelType w:val="hybridMultilevel"/>
    <w:lvl w:ilvl="0">
      <w:lvlJc w:val="left"/>
      <w:lvlText w:val="%1"/>
      <w:numFmt w:val="decimal"/>
      <w:start w:val="1"/>
    </w:lvl>
    <w:lvl w:ilvl="1">
      <w:lvlJc w:val="left"/>
      <w:lvlText w:val="(%2)"/>
      <w:numFmt w:val="lowerRoman"/>
      <w:start w:val="2"/>
    </w:lvl>
  </w:abstractNum>
  <w:abstractNum w:abstractNumId="37">
    <w:nsid w:val="580BD78F"/>
    <w:multiLevelType w:val="hybridMultilevel"/>
    <w:lvl w:ilvl="0">
      <w:lvlJc w:val="left"/>
      <w:lvlText w:val="(%1)"/>
      <w:numFmt w:val="decimal"/>
      <w:start w:val="6"/>
    </w:lvl>
    <w:lvl w:ilvl="1">
      <w:lvlJc w:val="left"/>
      <w:lvlText w:val="%2"/>
      <w:numFmt w:val="lowerRoman"/>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lowerRoman"/>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jpeg"/><Relationship Id="rId14" Type="http://schemas.openxmlformats.org/officeDocument/2006/relationships/hyperlink" Target="https://www.sec.gov/ix?doc=/Archives/edgar/data/1087294/000162828023007727/cpix-20221231.htm" TargetMode="External"/><Relationship Id="rId15" Type="http://schemas.openxmlformats.org/officeDocument/2006/relationships/hyperlink" Target="https://www.sec.gov/ix?doc=/Archives/edgar/data/1087294/000162828023017951/cpix-20230331.htm" TargetMode="External"/><Relationship Id="rId16" Type="http://schemas.openxmlformats.org/officeDocument/2006/relationships/hyperlink" Target="https://www.sec.gov/ix?doc=/Archives/edgar/data/1087294/000162828023029112/cpix-20230630.htm" TargetMode="External"/><Relationship Id="rId17" Type="http://schemas.openxmlformats.org/officeDocument/2006/relationships/hyperlink" Target="https://www.sec.gov/ix?doc=/Archives/edgar/data/1087294/000162828023038418/cpix-20230930.htm" TargetMode="External"/><Relationship Id="rId18" Type="http://schemas.openxmlformats.org/officeDocument/2006/relationships/hyperlink" Target="https://www.sec.gov/ix?doc=/Archives/edgar/data/1087294/000162828023014265/cpix-20230425.htm" TargetMode="External"/><Relationship Id="rId19" Type="http://schemas.openxmlformats.org/officeDocument/2006/relationships/hyperlink" Target="https://www.sec.gov/ix?doc=/Archives/edgar/data/1087294/000162828023034316/cpix-20231013.htm" TargetMode="External"/><Relationship Id="rId20" Type="http://schemas.openxmlformats.org/officeDocument/2006/relationships/hyperlink" Target="https://www.sec.gov/Archives/edgar/data/1087294/000095014407007080/g06286abe8va12b.htm" TargetMode="External"/><Relationship Id="rId21" Type="http://schemas.openxmlformats.org/officeDocument/2006/relationships/hyperlink" Target="https://www.sec.gov/Archives/edgar/data/1087294/000095014407007143/g06286r8e8va12bza.htm" TargetMode="External"/><Relationship Id="rId22" Type="http://schemas.openxmlformats.org/officeDocument/2006/relationships/hyperlink" Target="https://www.sec.gov/Archives/edgar/data/1087294/000095014407007248/g06286a5exv4w1.htm" TargetMode="External"/><Relationship Id="rId23" Type="http://schemas.openxmlformats.org/officeDocument/2006/relationships/hyperlink" Target="https://www.sec.gov/Archives/edgar/data/1087294/000119312517372414/d489256dex42.htm" TargetMode="External"/><Relationship Id="rId24" Type="http://schemas.openxmlformats.org/officeDocument/2006/relationships/hyperlink" Target="https://www.sec.gov/Archives/edgar/data/1087294/000119312517335943/d489256dex42.htm" TargetMode="External"/><Relationship Id="rId25" Type="http://schemas.openxmlformats.org/officeDocument/2006/relationships/hyperlink" Target="https://www.sec.gov/Archives/edgar/data/1087294/000119312517335943/d489256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2023-12-14T16:19:54Z</dcterms:created>
  <dcterms:modified xsi:type="dcterms:W3CDTF">2023-12-14T16:19:54Z</dcterms:modified>
</cp:coreProperties>
</file>