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74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AVENUE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74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2.4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2.6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33,300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33,302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33,304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33,309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744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80" w:type="dxa"/>
            <w:vAlign w:val="bottom"/>
            <w:gridSpan w:val="18"/>
          </w:tcPr>
          <w:p>
            <w:pPr>
              <w:jc w:val="center"/>
              <w:ind w:right="9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40" w:type="dxa"/>
            <w:vAlign w:val="bottom"/>
            <w:gridSpan w:val="1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5"/>
              </w:rPr>
              <w:t>1. The reported purchase occurred automatically pursuant to a Rule 10b5-1 trading plan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5"/>
              </w:rPr>
              <w:t>Disposed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5"/>
              </w:rPr>
              <w:t>adoptedby the reporting person on November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5"/>
              </w:rPr>
              <w:t>3and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5"/>
              </w:rPr>
              <w:t>14,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5"/>
              </w:rPr>
              <w:t>)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5"/>
              </w:rPr>
              <w:t xml:space="preserve"> 2024.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Caroline Young by /s/ John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01/06/2026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Hamm as attorney</w:t>
            </w: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000000"/>
              </w:rPr>
              <w:t>or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5006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500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4087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2026-01-06T16:07:10Z</dcterms:created>
  <dcterms:modified xsi:type="dcterms:W3CDTF">2026-01-06T16:07:10Z</dcterms:modified>
</cp:coreProperties>
</file>