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August 10, 2021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3340" w:type="dxa"/>
            <w:vAlign w:val="bottom"/>
            <w:gridSpan w:val="3"/>
          </w:tcPr>
          <w:p>
            <w:pPr>
              <w:jc w:val="center"/>
              <w:ind w:right="800"/>
              <w:spacing w:after="0"/>
              <w:rPr>
                <w:sz w:val="20"/>
                <w:szCs w:val="20"/>
                <w:color w:val="auto"/>
              </w:rPr>
            </w:pPr>
            <w:r>
              <w:rPr>
                <w:rFonts w:ascii="Arial" w:cs="Arial" w:eastAsia="Arial" w:hAnsi="Arial"/>
                <w:sz w:val="14"/>
                <w:szCs w:val="14"/>
                <w:color w:val="auto"/>
                <w:w w:val="95"/>
              </w:rPr>
              <w:t>(State or other jurisdiction of incorporation)</w:t>
            </w:r>
          </w:p>
        </w:tc>
        <w:tc>
          <w:tcPr>
            <w:tcW w:w="316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0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ind w:left="1560"/>
              <w:spacing w:after="0"/>
              <w:rPr>
                <w:sz w:val="20"/>
                <w:szCs w:val="20"/>
                <w:color w:val="auto"/>
              </w:rPr>
            </w:pPr>
            <w:r>
              <w:rPr>
                <w:rFonts w:ascii="Arial" w:cs="Arial" w:eastAsia="Arial" w:hAnsi="Arial"/>
                <w:sz w:val="18"/>
                <w:szCs w:val="18"/>
                <w:color w:val="auto"/>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1000"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August 10, 2021, Cumberland Pharmaceuticals Inc. (the "Company") issued a press release which provided a company update and the financial results for the three months and six months ended June 30, 2021.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5760" w:type="dxa"/>
            <w:vAlign w:val="bottom"/>
            <w:gridSpan w:val="3"/>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351"/>
        </w:trPr>
        <w:tc>
          <w:tcPr>
            <w:tcW w:w="320" w:type="dxa"/>
            <w:vAlign w:val="bottom"/>
            <w:tcBorders>
              <w:top w:val="single" w:sz="8" w:color="auto"/>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3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tcBorders>
              <w:top w:val="single" w:sz="8" w:color="auto"/>
            </w:tcBorders>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10, 2021</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ectPr>
          <w:pgSz w:w="11900" w:h="16838" w:orient="portrait"/>
          <w:cols w:equalWidth="0" w:num="1">
            <w:col w:w="11240"/>
          </w:cols>
          <w:pgMar w:left="320" w:top="1093" w:right="339" w:bottom="1440" w:gutter="0" w:footer="0" w:header="0"/>
        </w:sectPr>
      </w:pPr>
    </w:p>
    <w:bookmarkStart w:id="2" w:name="page3"/>
    <w:bookmarkEnd w:id="2"/>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6820" w:type="dxa"/>
            <w:vAlign w:val="bottom"/>
            <w:gridSpan w:val="2"/>
          </w:tcPr>
          <w:p>
            <w:pPr>
              <w:ind w:left="264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Dated: August 11, 2021</w:t>
            </w:r>
          </w:p>
        </w:tc>
        <w:tc>
          <w:tcPr>
            <w:tcW w:w="4000" w:type="dxa"/>
            <w:vAlign w:val="bottom"/>
          </w:tcPr>
          <w:p>
            <w:pPr>
              <w:ind w:left="264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REPORTS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2021 FINANCIAL RESULTS &amp; COMPANY UPDATE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Year-to-date net revenues up 9.3%</w:t>
      </w:r>
    </w:p>
    <w:p>
      <w:pPr>
        <w:spacing w:after="0" w:line="37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NASHVILLE, Tennessee (Tuesday, August 10, 2021)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is providing a company update and second quarter 2021 financial results. Net revenues from continuing operations during the quarter were $9.1 million and totaled $19.6 million for the first half of 2021</w:t>
      </w:r>
      <w:r>
        <w:rPr>
          <w:rFonts w:ascii="Arial" w:cs="Arial" w:eastAsia="Arial" w:hAnsi="Arial"/>
          <w:sz w:val="17"/>
          <w:szCs w:val="17"/>
          <w:color w:val="auto"/>
        </w:rPr>
        <w:t>.</w:t>
      </w:r>
      <w:r>
        <w:rPr>
          <w:rFonts w:ascii="Arial" w:cs="Arial" w:eastAsia="Arial" w:hAnsi="Arial"/>
          <w:sz w:val="22"/>
          <w:szCs w:val="22"/>
          <w:color w:val="auto"/>
        </w:rPr>
        <w:t xml:space="preserve"> The company also recorded an additional $500,000 in revenue during the second quarter and $1 million year to date, associated with divested product rights for two brands it is no longer distributing.</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While there was a slight decline in revenues during the second quarter 2021 compared to the prior year period, net revenues for the first half of 2021 were up 9.3% compared to the same period in 2020. The Company also posted year to date net income of $1.4 million during the first half of 2021, compared to a loss of $2 million during the prior year period.</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Company's financial position included $89 million in total assets, with $26 million in cash, $41 million of total liabilities, and $48 million of shareholders’ equity at the end of the quarter.</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“Cumberland continued to face headwinds due to the pandemic, but we are fortunate to have a diversified product portfolio that helped us counter the negative effects on our business,” said A.J. Kazimi, Chief Executive Officer of Cumberland Pharmaceuticals. “We have adjusted our strategies and reinvented the way we operate in order to support our customers and the patients who can benefit from the delivery of our medicines.”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ESG Report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In July 2021, Cumberland released its second annual </w:t>
      </w:r>
      <w:r>
        <w:rPr>
          <w:rFonts w:ascii="Arial" w:cs="Arial" w:eastAsia="Arial" w:hAnsi="Arial"/>
          <w:sz w:val="22"/>
          <w:szCs w:val="22"/>
          <w:i w:val="1"/>
          <w:iCs w:val="1"/>
          <w:color w:val="auto"/>
        </w:rPr>
        <w:t>Sustainability Report</w:t>
      </w:r>
      <w:r>
        <w:rPr>
          <w:rFonts w:ascii="Arial" w:cs="Arial" w:eastAsia="Arial" w:hAnsi="Arial"/>
          <w:sz w:val="22"/>
          <w:szCs w:val="22"/>
          <w:color w:val="auto"/>
        </w:rPr>
        <w:t xml:space="preserve"> (the "ESG Report"), which details the Company’s activities pertaining to environmental, social and governance (“ESG”) matters. After issuing an inaugural ESG report last year, the Company remains committed to sustainability and to maintaining transparency of its corporate operations. As the largest biopharmaceutical company founded and headquartered in the Mid-South, Cumberland holds itself to the highest standards of ethical practices and understands the importance of recognizing and addressing the Company’s impact on its constituents, the community and the environment.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22"/>
          <w:szCs w:val="22"/>
          <w:color w:val="auto"/>
        </w:rPr>
        <w:t>The ESG Report notes that in 2020, Cumberland provided nearly 2.5 million patient doses of its products, safely disposed of over 4,000 pounds of expired and damaged products and had no product recalls. The Company also had no brands that were listed on the U.S. Food and Drug Administration's ("FDA") MedWatch Safety Alerts for Human Medical Products, no brand issues that were identified by the FDA from their Adverse Event Reporting System and no clinical trials that were terminated due to failure to practice good clinical standards.</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ESG Report also highlights several initiatives Cumberland implemented as part of its commitment to delivering high-quality pharmaceutical products to improve patient care. For example, the Company continued a program to serialize all commercial products sold in the United States, allowing it to track every unit distributed, which helps to prevent counterfeit drugs from entering the market under the Cumberland brand. In addition, through its coupon program, Cumberland covers up to 90% of patient prescription costs for the Company’s gastrointestinal products.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ESG Report also highlights Cumberland’s investment in its employees through continuing education programs, employee development initiatives and employee recognition awards. Cumberland’s workforce is 46% women – and 18% of the Company’s employees are minorities.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Case Studies</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June 2021, Cumberland released a series of case reports describing the effectiveness of Vibativ</w:t>
      </w:r>
      <w:r>
        <w:rPr>
          <w:rFonts w:ascii="Arial" w:cs="Arial" w:eastAsia="Arial" w:hAnsi="Arial"/>
          <w:sz w:val="11"/>
          <w:szCs w:val="1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telavancin</w:t>
      </w:r>
      <w:r>
        <w:rPr>
          <w:rFonts w:ascii="Arial" w:cs="Arial" w:eastAsia="Arial" w:hAnsi="Arial"/>
          <w:sz w:val="22"/>
          <w:szCs w:val="22"/>
          <w:color w:val="auto"/>
        </w:rPr>
        <w:t>) in treating secondary bacterial infections in COVID-19 patients – particularly those with other significant health problems, such as obesity, diabetes and heart disease. Cumberland’s Vibativ product has been used across the country to help COVID-19 patients who develop secondary bacterial infections in their lungs. Vibativ is a patented, FDA-approved injectable anti-infective for the treatment of certain serious bacterial infections including hospital-acquired and ventilator-associated bacterial pneumonia that can result from COVID-19, flu and other infections.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Company compiled a dossier of patient case studies from across the country outlining several real-world instances where Vibativ effectively and safely treated the hospital-acquired bacterial pneumonia and ventilator-associated bacterial pneumonia resulting from MSSA and MRSA infections that developed in patients hospitalized with COVID-19.</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Hyponatremia Publication in Support of Vaprisol</w:t>
      </w:r>
      <w:r>
        <w:rPr>
          <w:rFonts w:ascii="Arial" w:cs="Arial" w:eastAsia="Arial" w:hAnsi="Arial"/>
          <w:sz w:val="11"/>
          <w:szCs w:val="11"/>
          <w:b w:val="1"/>
          <w:bCs w:val="1"/>
          <w:color w:val="auto"/>
        </w:rPr>
        <w:t>®</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In late 2020, the </w:t>
      </w:r>
      <w:r>
        <w:rPr>
          <w:rFonts w:ascii="Arial" w:cs="Arial" w:eastAsia="Arial" w:hAnsi="Arial"/>
          <w:sz w:val="22"/>
          <w:szCs w:val="22"/>
          <w:i w:val="1"/>
          <w:iCs w:val="1"/>
          <w:color w:val="auto"/>
        </w:rPr>
        <w:t>Health Outcome Predictive Evaluation</w:t>
      </w:r>
      <w:r>
        <w:rPr>
          <w:rFonts w:ascii="Arial" w:cs="Arial" w:eastAsia="Arial" w:hAnsi="Arial"/>
          <w:sz w:val="22"/>
          <w:szCs w:val="22"/>
          <w:color w:val="auto"/>
        </w:rPr>
        <w:t xml:space="preserve"> (HOPE) </w:t>
      </w:r>
      <w:r>
        <w:rPr>
          <w:rFonts w:ascii="Arial" w:cs="Arial" w:eastAsia="Arial" w:hAnsi="Arial"/>
          <w:sz w:val="22"/>
          <w:szCs w:val="22"/>
          <w:i w:val="1"/>
          <w:iCs w:val="1"/>
          <w:color w:val="auto"/>
        </w:rPr>
        <w:t>COVID-19 Registry Analysis</w:t>
      </w:r>
      <w:r>
        <w:rPr>
          <w:rFonts w:ascii="Arial" w:cs="Arial" w:eastAsia="Arial" w:hAnsi="Arial"/>
          <w:sz w:val="22"/>
          <w:szCs w:val="22"/>
          <w:color w:val="auto"/>
        </w:rPr>
        <w:t>, an international study of over 4,000 patients,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Hyponatremia, an imbalance of serum sodium to body water, is the most common electrolyte disorder among hospitalized patients. Cumberland’s Vaprisol product is one of two branded prescription products indicated for the treatment of hyponatremia, and the only intravenously administered branded treatment. Vaprisol has a proven day one response to help normalize serum sodium levels in hyponatremic patients and move them out of the ICU as efficiently as possible.</w:t>
      </w:r>
    </w:p>
    <w:p>
      <w:pPr>
        <w:sectPr>
          <w:pgSz w:w="11900" w:h="16838" w:orient="portrait"/>
          <w:cols w:equalWidth="0" w:num="1">
            <w:col w:w="11240"/>
          </w:cols>
          <w:pgMar w:left="320" w:top="105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New Chief Financial Officer Appointment</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May 17, 2021, Cumberland appointed John Hamm as its new Senior Director Finance &amp; Accounting and Chief Financial Officer. In this role, his responsibilities include management of all the Company’s finance and accounting activities, while he continues to oversee corporate development and legal matters.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Mr. Hamm has more than 25 years of finance and accounting experience, including 20 years in health care. He previously held the positions of Chief Operating Officer and Chief Financial Officer, Pharmacy at HealthSpring, Inc., a managed care organization now operating as Cigna-HealthSpring.</w:t>
      </w:r>
    </w:p>
    <w:p>
      <w:pPr>
        <w:spacing w:after="0" w:line="11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He was also the Vice President Finance at Emdeon Business Services. Emdeon Inc., a healthcare technology firm that now operates as Change Healthcare Inc., a NASDAQ listed company with over $3 billion in annual revenues.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Mr. Hamm holds a Bachelor of Science in Business Administration with a minor in Accounting from Wheeling University. He earned his Master’s in Business Administration with an emphasis in Accounting from West Virginia University. He is a Certified Management Accountant (CMA) and Certified Financial Manager (CFM).</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Prior to this new appointment, Mr. Hamm served as Cumberland’s Director Corporate Development.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Paycheck Protection Program</w:t>
      </w:r>
    </w:p>
    <w:p>
      <w:pPr>
        <w:spacing w:after="0" w:line="14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On April 20, 2020, Cumberland received a loan from Pinnacle Bank in the aggregate amount of $2,187,140 pursuant to the Paycheck Protection Program (the “PPP”) under the Federal Coronavirus Aid, Relief and Economic Security Act (“CARES Act”), which was enacted March 27, 2020. The PPP is administered by the U.S. Small Business Administration (“SBA”).</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Pursuant to the PPP requirements, loan funds were used to maintain payroll, continue group health care benefits, and pay for rent and utilities during the pandemic. Cumberland applied for this loan after carefully considering, with Pinnacle Bank, the eligibility criteria to participate in this program, and determining that it met those criteria. The Company evaluated and provided information on its payroll and other qualifying expenses to determine the amount of PPP funds to apply for. Due to assistance from the PPP loan, the Company did not lay off or furlough any employees as a result of the COVID-19 pandemic.</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Under the terms of the PPP, certain amounts of the loan may be forgiven if they are used for qualifying expenses as described in the CARES Act. Cumberland used the PPP loan funds for such qualifying expenses. In October 2020, Cumberland submitted a request for the loan’s forgiveness and on June 11, 2021, the Company received a formal notice from the SBA that the full amount of the loan was forgiven.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Launch</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During late 2018, Cumberland completed the submission of and filed with the FDA a New Drug Application for its RediTrex methotrexate injection product. RediTrex is a new line of pre-filled syringes specifically designed for ease of handling and dosing accuracy for the subcutaneous administration of methotrexate in patients with arthritis and psoriasis.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December 2019, the Company received FDA approval for RediTrex and began planning for the launch of the product line. Cumberland provided initial shipments of RediTrex to accounts in November 2020 and is planning to launch the product line nationally in late September 2021.</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Ifetroban Phase II Studies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is sponsoring Phase II clinical programs to evaluate its ifetroban product candidates in 1) patients with cardiomyopathy associated with Duchenne Muscular Dystrophy, a rare, fatal, genetic neuromuscular disease that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the Company has completed two pilot Phase II studies involving 1) patients suffering from Hepatorenal Syndrome, a life-threatening condition involving liver and kidney failure and 2) patients with Portal Hypertension that is associated with chronic liver disease.</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Additional pilot preclinical and clinical studies of ifetroban are underway, including several investigator-initiated trials.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Enrollment in these clinical studies was interrupted due to the COVID-19 pandemic. While enrollment of new patients has been limited in 2021, many of the clinical study sites have reopened and resumed screening of patients for potential enrollment into the studies. Cumberland is awaiting results from the studies underway before deciding on the best development path for the registration of ifetroban, the Company’s first new chemical entity.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right="80"/>
        <w:spacing w:after="0" w:line="274" w:lineRule="auto"/>
        <w:rPr>
          <w:sz w:val="20"/>
          <w:szCs w:val="20"/>
          <w:color w:val="auto"/>
        </w:rPr>
      </w:pPr>
      <w:r>
        <w:rPr>
          <w:rFonts w:ascii="Arial" w:cs="Arial" w:eastAsia="Arial" w:hAnsi="Arial"/>
          <w:sz w:val="21"/>
          <w:szCs w:val="21"/>
          <w:b w:val="1"/>
          <w:bCs w:val="1"/>
          <w:color w:val="auto"/>
        </w:rPr>
        <w:t xml:space="preserve">Net Revenues: </w:t>
      </w:r>
      <w:r>
        <w:rPr>
          <w:rFonts w:ascii="Arial" w:cs="Arial" w:eastAsia="Arial" w:hAnsi="Arial"/>
          <w:sz w:val="21"/>
          <w:szCs w:val="21"/>
          <w:color w:val="auto"/>
        </w:rPr>
        <w:t>For the three months ended June 30, 2021, net revenues from ongoing operations were $9.1 million, compared</w:t>
      </w:r>
      <w:r>
        <w:rPr>
          <w:rFonts w:ascii="Arial" w:cs="Arial" w:eastAsia="Arial" w:hAnsi="Arial"/>
          <w:sz w:val="21"/>
          <w:szCs w:val="21"/>
          <w:b w:val="1"/>
          <w:bCs w:val="1"/>
          <w:color w:val="auto"/>
        </w:rPr>
        <w:t xml:space="preserve"> </w:t>
      </w:r>
      <w:r>
        <w:rPr>
          <w:rFonts w:ascii="Arial" w:cs="Arial" w:eastAsia="Arial" w:hAnsi="Arial"/>
          <w:sz w:val="21"/>
          <w:szCs w:val="21"/>
          <w:color w:val="auto"/>
        </w:rPr>
        <w:t>to $9.6 million for the prior year period. The company also recorded an additional $500,000 in revenue during the second quarter associated with divested rights to products that the company no longer distributes.</w:t>
      </w:r>
    </w:p>
    <w:p>
      <w:pPr>
        <w:spacing w:after="0" w:line="89" w:lineRule="exact"/>
        <w:rPr>
          <w:sz w:val="20"/>
          <w:szCs w:val="20"/>
          <w:color w:val="auto"/>
        </w:rPr>
      </w:pPr>
    </w:p>
    <w:p>
      <w:pPr>
        <w:jc w:val="both"/>
        <w:ind w:right="100"/>
        <w:spacing w:after="0" w:line="232" w:lineRule="auto"/>
        <w:rPr>
          <w:sz w:val="20"/>
          <w:szCs w:val="20"/>
          <w:color w:val="auto"/>
        </w:rPr>
      </w:pPr>
      <w:r>
        <w:rPr>
          <w:rFonts w:ascii="Arial" w:cs="Arial" w:eastAsia="Arial" w:hAnsi="Arial"/>
          <w:sz w:val="22"/>
          <w:szCs w:val="22"/>
          <w:color w:val="auto"/>
        </w:rPr>
        <w:t>Net revenue by product for the second quarter 2021, included $5.3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$1.8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 $0.9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and $0.4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47" w:lineRule="exact"/>
        <w:rPr>
          <w:sz w:val="20"/>
          <w:szCs w:val="20"/>
          <w:color w:val="auto"/>
        </w:rPr>
      </w:pPr>
    </w:p>
    <w:p>
      <w:pPr>
        <w:jc w:val="both"/>
        <w:ind w:right="100"/>
        <w:spacing w:after="0" w:line="287" w:lineRule="auto"/>
        <w:rPr>
          <w:sz w:val="20"/>
          <w:szCs w:val="20"/>
          <w:color w:val="auto"/>
        </w:rPr>
      </w:pPr>
      <w:r>
        <w:rPr>
          <w:rFonts w:ascii="Arial" w:cs="Arial" w:eastAsia="Arial" w:hAnsi="Arial"/>
          <w:sz w:val="21"/>
          <w:szCs w:val="21"/>
          <w:color w:val="auto"/>
        </w:rPr>
        <w:t>Year-to-date 2021 net revenues were $19.6 million, compared to $17.9 million during the first half of 2020. There were additional revenues of $1.0 million during the first six months of 2021 associated with the divested product rights.</w:t>
      </w:r>
    </w:p>
    <w:p>
      <w:pPr>
        <w:spacing w:after="0" w:line="70" w:lineRule="exact"/>
        <w:rPr>
          <w:sz w:val="20"/>
          <w:szCs w:val="20"/>
          <w:color w:val="auto"/>
        </w:rPr>
      </w:pPr>
    </w:p>
    <w:p>
      <w:pPr>
        <w:jc w:val="both"/>
        <w:ind w:right="80"/>
        <w:spacing w:after="0" w:line="263" w:lineRule="auto"/>
        <w:rPr>
          <w:sz w:val="20"/>
          <w:szCs w:val="20"/>
          <w:color w:val="auto"/>
        </w:rPr>
      </w:pPr>
      <w:r>
        <w:rPr>
          <w:rFonts w:ascii="Arial" w:cs="Arial" w:eastAsia="Arial" w:hAnsi="Arial"/>
          <w:sz w:val="22"/>
          <w:szCs w:val="22"/>
          <w:color w:val="auto"/>
        </w:rPr>
        <w:t>Year-to-date 2021 net revenues by product were $8.3 million for Kristalose</w:t>
      </w:r>
      <w:r>
        <w:rPr>
          <w:rFonts w:ascii="Arial" w:cs="Arial" w:eastAsia="Arial" w:hAnsi="Arial"/>
          <w:sz w:val="11"/>
          <w:szCs w:val="11"/>
          <w:color w:val="auto"/>
        </w:rPr>
        <w:t>®</w:t>
      </w:r>
      <w:r>
        <w:rPr>
          <w:rFonts w:ascii="Arial" w:cs="Arial" w:eastAsia="Arial" w:hAnsi="Arial"/>
          <w:sz w:val="22"/>
          <w:szCs w:val="22"/>
          <w:color w:val="auto"/>
        </w:rPr>
        <w:t>, $6.9 million for Vibativ</w:t>
      </w:r>
      <w:r>
        <w:rPr>
          <w:rFonts w:ascii="Arial" w:cs="Arial" w:eastAsia="Arial" w:hAnsi="Arial"/>
          <w:sz w:val="11"/>
          <w:szCs w:val="11"/>
          <w:color w:val="auto"/>
        </w:rPr>
        <w:t>®</w:t>
      </w:r>
      <w:r>
        <w:rPr>
          <w:rFonts w:ascii="Arial" w:cs="Arial" w:eastAsia="Arial" w:hAnsi="Arial"/>
          <w:sz w:val="22"/>
          <w:szCs w:val="22"/>
          <w:color w:val="auto"/>
        </w:rPr>
        <w:t>, $2.5 million for Caldolor</w:t>
      </w:r>
      <w:r>
        <w:rPr>
          <w:rFonts w:ascii="Arial" w:cs="Arial" w:eastAsia="Arial" w:hAnsi="Arial"/>
          <w:sz w:val="11"/>
          <w:szCs w:val="11"/>
          <w:color w:val="auto"/>
        </w:rPr>
        <w:t>®</w:t>
      </w:r>
      <w:r>
        <w:rPr>
          <w:rFonts w:ascii="Arial" w:cs="Arial" w:eastAsia="Arial" w:hAnsi="Arial"/>
          <w:sz w:val="22"/>
          <w:szCs w:val="22"/>
          <w:color w:val="auto"/>
        </w:rPr>
        <w:t xml:space="preserve"> and $1.5 million for Vaprisol</w:t>
      </w:r>
      <w:r>
        <w:rPr>
          <w:rFonts w:ascii="Arial" w:cs="Arial" w:eastAsia="Arial" w:hAnsi="Arial"/>
          <w:sz w:val="11"/>
          <w:szCs w:val="11"/>
          <w:color w:val="auto"/>
        </w:rPr>
        <w:t>®</w:t>
      </w:r>
      <w:r>
        <w:rPr>
          <w:rFonts w:ascii="Arial" w:cs="Arial" w:eastAsia="Arial" w:hAnsi="Arial"/>
          <w:sz w:val="22"/>
          <w:szCs w:val="22"/>
          <w:color w:val="auto"/>
        </w:rPr>
        <w:t>.</w:t>
      </w:r>
    </w:p>
    <w:p>
      <w:pPr>
        <w:spacing w:after="0" w:line="101" w:lineRule="exact"/>
        <w:rPr>
          <w:sz w:val="20"/>
          <w:szCs w:val="20"/>
          <w:color w:val="auto"/>
        </w:rPr>
      </w:pPr>
    </w:p>
    <w:p>
      <w:pPr>
        <w:jc w:val="both"/>
        <w:ind w:right="100"/>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June 30, 2021, were $10.5 million,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$11.2 million during the prior year period.</w:t>
      </w:r>
    </w:p>
    <w:p>
      <w:pPr>
        <w:spacing w:after="0" w:line="94" w:lineRule="exact"/>
        <w:rPr>
          <w:sz w:val="20"/>
          <w:szCs w:val="20"/>
          <w:color w:val="auto"/>
        </w:rPr>
      </w:pPr>
    </w:p>
    <w:p>
      <w:pPr>
        <w:ind w:right="420"/>
        <w:spacing w:after="0" w:line="256"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income for the second quarter 2021 was $1.2 million or $0.08 a share, compared to a loss of $0.9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$0.06 a share for the prior year period. The adjusted loss for the second quarter was $16,000, compared to an adjusted loss of $120,000 for the prior year period.</w:t>
      </w:r>
    </w:p>
    <w:p>
      <w:pPr>
        <w:spacing w:after="0" w:line="101" w:lineRule="exact"/>
        <w:rPr>
          <w:sz w:val="20"/>
          <w:szCs w:val="20"/>
          <w:color w:val="auto"/>
        </w:rPr>
      </w:pPr>
    </w:p>
    <w:p>
      <w:pPr>
        <w:jc w:val="both"/>
        <w:ind w:right="100"/>
        <w:spacing w:after="0" w:line="343" w:lineRule="auto"/>
        <w:rPr>
          <w:sz w:val="20"/>
          <w:szCs w:val="20"/>
          <w:color w:val="auto"/>
        </w:rPr>
      </w:pPr>
      <w:r>
        <w:rPr>
          <w:rFonts w:ascii="Arial" w:cs="Arial" w:eastAsia="Arial" w:hAnsi="Arial"/>
          <w:sz w:val="19"/>
          <w:szCs w:val="19"/>
          <w:color w:val="auto"/>
        </w:rPr>
        <w:t>Year-to-date net income in 2021 was $1.4 million, compared to a loss of $2 million during the first six months of 2020. Adjusted earnings for the first half of 2021 were $1 million, compared to an adjusted loss of $0.5 million during the same period in 2020.</w:t>
      </w:r>
    </w:p>
    <w:p>
      <w:pPr>
        <w:spacing w:after="0" w:line="31"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June 30, 2021, Cumberland had $88.9 million in total assets including $25.7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$41.0 million, including $14.0 million outstanding on the Company's revolving line of credit, resulting in total shareholders' equity of $48.0 million.</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 &amp; WEBCAST: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conference call and live internet webcast will be held on Tuesday, August 10,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3985462. The live webcast and rebroadcast can be accessed via Cumberland’s website at https://investor.cumberlandpharma.com/events-calendar.</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Cumberland Pharmaceuticals Inc. </w:t>
      </w:r>
      <w:r>
        <w:rPr>
          <w:rFonts w:ascii="Arial" w:cs="Arial" w:eastAsia="Arial" w:hAnsi="Arial"/>
          <w:sz w:val="22"/>
          <w:szCs w:val="22"/>
          <w:color w:val="auto"/>
        </w:rPr>
        <w:t>is a specialty pharmaceutical company focused on the delivery of branded prescription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to improve patient care. The Company develops, acquires and commercializes brands for the hospital acute care, gastroenterology and rheumatoid arthritis markets.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33"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77" w:lineRule="exact"/>
        <w:rPr>
          <w:rFonts w:ascii="Arial" w:cs="Arial" w:eastAsia="Arial" w:hAnsi="Arial"/>
          <w:sz w:val="18"/>
          <w:szCs w:val="18"/>
          <w:b w:val="1"/>
          <w:bCs w:val="1"/>
          <w:color w:val="auto"/>
        </w:rPr>
      </w:pPr>
    </w:p>
    <w:p>
      <w:pPr>
        <w:ind w:left="560" w:hanging="309"/>
        <w:spacing w:after="0"/>
        <w:tabs>
          <w:tab w:leader="none" w:pos="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b w:val="1"/>
          <w:bCs w:val="1"/>
          <w:color w:val="auto"/>
        </w:rPr>
      </w:pPr>
    </w:p>
    <w:p>
      <w:pPr>
        <w:ind w:left="580" w:hanging="329"/>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for Oral Solution, a prescription laxative, for the treatment of constipation;</w:t>
      </w:r>
    </w:p>
    <w:p>
      <w:pPr>
        <w:spacing w:after="0" w:line="75" w:lineRule="exact"/>
        <w:rPr>
          <w:rFonts w:ascii="Arial" w:cs="Arial" w:eastAsia="Arial" w:hAnsi="Arial"/>
          <w:sz w:val="18"/>
          <w:szCs w:val="18"/>
          <w:b w:val="1"/>
          <w:bCs w:val="1"/>
          <w:color w:val="auto"/>
        </w:rPr>
      </w:pPr>
    </w:p>
    <w:p>
      <w:pPr>
        <w:ind w:left="580" w:right="380" w:hanging="329"/>
        <w:spacing w:after="0" w:line="224" w:lineRule="auto"/>
        <w:tabs>
          <w:tab w:leader="none" w:pos="575"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19" w:lineRule="exact"/>
        <w:rPr>
          <w:rFonts w:ascii="Arial" w:cs="Arial" w:eastAsia="Arial" w:hAnsi="Arial"/>
          <w:sz w:val="18"/>
          <w:szCs w:val="18"/>
          <w:b w:val="1"/>
          <w:bCs w:val="1"/>
          <w:color w:val="auto"/>
        </w:rPr>
      </w:pPr>
    </w:p>
    <w:p>
      <w:pPr>
        <w:ind w:left="580" w:right="360" w:hanging="329"/>
        <w:spacing w:after="0" w:line="226" w:lineRule="auto"/>
        <w:tabs>
          <w:tab w:leader="none" w:pos="575"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20" w:lineRule="exact"/>
        <w:rPr>
          <w:rFonts w:ascii="Arial" w:cs="Arial" w:eastAsia="Arial" w:hAnsi="Arial"/>
          <w:sz w:val="18"/>
          <w:szCs w:val="18"/>
          <w:b w:val="1"/>
          <w:bCs w:val="1"/>
          <w:color w:val="auto"/>
        </w:rPr>
      </w:pPr>
    </w:p>
    <w:p>
      <w:pPr>
        <w:ind w:left="580" w:right="380" w:hanging="329"/>
        <w:spacing w:after="0" w:line="226" w:lineRule="auto"/>
        <w:tabs>
          <w:tab w:leader="none" w:pos="575"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12" w:lineRule="exact"/>
        <w:rPr>
          <w:rFonts w:ascii="Arial" w:cs="Arial" w:eastAsia="Arial" w:hAnsi="Arial"/>
          <w:sz w:val="18"/>
          <w:szCs w:val="18"/>
          <w:b w:val="1"/>
          <w:bCs w:val="1"/>
          <w:color w:val="auto"/>
        </w:rPr>
      </w:pPr>
    </w:p>
    <w:p>
      <w:pPr>
        <w:ind w:left="580" w:right="380" w:hanging="329"/>
        <w:spacing w:after="0" w:line="248" w:lineRule="auto"/>
        <w:tabs>
          <w:tab w:leader="none" w:pos="575"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2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Company also has Phase II clinical programs underway evaluating its product candidates in patients with cardiomyopathy associated with Duchenne Muscular Dystrophy, Systemic Sclerosis, and Aspirin-Exacerbated Respiratory Disease.</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0000FF"/>
        </w:rPr>
        <w:t>www.caldolor.com</w:t>
      </w:r>
      <w:r>
        <w:rPr>
          <w:rFonts w:ascii="Arial" w:cs="Arial" w:eastAsia="Arial" w:hAnsi="Arial"/>
          <w:sz w:val="21"/>
          <w:szCs w:val="21"/>
          <w:color w:val="auto"/>
        </w:rPr>
        <w:t>.</w:t>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0000FF"/>
        </w:rPr>
        <w:t>www.kristalose.com</w:t>
      </w:r>
      <w:r>
        <w:rPr>
          <w:rFonts w:ascii="Arial" w:cs="Arial" w:eastAsia="Arial" w:hAnsi="Arial"/>
          <w:sz w:val="19"/>
          <w:szCs w:val="19"/>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95"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0563C1"/>
        </w:rPr>
        <w:t>www.vibativ.com.</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t>
      </w:r>
      <w:r>
        <w:rPr>
          <w:rFonts w:ascii="Arial" w:cs="Arial" w:eastAsia="Arial" w:hAnsi="Arial"/>
          <w:sz w:val="22"/>
          <w:szCs w:val="22"/>
          <w:u w:val="single" w:color="auto"/>
          <w:color w:val="0563C1"/>
        </w:rPr>
        <w:t>www.reditrex.com</w:t>
      </w: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0563C1"/>
        </w:rPr>
        <w:t>www.vaprisol.com</w:t>
      </w:r>
      <w:r>
        <w:rPr>
          <w:rFonts w:ascii="Arial" w:cs="Arial" w:eastAsia="Arial" w:hAnsi="Arial"/>
          <w:sz w:val="22"/>
          <w:szCs w:val="22"/>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0000FF"/>
        </w:rPr>
        <w:t>www.omeclamox.com</w:t>
      </w:r>
      <w:r>
        <w:rPr>
          <w:rFonts w:ascii="Arial" w:cs="Arial" w:eastAsia="Arial" w:hAnsi="Arial"/>
          <w:sz w:val="22"/>
          <w:szCs w:val="22"/>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0000FF"/>
        </w:rPr>
        <w:t>www.acetadote.com</w:t>
      </w:r>
      <w:r>
        <w:rPr>
          <w:rFonts w:ascii="Arial" w:cs="Arial" w:eastAsia="Arial" w:hAnsi="Arial"/>
          <w:sz w:val="19"/>
          <w:szCs w:val="19"/>
          <w:color w:val="auto"/>
        </w:rPr>
        <w:t>.</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45"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0000FF"/>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0" w:lineRule="exact"/>
        <w:rPr>
          <w:sz w:val="20"/>
          <w:szCs w:val="20"/>
          <w:color w:val="auto"/>
        </w:rPr>
      </w:pPr>
    </w:p>
    <w:p>
      <w:pPr>
        <w:jc w:val="both"/>
        <w:ind w:right="20"/>
        <w:spacing w:after="0" w:line="247"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34"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Contacts:</w:t>
            </w:r>
          </w:p>
        </w:tc>
        <w:tc>
          <w:tcPr>
            <w:tcW w:w="37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Bailee Mulder</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Cumberland Pharmaceuticals</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641-6641</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(615) 515-4885</w:t>
            </w:r>
          </w:p>
        </w:tc>
      </w:tr>
    </w:tbl>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MORE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38"/>
          <w:szCs w:val="38"/>
          <w:b w:val="1"/>
          <w:bCs w:val="1"/>
          <w:color w:val="auto"/>
        </w:rPr>
        <w:t>FINANCIAL SHEETS</w:t>
      </w:r>
    </w:p>
    <w:p>
      <w:pPr>
        <w:sectPr>
          <w:pgSz w:w="11900" w:h="16838" w:orient="portrait"/>
          <w:cols w:equalWidth="0" w:num="1">
            <w:col w:w="11260"/>
          </w:cols>
          <w:pgMar w:left="320" w:top="104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9,147,493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12,377,713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1,758,332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46,680,506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9,880,766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11,656,742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25,888,622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28,118,316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1,535,556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2,028,148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3,490,768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88,851,474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13,396,286</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1,067,880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1,016,779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8,615,995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11,254,381</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18,646,791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25,667,446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512,324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1,059,693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7,883,952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41,043,067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14,926,059 and 14,988,429</w:t>
            </w: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48,688,384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0" w:type="dxa"/>
            <w:vAlign w:val="bottom"/>
          </w:tcPr>
          <w:p>
            <w:pPr>
              <w:spacing w:after="0"/>
              <w:rPr>
                <w:sz w:val="1"/>
                <w:szCs w:val="1"/>
                <w:color w:val="auto"/>
              </w:rPr>
            </w:pPr>
          </w:p>
        </w:tc>
      </w:t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w w:val="96"/>
              </w:rPr>
              <w:t>shares issued and outstanding as of June 30, 2021 and December 31, 2020, respectively</w:t>
            </w:r>
          </w:p>
        </w:tc>
        <w:tc>
          <w:tcPr>
            <w:tcW w:w="2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0" w:type="dxa"/>
            <w:vAlign w:val="bottom"/>
          </w:tcPr>
          <w:p>
            <w:pPr>
              <w:spacing w:after="0"/>
              <w:rPr>
                <w:sz w:val="1"/>
                <w:szCs w:val="1"/>
                <w:color w:val="auto"/>
              </w:rPr>
            </w:pP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47,952,759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46,990,510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47,808,407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88,851,474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17,928,911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1,740,649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4,157,978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4,244,163</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4,121,817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3,865,406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7,909,157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7,573,082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3,144,057</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2,097,130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2,190,764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4,327,639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4,227,048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1,171,218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2,167,524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10,491,212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11,179,139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21,352,671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21,355,874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(3,426,963)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(25,859)</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(119,455)</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(152,520)</w:t>
            </w:r>
          </w:p>
        </w:tc>
        <w:tc>
          <w:tcPr>
            <w:tcW w:w="0" w:type="dxa"/>
            <w:vAlign w:val="bottom"/>
          </w:tcPr>
          <w:p>
            <w:pPr>
              <w:spacing w:after="0"/>
              <w:rPr>
                <w:sz w:val="1"/>
                <w:szCs w:val="1"/>
                <w:color w:val="auto"/>
              </w:rPr>
            </w:pPr>
          </w:p>
        </w:tc>
      </w:tr>
      <w:tr>
        <w:trPr>
          <w:trHeight w:val="223"/>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732,143</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(1,671,756)</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388,852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(3,520,934)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(41,695)</w:t>
            </w:r>
          </w:p>
        </w:tc>
        <w:tc>
          <w:tcPr>
            <w:tcW w:w="0" w:type="dxa"/>
            <w:vAlign w:val="bottom"/>
          </w:tcPr>
          <w:p>
            <w:pPr>
              <w:spacing w:after="0"/>
              <w:rPr>
                <w:sz w:val="1"/>
                <w:szCs w:val="1"/>
                <w:color w:val="auto"/>
              </w:rPr>
            </w:pPr>
          </w:p>
        </w:tc>
      </w:tr>
      <w:tr>
        <w:trPr>
          <w:trHeight w:val="223"/>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724,684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(1,679,211)</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(3,562,629)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498,807</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738,622</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1,556,895</w:t>
            </w:r>
          </w:p>
        </w:tc>
        <w:tc>
          <w:tcPr>
            <w:tcW w:w="0" w:type="dxa"/>
            <w:vAlign w:val="bottom"/>
          </w:tcPr>
          <w:p>
            <w:pPr>
              <w:spacing w:after="0"/>
              <w:rPr>
                <w:sz w:val="1"/>
                <w:szCs w:val="1"/>
                <w:color w:val="auto"/>
              </w:rPr>
            </w:pPr>
          </w:p>
        </w:tc>
      </w:tr>
      <w:tr>
        <w:trPr>
          <w:trHeight w:val="223"/>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1,223,491</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(940,589)</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1,368,152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(2,005,734)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w w:val="93"/>
              </w:rPr>
              <w:t>Net (income) loss at subsidiary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1,228,560</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(918,275)</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1,395,388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(1,973,895)</w:t>
            </w:r>
          </w:p>
        </w:tc>
        <w:tc>
          <w:tcPr>
            <w:tcW w:w="0" w:type="dxa"/>
            <w:vAlign w:val="bottom"/>
          </w:tcPr>
          <w:p>
            <w:pPr>
              <w:spacing w:after="0"/>
              <w:rPr>
                <w:sz w:val="1"/>
                <w:szCs w:val="1"/>
                <w:color w:val="auto"/>
              </w:rPr>
            </w:pPr>
          </w:p>
        </w:tc>
      </w:tr>
      <w:tr>
        <w:trPr>
          <w:trHeight w:val="20"/>
        </w:trPr>
        <w:tc>
          <w:tcPr>
            <w:tcW w:w="52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basic</w:t>
            </w: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BFE4FF"/>
            </w:tcBorders>
          </w:tcPr>
          <w:p>
            <w:pPr>
              <w:ind w:left="360"/>
              <w:spacing w:after="0"/>
              <w:rPr>
                <w:sz w:val="20"/>
                <w:szCs w:val="20"/>
                <w:color w:val="auto"/>
              </w:rPr>
            </w:pPr>
            <w:r>
              <w:rPr>
                <w:rFonts w:ascii="Arial" w:cs="Arial" w:eastAsia="Arial" w:hAnsi="Arial"/>
                <w:sz w:val="18"/>
                <w:szCs w:val="18"/>
                <w:color w:val="auto"/>
              </w:rPr>
              <w:t>- Discontinued operations - basic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2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diluted</w:t>
            </w: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BFE4FF"/>
            </w:tcBorders>
          </w:tcPr>
          <w:p>
            <w:pPr>
              <w:ind w:left="360"/>
              <w:spacing w:after="0"/>
              <w:rPr>
                <w:sz w:val="20"/>
                <w:szCs w:val="20"/>
                <w:color w:val="auto"/>
              </w:rPr>
            </w:pPr>
            <w:r>
              <w:rPr>
                <w:rFonts w:ascii="Arial" w:cs="Arial" w:eastAsia="Arial" w:hAnsi="Arial"/>
                <w:sz w:val="18"/>
                <w:szCs w:val="18"/>
                <w:color w:val="auto"/>
              </w:rPr>
              <w:t>- Discontinued operations -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2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basic</w:t>
            </w:r>
          </w:p>
        </w:tc>
        <w:tc>
          <w:tcPr>
            <w:tcW w:w="360" w:type="dxa"/>
            <w:vAlign w:val="bottom"/>
            <w:shd w:val="clear" w:color="auto" w:fill="BFE4FF"/>
          </w:tcPr>
          <w:p>
            <w:pPr>
              <w:spacing w:after="0"/>
              <w:rPr>
                <w:sz w:val="19"/>
                <w:szCs w:val="19"/>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14,976,034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15,241,463</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14,970,241</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15,241,020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 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15,109,246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15,241,463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15,171,589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15,241,020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6"/>
                <w:szCs w:val="16"/>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1,368,152</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(2,005,734)</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1,556,895</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income(loss) from continuing operations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(3,562,629)</w:t>
            </w:r>
          </w:p>
        </w:tc>
      </w:tr>
      <w:tr>
        <w:trPr>
          <w:trHeight w:val="175"/>
        </w:trPr>
        <w:tc>
          <w:tcPr>
            <w:tcW w:w="7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Adjustments to reconcile net income (loss) from continuing operations to net cash provided by</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2,455,576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2,334,669</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542,923</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(180,110)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(645,571)</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215,116</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22,973</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forgiveness of debt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3,230,220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(80,421)</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2,309,914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1,158,916</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802,534</w:t>
            </w:r>
          </w:p>
        </w:tc>
      </w:tr>
      <w:tr>
        <w:trPr>
          <w:trHeight w:val="230"/>
        </w:trPr>
        <w:tc>
          <w:tcPr>
            <w:tcW w:w="7400" w:type="dxa"/>
            <w:vAlign w:val="bottom"/>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(3,008,323)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2,413,768</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(526,189)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(869,644)</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3,490,553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2,332,634</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1,371,437</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4,484,770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3,704,071</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(34,531)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(50,883)</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 receivable investment funding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(722,131)</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(773,014)</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(37,000,000)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(260,735)</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Repurchase of subsidiary shares to noncontrolling interest</w:t>
            </w:r>
          </w:p>
        </w:tc>
        <w:tc>
          <w:tcPr>
            <w:tcW w:w="4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Repurchase of common shares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(1,209,220)</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(3,201,250)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(3,769,955)</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(838,898)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28,212,635</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25,670,462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27,373,737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91" w:right="379" w:bottom="1440" w:gutter="0" w:footer="0" w:header="0"/>
        </w:sectPr>
      </w:pPr>
    </w:p>
    <w:bookmarkStart w:id="13" w:name="page14"/>
    <w:bookmarkEnd w:id="13"/>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88"/>
              </w:rPr>
              <w:t>Three months ended June 30, 2021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Three months ended June 30, 2020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88"/>
              </w:rPr>
              <w:t>Earnings per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w w:val="99"/>
              </w:rPr>
              <w:t>Less: Net (income) loss at subsidiary attributable to noncontrolling</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22,314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498,807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1,227,969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1,182,607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(2,187,140)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6"/>
        </w:trPr>
        <w:tc>
          <w:tcPr>
            <w:tcW w:w="5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Adjusted Diluted Earnings (loss) from continuing operations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(15,806)</w:t>
            </w:r>
          </w:p>
        </w:tc>
        <w:tc>
          <w:tcPr>
            <w:tcW w:w="1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(120,006)</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1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14,976,034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15,241,463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89"/>
              </w:rPr>
              <w:t>Six months ended June 30, 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9"/>
              </w:rPr>
              <w:t>Six months ended June 30, 2020</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18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(1,973,895)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 subsidiary attributable to noncontrolling</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31,839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1,556,895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2,334,669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2"/>
              </w:rPr>
              <w:t>Adjusted Earnings (loss) from continuing operations and Adjusted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1,050,461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(549,371)</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Diluted Earnings (loss) from continuing operations Per Share</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15,171,589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15,241,020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63" w:right="3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ind w:left="660" w:hanging="328"/>
        <w:spacing w:after="0" w:line="293"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Adjusted Earnings (loss): </w:t>
      </w:r>
      <w:r>
        <w:rPr>
          <w:rFonts w:ascii="Arial" w:cs="Arial" w:eastAsia="Arial" w:hAnsi="Arial"/>
          <w:sz w:val="21"/>
          <w:szCs w:val="21"/>
          <w:color w:val="auto"/>
        </w:rPr>
        <w:t>net income (loss) adjusted for the impact of discontinued operations, income taxes,</w:t>
      </w:r>
      <w:r>
        <w:rPr>
          <w:rFonts w:ascii="Arial" w:cs="Arial" w:eastAsia="Arial" w:hAnsi="Arial"/>
          <w:sz w:val="21"/>
          <w:szCs w:val="21"/>
          <w:b w:val="1"/>
          <w:bCs w:val="1"/>
          <w:color w:val="auto"/>
        </w:rPr>
        <w:t xml:space="preserve"> </w:t>
      </w:r>
      <w:r>
        <w:rPr>
          <w:rFonts w:ascii="Arial" w:cs="Arial" w:eastAsia="Arial" w:hAnsi="Arial"/>
          <w:sz w:val="21"/>
          <w:szCs w:val="21"/>
          <w:color w:val="auto"/>
        </w:rPr>
        <w:t>depreciation and amortization expense, share-based compensation and interest income and interest expense.</w:t>
      </w:r>
    </w:p>
    <w:p>
      <w:pPr>
        <w:spacing w:after="0" w:line="172" w:lineRule="exact"/>
        <w:rPr>
          <w:rFonts w:ascii="Arial" w:cs="Arial" w:eastAsia="Arial" w:hAnsi="Arial"/>
          <w:sz w:val="21"/>
          <w:szCs w:val="21"/>
          <w:color w:val="auto"/>
        </w:rPr>
      </w:pPr>
    </w:p>
    <w:p>
      <w:pPr>
        <w:ind w:left="1160" w:hanging="288"/>
        <w:spacing w:after="0"/>
        <w:tabs>
          <w:tab w:leader="none" w:pos="1160" w:val="left"/>
        </w:tabs>
        <w:numPr>
          <w:ilvl w:val="1"/>
          <w:numId w:val="3"/>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2"/>
          <w:numId w:val="3"/>
        </w:numPr>
        <w:rPr>
          <w:rFonts w:ascii="Arial" w:cs="Arial" w:eastAsia="Arial" w:hAnsi="Arial"/>
          <w:sz w:val="22"/>
          <w:szCs w:val="22"/>
          <w:color w:val="auto"/>
        </w:rPr>
      </w:pPr>
      <w:r>
        <w:rPr>
          <w:rFonts w:ascii="Arial" w:cs="Arial" w:eastAsia="Arial" w:hAnsi="Arial"/>
          <w:sz w:val="22"/>
          <w:szCs w:val="22"/>
          <w:color w:val="auto"/>
        </w:rPr>
        <w:t>Represents the forgiveness of the PPP Loan by the Small Business Administration.</w:t>
      </w:r>
    </w:p>
    <w:p>
      <w:pPr>
        <w:spacing w:after="0" w:line="254"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2021-08-10T16:26:30Z</dcterms:created>
  <dcterms:modified xsi:type="dcterms:W3CDTF">2021-08-10T16:26:30Z</dcterms:modified>
</cp:coreProperties>
</file>