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 8-K</w:t>
      </w:r>
    </w:p>
    <w:p>
      <w:pPr>
        <w:spacing w:after="0" w:line="23"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37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June 14, 2021 (June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CUMBERLAND PHARMACEUTICALS INC.</w:t>
      </w:r>
    </w:p>
    <w:p>
      <w:pPr>
        <w:spacing w:after="0" w:line="27"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180"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60" w:type="dxa"/>
            <w:vAlign w:val="bottom"/>
          </w:tcPr>
          <w:p>
            <w:pPr>
              <w:spacing w:after="0"/>
              <w:rPr>
                <w:sz w:val="17"/>
                <w:szCs w:val="17"/>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20" w:type="dxa"/>
            <w:vAlign w:val="bottom"/>
          </w:tcPr>
          <w:p>
            <w:pPr>
              <w:spacing w:after="0"/>
              <w:rPr>
                <w:sz w:val="17"/>
                <w:szCs w:val="17"/>
                <w:color w:val="auto"/>
              </w:rPr>
            </w:pPr>
          </w:p>
        </w:tc>
        <w:tc>
          <w:tcPr>
            <w:tcW w:w="3140" w:type="dxa"/>
            <w:vAlign w:val="bottom"/>
            <w:gridSpan w:val="3"/>
          </w:tcPr>
          <w:p>
            <w:pPr>
              <w:jc w:val="right"/>
              <w:ind w:right="860"/>
              <w:spacing w:after="0"/>
              <w:rPr>
                <w:sz w:val="20"/>
                <w:szCs w:val="20"/>
                <w:color w:val="auto"/>
              </w:rPr>
            </w:pPr>
            <w:r>
              <w:rPr>
                <w:rFonts w:ascii="Arial" w:cs="Arial" w:eastAsia="Arial" w:hAnsi="Arial"/>
                <w:sz w:val="18"/>
                <w:szCs w:val="18"/>
                <w:color w:val="auto"/>
              </w:rPr>
              <w:t>62-1765329</w:t>
            </w:r>
          </w:p>
        </w:tc>
      </w:tr>
      <w:tr>
        <w:trPr>
          <w:trHeight w:val="20"/>
        </w:trPr>
        <w:tc>
          <w:tcPr>
            <w:tcW w:w="1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31"/>
        </w:trPr>
        <w:tc>
          <w:tcPr>
            <w:tcW w:w="372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(State or other jurisdiction of incorporation)</w:t>
            </w:r>
          </w:p>
        </w:tc>
        <w:tc>
          <w:tcPr>
            <w:tcW w:w="3060" w:type="dxa"/>
            <w:vAlign w:val="bottom"/>
            <w:gridSpan w:val="3"/>
          </w:tcPr>
          <w:p>
            <w:pPr>
              <w:jc w:val="center"/>
              <w:spacing w:after="0"/>
              <w:rPr>
                <w:sz w:val="20"/>
                <w:szCs w:val="20"/>
                <w:color w:val="auto"/>
              </w:rPr>
            </w:pPr>
            <w:r>
              <w:rPr>
                <w:rFonts w:ascii="Arial" w:cs="Arial" w:eastAsia="Arial" w:hAnsi="Arial"/>
                <w:sz w:val="18"/>
                <w:szCs w:val="18"/>
                <w:color w:val="auto"/>
                <w:w w:val="93"/>
              </w:rPr>
              <w:t>(Commission File Number)</w:t>
            </w:r>
          </w:p>
        </w:tc>
        <w:tc>
          <w:tcPr>
            <w:tcW w:w="3140" w:type="dxa"/>
            <w:vAlign w:val="bottom"/>
            <w:gridSpan w:val="3"/>
          </w:tcPr>
          <w:p>
            <w:pPr>
              <w:jc w:val="center"/>
              <w:ind w:left="43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4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of principal executive offices) (Zip Code)</w:t>
      </w:r>
    </w:p>
    <w:p>
      <w:pPr>
        <w:spacing w:after="0" w:line="24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18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1" w:lineRule="exact"/>
        <w:rPr>
          <w:sz w:val="24"/>
          <w:szCs w:val="24"/>
          <w:color w:val="auto"/>
        </w:rPr>
      </w:pPr>
    </w:p>
    <w:p>
      <w:pPr>
        <w:jc w:val="both"/>
        <w:ind w:left="560" w:right="3600" w:hanging="30"/>
        <w:spacing w:after="0" w:line="659" w:lineRule="auto"/>
        <w:tabs>
          <w:tab w:leader="none" w:pos="983"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o Soliciting material pursuant to Rule 14a-12 under the Exchange Act (17 CFR 240.14a-12)</w:t>
      </w:r>
    </w:p>
    <w:p>
      <w:pPr>
        <w:spacing w:after="0" w:line="97" w:lineRule="exact"/>
        <w:rPr>
          <w:sz w:val="24"/>
          <w:szCs w:val="24"/>
          <w:color w:val="auto"/>
        </w:rPr>
      </w:pPr>
    </w:p>
    <w:p>
      <w:pPr>
        <w:ind w:left="1000" w:hanging="4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2040" w:firstLine="552"/>
        <w:spacing w:after="0" w:line="508" w:lineRule="auto"/>
        <w:tabs>
          <w:tab w:leader="none" w:pos="99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Class</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CPIX</w:t>
            </w:r>
          </w:p>
        </w:tc>
        <w:tc>
          <w:tcPr>
            <w:tcW w:w="100" w:type="dxa"/>
            <w:vAlign w:val="bottom"/>
          </w:tcPr>
          <w:p>
            <w:pPr>
              <w:spacing w:after="0"/>
              <w:rPr>
                <w:sz w:val="19"/>
                <w:szCs w:val="19"/>
                <w:color w:val="auto"/>
              </w:rPr>
            </w:pPr>
          </w:p>
        </w:tc>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7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21"/>
          <w:szCs w:val="21"/>
          <w:color w:val="auto"/>
        </w:rPr>
        <w:t>o</w:t>
      </w:r>
    </w:p>
    <w:p>
      <w:pPr>
        <w:spacing w:after="0" w:line="102" w:lineRule="exact"/>
        <w:rPr>
          <w:sz w:val="24"/>
          <w:szCs w:val="24"/>
          <w:color w:val="auto"/>
        </w:rPr>
      </w:pPr>
    </w:p>
    <w:p>
      <w:pPr>
        <w:spacing w:after="0" w:line="288"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21"/>
          <w:szCs w:val="21"/>
          <w:color w:val="auto"/>
        </w:rPr>
        <w:t>o</w:t>
      </w:r>
    </w:p>
    <w:p>
      <w:pPr>
        <w:sectPr>
          <w:pgSz w:w="11900" w:h="16838" w:orient="portrait"/>
          <w:cols w:equalWidth="0" w:num="1">
            <w:col w:w="11080"/>
          </w:cols>
          <w:pgMar w:left="320" w:top="1003" w:right="49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1.01 Termination of a Material Definitive Agreement - Paycheck Protection Program Loan Granted under the Cares Act is Forgiven</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20, 2020, Cumberland Pharmaceuticals, Inc. (the “Company”), received the funding of a loan (“Loan”) from Pinnacle Bank in the aggregate amount of $2,187,140 pursuant to the Paycheck Protection Program (the “PPP”) under the Federal Coronavirus Aid, Relief, and Economic Security Act ("CARES Act"), which was enacted March 27, 2020. The PPP is administered by the U.S. Small Business Administration (SBA).</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which was in the form of a Note dated April 14, 2020, maturing on April 14, 2022, and bearing interest at a rate of 1.0% per year, payable monthly commencing during November 2020. Funds from the Loan were to be used to maintain payroll, continue group health care benefits and pay for rent and utilities. Under the terms of the PPP, certain amounts of the Loan may be forgiven if they are used for qualifying expenses as described in the CARES Act. Consistent with terms of the Loan, the Company used the Loan amount for such qualifying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May 2021, the Company made an application with the SBA for loan forgiveness.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June 11, 2021, the Company received a formal notice from the SBA that the full amount of the Loan is forgiven.</w:t>
      </w:r>
    </w:p>
    <w:p>
      <w:pPr>
        <w:sectPr>
          <w:pgSz w:w="11900" w:h="16838" w:orient="portrait"/>
          <w:cols w:equalWidth="0" w:num="1">
            <w:col w:w="11240"/>
          </w:cols>
          <w:pgMar w:left="320" w:top="1404" w:right="339" w:bottom="1440" w:gutter="0" w:footer="0" w:header="0"/>
        </w:sectPr>
      </w:pPr>
    </w:p>
    <w:bookmarkStart w:id="2" w:name="page3"/>
    <w:bookmarkEnd w:id="2"/>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6940" w:type="dxa"/>
            <w:vAlign w:val="bottom"/>
            <w:gridSpan w:val="2"/>
          </w:tcPr>
          <w:p>
            <w:pPr>
              <w:ind w:left="2760"/>
              <w:spacing w:after="0"/>
              <w:rPr>
                <w:sz w:val="20"/>
                <w:szCs w:val="20"/>
                <w:color w:val="auto"/>
              </w:rPr>
            </w:pPr>
            <w:r>
              <w:rPr>
                <w:rFonts w:ascii="Arial" w:cs="Arial" w:eastAsia="Arial" w:hAnsi="Arial"/>
                <w:sz w:val="18"/>
                <w:szCs w:val="18"/>
                <w:color w:val="auto"/>
              </w:rPr>
              <w:t>Cumberland Pharmaceuticals Inc.</w:t>
            </w:r>
          </w:p>
        </w:tc>
      </w:tr>
      <w:tr>
        <w:trPr>
          <w:trHeight w:val="500"/>
        </w:trPr>
        <w:tc>
          <w:tcPr>
            <w:tcW w:w="4280" w:type="dxa"/>
            <w:vAlign w:val="bottom"/>
          </w:tcPr>
          <w:p>
            <w:pPr>
              <w:spacing w:after="0"/>
              <w:rPr>
                <w:sz w:val="20"/>
                <w:szCs w:val="20"/>
                <w:color w:val="auto"/>
              </w:rPr>
            </w:pPr>
            <w:r>
              <w:rPr>
                <w:rFonts w:ascii="Arial" w:cs="Arial" w:eastAsia="Arial" w:hAnsi="Arial"/>
                <w:sz w:val="18"/>
                <w:szCs w:val="18"/>
                <w:color w:val="auto"/>
              </w:rPr>
              <w:t>Dated: June 14, 2021</w:t>
            </w:r>
          </w:p>
        </w:tc>
        <w:tc>
          <w:tcPr>
            <w:tcW w:w="4140" w:type="dxa"/>
            <w:vAlign w:val="bottom"/>
          </w:tcPr>
          <w:p>
            <w:pPr>
              <w:ind w:left="2760"/>
              <w:spacing w:after="0"/>
              <w:rPr>
                <w:sz w:val="20"/>
                <w:szCs w:val="20"/>
                <w:color w:val="auto"/>
              </w:rPr>
            </w:pPr>
            <w:r>
              <w:rPr>
                <w:rFonts w:ascii="Arial" w:cs="Arial" w:eastAsia="Arial" w:hAnsi="Arial"/>
                <w:sz w:val="18"/>
                <w:szCs w:val="18"/>
                <w:color w:val="auto"/>
              </w:rPr>
              <w:t>By:</w:t>
            </w: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2021-06-14T16:17:47Z</dcterms:created>
  <dcterms:modified xsi:type="dcterms:W3CDTF">2021-06-14T16:17:47Z</dcterms:modified>
</cp:coreProperties>
</file>