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November 7, 2023 (November 7,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48"/>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On November 7, 2023, Cumberland Pharmaceuticals Inc. (the "Company") issued a press release which provided a company update and the financial results for the three and nine months ended September 30, 2023. A copy of the press release is attached as </w:t>
      </w:r>
      <w:r>
        <w:rPr>
          <w:rFonts w:ascii="Arial" w:cs="Arial" w:eastAsia="Arial" w:hAnsi="Arial"/>
          <w:sz w:val="20"/>
          <w:szCs w:val="20"/>
          <w:u w:val="single" w:color="auto"/>
          <w:color w:val="0000FF"/>
        </w:rPr>
        <w:t>Exhibit 99.1</w:t>
      </w:r>
      <w:r>
        <w:rPr>
          <w:rFonts w:ascii="Arial" w:cs="Arial" w:eastAsia="Arial" w:hAnsi="Arial"/>
          <w:sz w:val="20"/>
          <w:szCs w:val="20"/>
          <w:color w:val="auto"/>
        </w:rPr>
        <w:t xml:space="preserve"> to this Current Report on Form 8-K and is incorporated by reference into this Item 2.02.</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Arial" w:cs="Arial" w:eastAsia="Arial" w:hAnsi="Arial"/>
                <w:sz w:val="18"/>
                <w:szCs w:val="18"/>
                <w:color w:val="0000FF"/>
              </w:rPr>
              <w:t>Press release dated November 7, 2023</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top w:val="single" w:sz="8" w:color="0000FF"/>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6740" w:type="dxa"/>
            <w:vAlign w:val="bottom"/>
            <w:gridSpan w:val="2"/>
          </w:tcPr>
          <w:p>
            <w:pPr>
              <w:ind w:left="256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20" w:type="dxa"/>
            <w:vAlign w:val="bottom"/>
          </w:tcPr>
          <w:p>
            <w:pPr>
              <w:spacing w:after="0"/>
              <w:rPr>
                <w:sz w:val="20"/>
                <w:szCs w:val="20"/>
                <w:color w:val="auto"/>
              </w:rPr>
            </w:pPr>
            <w:r>
              <w:rPr>
                <w:rFonts w:ascii="Arial" w:cs="Arial" w:eastAsia="Arial" w:hAnsi="Arial"/>
                <w:sz w:val="18"/>
                <w:szCs w:val="18"/>
                <w:color w:val="auto"/>
              </w:rPr>
              <w:t>Dated: November 7, 2023</w:t>
            </w:r>
          </w:p>
        </w:tc>
        <w:tc>
          <w:tcPr>
            <w:tcW w:w="3920" w:type="dxa"/>
            <w:vAlign w:val="bottom"/>
          </w:tcPr>
          <w:p>
            <w:pPr>
              <w:ind w:left="25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60"/>
        <w:spacing w:after="0"/>
        <w:rPr>
          <w:sz w:val="20"/>
          <w:szCs w:val="20"/>
          <w:color w:val="auto"/>
        </w:rPr>
      </w:pPr>
      <w:r>
        <w:rPr>
          <w:rFonts w:ascii="Arial" w:cs="Arial" w:eastAsia="Arial" w:hAnsi="Arial"/>
          <w:sz w:val="25"/>
          <w:szCs w:val="25"/>
          <w:b w:val="1"/>
          <w:bCs w:val="1"/>
          <w:color w:val="auto"/>
        </w:rPr>
        <w:t>Cumberland Pharmaceuticals Reports</w:t>
      </w:r>
    </w:p>
    <w:p>
      <w:pPr>
        <w:spacing w:after="0" w:line="158" w:lineRule="exact"/>
        <w:rPr>
          <w:sz w:val="20"/>
          <w:szCs w:val="20"/>
          <w:color w:val="auto"/>
        </w:rPr>
      </w:pPr>
    </w:p>
    <w:p>
      <w:pPr>
        <w:ind w:left="3600"/>
        <w:spacing w:after="0"/>
        <w:rPr>
          <w:sz w:val="20"/>
          <w:szCs w:val="20"/>
          <w:color w:val="auto"/>
        </w:rPr>
      </w:pPr>
      <w:r>
        <w:rPr>
          <w:rFonts w:ascii="Arial" w:cs="Arial" w:eastAsia="Arial" w:hAnsi="Arial"/>
          <w:sz w:val="25"/>
          <w:szCs w:val="25"/>
          <w:b w:val="1"/>
          <w:bCs w:val="1"/>
          <w:color w:val="auto"/>
        </w:rPr>
        <w:t>Third Quarter 2023 Financial Results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NASHVILLE, TENNESSEE (Tuesday, November 7, 2023) - Cumberland Pharmaceuticals Inc. (NASDAQ: CPIX)</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specialty pharmaceutical company, announced today that its product portfolio of FDA-approved brands delivered combined revenues of $10.1 million during the third quarter of 2023 and $30.2 million year to date.</w:t>
      </w:r>
    </w:p>
    <w:p>
      <w:pPr>
        <w:spacing w:after="0" w:line="10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Net loss for the third quarter was $1.0 million, while year-to-date net income was $15,086. Adjusted earnings were $260,146 for the third quarter and $4.2 million, or $0.29 a share, year to date. Cash flow from operations during 2023 has totaled $5.1 million.</w:t>
      </w:r>
    </w:p>
    <w:p>
      <w:pPr>
        <w:spacing w:after="0" w:line="3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ended the third quarter with $88 million in total assets, $52 million in total liabilities, and $36 million of shareholders’ equity.</w:t>
      </w:r>
    </w:p>
    <w:p>
      <w:pPr>
        <w:spacing w:after="0" w:line="107"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“During 2023 our team has been working diligently to advance our long-term business strategy, building our brands and progressing our clinical programs,” said Cumberland Pharmaceuticals CEO A.J. Kazimi. “Moreover we have refined our mission statement, to reflect our collaborative efforts and patient focus - as we provide unique products that improve the quality of their care.”</w:t>
      </w:r>
    </w:p>
    <w:p>
      <w:pPr>
        <w:spacing w:after="0" w:line="1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Cumberland will report its full third quarter 2023 financial results and provide a company update via a conference call today at 4:30 p.m. Eastern Time.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Company developments include: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Bank Credit Facility</w:t>
      </w:r>
    </w:p>
    <w:p>
      <w:pPr>
        <w:spacing w:after="0" w:line="158"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On September 5, 2023, Cumberland entered into a new Revolving Credit Loan Agreement with Pinnacle Bank for a three-year term. The agreement provides for an aggregate principal funding amount of up to $25 million. It provides an initial revolving credit line with $20 million of availability, and the ability of Cumberland to increase the amount to $25 million under certain conditions. The interest rate is based on Benchmark (Term SOFR) plus a spread of 2.75%, and Cumberland is subject to one financial covenant, the maintenance of a Funded Debt Ratio, determined on a quarterly basis.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Vibativ Pediatric Study Publication</w:t>
      </w:r>
    </w:p>
    <w:p>
      <w:pPr>
        <w:spacing w:after="0" w:line="158"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In October 2023, Cumberland announced a new publication in </w:t>
      </w:r>
      <w:r>
        <w:rPr>
          <w:rFonts w:ascii="Arial" w:cs="Arial" w:eastAsia="Arial" w:hAnsi="Arial"/>
          <w:sz w:val="19"/>
          <w:szCs w:val="19"/>
          <w:i w:val="1"/>
          <w:iCs w:val="1"/>
          <w:color w:val="auto"/>
        </w:rPr>
        <w:t>Antimicrobial Agents and Chemotherapy</w:t>
      </w:r>
      <w:r>
        <w:rPr>
          <w:rFonts w:ascii="Arial" w:cs="Arial" w:eastAsia="Arial" w:hAnsi="Arial"/>
          <w:sz w:val="19"/>
          <w:szCs w:val="19"/>
          <w:color w:val="auto"/>
        </w:rPr>
        <w:t xml:space="preserve"> detailing the results of the first clinical study investigating the safety and pharmacokinetics of its Vibativ injection in children 2 to 17 years of age. Vibativ is an intravenous antibiotic approved by the FDA for the treatment of hospital-acquired and ventilator-associated bacterial pneumonia as well as complicated skin and skin structure infections caused by certain gram-positive bacteria in adults.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22"/>
          <w:szCs w:val="22"/>
          <w:color w:val="auto"/>
        </w:rPr>
        <w:t>This is the first reported study evaluating Vibativ in pediatric patients. The results of the study suggest that a single dose of Vibativ is safe in children and they experience reduced exposure to Vibativ, compared with the same body weight-based dosing in adults.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NOPAIN Act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Cumberland expects its Caldolor injection, a non-opioid analgesic product, will be eligible for special Medicare reimbursement under the </w:t>
      </w:r>
      <w:r>
        <w:rPr>
          <w:rFonts w:ascii="Arial" w:cs="Arial" w:eastAsia="Arial" w:hAnsi="Arial"/>
          <w:sz w:val="22"/>
          <w:szCs w:val="22"/>
          <w:i w:val="1"/>
          <w:iCs w:val="1"/>
          <w:color w:val="auto"/>
        </w:rPr>
        <w:t>Non-Opioids Prevent Addiction in the Nation Act</w:t>
      </w:r>
      <w:r>
        <w:rPr>
          <w:rFonts w:ascii="Arial" w:cs="Arial" w:eastAsia="Arial" w:hAnsi="Arial"/>
          <w:sz w:val="22"/>
          <w:szCs w:val="22"/>
          <w:color w:val="auto"/>
        </w:rPr>
        <w:t xml:space="preserve"> (the “NOPAIN Act”), which was enacted as part of the Consolidated Appropriations Act of 2023.</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NOPAIN Act requires Medicare to provide separate reimbursement for non-opioid products that are used to manage pain during surgeries conducted in hospital outpatient departments or in ambulatory surgical centers. The NOPAIN Act applies, in part, to products that are indicated to provide analgesia without acting upon the body’s opioid receptors.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reimbursement for non-opioid pain alternatives under the NOPAIN Act will apply to those products that are furnished between January 1, 2025 and January 1, 2028. It is anticipated that in 2024, the Centers for Medicare &amp; Medicaid Services will issue regulations implementing the NOPAIN Act and detailing the conditions for, and amount of, the separate reimbursement. Cumberland submitted a comment letter along with clinical information in the third quarter, explaining why Caldolor should be included and separately reimbursed.</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Caldolor is approved by the FDA for use in adults and pediatric patients 3 months and older for the management of mild to moderate pain as a sole therapy, and for the management of moderate to severe pain as an adjunct to an opioid. A series of published clinical studies have demonstrated that Caldolor significantly reduces patient pain, while also significantly reducing patients’ need for opioids.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Sancuso Acquisition and Approval of New Manufacturing Plant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Early last year, Cumberland acquired the U.S. rights to the FDA-approved oncology-supportive care medicine Sancuso from Kyowa Kirin, Inc., the U.S. affiliate of Japan-based Kyowa Kirin Co., Ltd.</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Sancuso is the first and only FDA-approved prescription patch for the prevention of nausea and vomiting in patients receiving certain types of chemotherapy treatment.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September 2023, the transition of Sancuso to Cumberland is complete. In late 2022, the FDA approved moving the product’s manufacturer to a new facility, and the production of supplies for Cumberland at that plant is now underway during the fourth quarter of 2023.</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Vaprisol Supply Update</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Cumberland continues to work with its new manufacturing partner for Vaprisol, Nephron Pharmaceuticals, to provide interim supplies of a special compounded conivaptan product to the market in support of critically ill patients. The companies will share in the sales of this compounded product, which has been successfully manufactured and expected to be available by the end of 2023. Cumberland then plans to file for the approval to manufacture branded Vaprisol once Nephron addresses the FDA’s Form 483 and warning letter issues.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Clinical Development Programs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Cumberland has been evaluating its ifetroban product candidate, a selective thromboxane-prostanoid receptor antagonist, in a series of clinical studies. It has been dosed in nearly 1,400 subjects and has been found to be safe and well tolerated in healthy volunteers and various patient populations.</w:t>
      </w:r>
    </w:p>
    <w:p>
      <w:pPr>
        <w:sectPr>
          <w:pgSz w:w="11900" w:h="16838" w:orient="portrait"/>
          <w:cols w:equalWidth="0" w:num="1">
            <w:col w:w="11240"/>
          </w:cols>
          <w:pgMar w:left="320" w:top="1050" w:right="339" w:bottom="1440" w:gutter="0" w:footer="0" w:header="0"/>
        </w:sectPr>
      </w:pPr>
    </w:p>
    <w:bookmarkStart w:id="5" w:name="page6"/>
    <w:bookmarkEnd w:id="5"/>
    <w:p>
      <w:pPr>
        <w:jc w:val="both"/>
        <w:spacing w:after="0" w:line="250" w:lineRule="auto"/>
        <w:rPr>
          <w:sz w:val="20"/>
          <w:szCs w:val="20"/>
          <w:color w:val="auto"/>
        </w:rPr>
      </w:pPr>
      <w:r>
        <w:rPr>
          <w:rFonts w:ascii="Arial" w:cs="Arial" w:eastAsia="Arial" w:hAnsi="Arial"/>
          <w:sz w:val="22"/>
          <w:szCs w:val="22"/>
          <w:color w:val="auto"/>
        </w:rPr>
        <w:t>Patient enrollment is well underway in two company sponsored Phase II clinical programs to evaluate ifetroban in Systemic Sclerosis or scleroderma, a debilitating autoimmune disorder characterized by diffuse fibrosis of the skin and internal organs; and the Cardiomyopathy associated with Duchenne Muscular Dystrophy (“DMD”), a rare and fatal genetic neuromuscular disease that results in deterioration of the skeletal, heart and lung muscles.</w:t>
      </w:r>
    </w:p>
    <w:p>
      <w:pPr>
        <w:spacing w:after="0" w:line="120"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Cumberland is sponsoring the FIGHT DMD™ trial, a multicenter, randomized, placebo-controlled Phase II study evaluating the safety, pharmacokinetics and efficacy of two doses of oral ifetroban for the treatment of the cardiomyopathy associated DMD. The trial is evaluating 12 months of oral ifetroban in 24 subjects with early-stage cardiomyopathy and 24 subjects with advanced-stage heart disease across 10 U.S. centers that specialize in DMD cardiomyopathy.</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May 2023, Cumberland announced that the FDA has cleared the Investigational New Drug Application for a Phase II study in patients with Idiopathic Pulmonary Fibrosis (“IPF”), the most common form of progressive fibrosing interstitial lung disease. As a result, the company is initiating its FIGHTING FIBROSIS trial designed to enroll 128 patients in over 20 medical centers of excellence across the U.S. This Phase II clinical trial will study the safety, tolerability and efficacy of oral ifetroban in patients with IPF. Recent studies have shown ifetroban can both prevent and enhance resolution of lung fibrosis in multiple preclinical models.</w:t>
      </w:r>
    </w:p>
    <w:p>
      <w:pPr>
        <w:spacing w:after="0" w:line="126"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Cumberland’s plan going forward is to complete each of its company-sponsored studies, analyze their final data, announce top-line results and decide on the best development path for the registration of ifetroban, which the company continues to believe has the potential to benefit many patients with orphan diseases that represent unmet medical needs.</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193" w:lineRule="exact"/>
        <w:rPr>
          <w:sz w:val="20"/>
          <w:szCs w:val="20"/>
          <w:color w:val="auto"/>
        </w:rPr>
      </w:pPr>
    </w:p>
    <w:p>
      <w:pPr>
        <w:jc w:val="both"/>
        <w:ind w:right="80"/>
        <w:spacing w:after="0" w:line="236" w:lineRule="auto"/>
        <w:rPr>
          <w:sz w:val="20"/>
          <w:szCs w:val="20"/>
          <w:color w:val="auto"/>
        </w:rPr>
      </w:pPr>
      <w:r>
        <w:rPr>
          <w:rFonts w:ascii="Arial" w:cs="Arial" w:eastAsia="Arial" w:hAnsi="Arial"/>
          <w:sz w:val="22"/>
          <w:szCs w:val="22"/>
          <w:b w:val="1"/>
          <w:bCs w:val="1"/>
          <w:color w:val="auto"/>
        </w:rPr>
        <w:t xml:space="preserve">Net Revenue: </w:t>
      </w:r>
      <w:r>
        <w:rPr>
          <w:rFonts w:ascii="Arial" w:cs="Arial" w:eastAsia="Arial" w:hAnsi="Arial"/>
          <w:sz w:val="22"/>
          <w:szCs w:val="22"/>
          <w:color w:val="auto"/>
        </w:rPr>
        <w:t>For the three months ended September 30, 2023, net revenues were $10.1 million and included $3.9 million for</w:t>
      </w:r>
      <w:r>
        <w:rPr>
          <w:rFonts w:ascii="Arial" w:cs="Arial" w:eastAsia="Arial" w:hAnsi="Arial"/>
          <w:sz w:val="22"/>
          <w:szCs w:val="22"/>
          <w:b w:val="1"/>
          <w:bCs w:val="1"/>
          <w:color w:val="auto"/>
        </w:rPr>
        <w:t xml:space="preserve"> </w:t>
      </w:r>
      <w:r>
        <w:rPr>
          <w:rFonts w:ascii="Arial" w:cs="Arial" w:eastAsia="Arial" w:hAnsi="Arial"/>
          <w:sz w:val="22"/>
          <w:szCs w:val="22"/>
          <w:color w:val="auto"/>
        </w:rPr>
        <w:t>Kristalose</w:t>
      </w:r>
      <w:r>
        <w:rPr>
          <w:rFonts w:ascii="Arial" w:cs="Arial" w:eastAsia="Arial" w:hAnsi="Arial"/>
          <w:sz w:val="28"/>
          <w:szCs w:val="28"/>
          <w:color w:val="auto"/>
          <w:vertAlign w:val="superscript"/>
        </w:rPr>
        <w:t>®</w:t>
      </w:r>
      <w:r>
        <w:rPr>
          <w:rFonts w:ascii="Arial" w:cs="Arial" w:eastAsia="Arial" w:hAnsi="Arial"/>
          <w:sz w:val="22"/>
          <w:szCs w:val="22"/>
          <w:color w:val="auto"/>
        </w:rPr>
        <w:t>, $2.8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$1.9 million for Sancuso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$1.2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Year-to-date 2023 net revenues were $30.2 million and included $12.3 million for Kristalose, $6.8 million for Vibativ, $5.7 million for Sancuso and $3.3 million for Caldolor.</w:t>
      </w:r>
    </w:p>
    <w:p>
      <w:pPr>
        <w:spacing w:after="0" w:line="112" w:lineRule="exact"/>
        <w:rPr>
          <w:sz w:val="20"/>
          <w:szCs w:val="20"/>
          <w:color w:val="auto"/>
        </w:rPr>
      </w:pPr>
    </w:p>
    <w:p>
      <w:pPr>
        <w:jc w:val="both"/>
        <w:ind w:right="100"/>
        <w:spacing w:after="0" w:line="282"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were $12.0 million for the third quarter of 2023 and $33.6 million for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nine months of the year.</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Net Income (Loss): </w:t>
      </w:r>
      <w:r>
        <w:rPr>
          <w:rFonts w:ascii="Arial" w:cs="Arial" w:eastAsia="Arial" w:hAnsi="Arial"/>
          <w:sz w:val="19"/>
          <w:szCs w:val="19"/>
          <w:color w:val="auto"/>
        </w:rPr>
        <w:t>The net loss for the third quarter of 2023 was $1.0 million, while the year-to-date net income was $15,086.</w:t>
      </w:r>
    </w:p>
    <w:p>
      <w:pPr>
        <w:spacing w:after="0" w:line="187" w:lineRule="exact"/>
        <w:rPr>
          <w:sz w:val="20"/>
          <w:szCs w:val="20"/>
          <w:color w:val="auto"/>
        </w:rPr>
      </w:pPr>
    </w:p>
    <w:p>
      <w:pPr>
        <w:jc w:val="both"/>
        <w:ind w:right="80"/>
        <w:spacing w:after="0" w:line="256" w:lineRule="auto"/>
        <w:rPr>
          <w:sz w:val="20"/>
          <w:szCs w:val="20"/>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Adjusted earnings for the third quarter of 2023 were $260,146, or $0.02 a share and $4.2 million year to</w:t>
      </w:r>
      <w:r>
        <w:rPr>
          <w:rFonts w:ascii="Arial" w:cs="Arial" w:eastAsia="Arial" w:hAnsi="Arial"/>
          <w:sz w:val="22"/>
          <w:szCs w:val="22"/>
          <w:b w:val="1"/>
          <w:bCs w:val="1"/>
          <w:color w:val="auto"/>
        </w:rPr>
        <w:t xml:space="preserve"> </w:t>
      </w:r>
      <w:r>
        <w:rPr>
          <w:rFonts w:ascii="Arial" w:cs="Arial" w:eastAsia="Arial" w:hAnsi="Arial"/>
          <w:sz w:val="22"/>
          <w:szCs w:val="22"/>
          <w:color w:val="auto"/>
        </w:rPr>
        <w:t>date, or $0.29 a share. The adjusted earnings calculation does not include the benefit of the $0.5 million of Vibativ cost of goods, which was received with the product acquisition. It also does not include the benefit of the $0.3 million of Sancuso cost of goods, which was received with that product’s acquisition.</w:t>
      </w:r>
    </w:p>
    <w:p>
      <w:pPr>
        <w:spacing w:after="0" w:line="109" w:lineRule="exact"/>
        <w:rPr>
          <w:sz w:val="20"/>
          <w:szCs w:val="20"/>
          <w:color w:val="auto"/>
        </w:rPr>
      </w:pPr>
    </w:p>
    <w:p>
      <w:pPr>
        <w:jc w:val="both"/>
        <w:ind w:right="80"/>
        <w:spacing w:after="0" w:line="269"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September 30, 2023, Cumberland had $87.8 million in total assets, including $18.5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w:t>
      </w:r>
    </w:p>
    <w:p>
      <w:pPr>
        <w:spacing w:after="0" w:line="100" w:lineRule="exact"/>
        <w:rPr>
          <w:sz w:val="20"/>
          <w:szCs w:val="20"/>
          <w:color w:val="auto"/>
        </w:rPr>
      </w:pPr>
    </w:p>
    <w:p>
      <w:pPr>
        <w:jc w:val="both"/>
        <w:ind w:right="80"/>
        <w:spacing w:after="0" w:line="263" w:lineRule="auto"/>
        <w:rPr>
          <w:sz w:val="20"/>
          <w:szCs w:val="20"/>
          <w:color w:val="auto"/>
        </w:rPr>
      </w:pPr>
      <w:r>
        <w:rPr>
          <w:rFonts w:ascii="Arial" w:cs="Arial" w:eastAsia="Arial" w:hAnsi="Arial"/>
          <w:sz w:val="22"/>
          <w:szCs w:val="22"/>
          <w:color w:val="auto"/>
        </w:rPr>
        <w:t>Total liabilities were $52.1 million, including $12.9 million outstanding on the Company's revolving line of credit. Total shareholders' equity was $36.0 million.</w:t>
      </w:r>
    </w:p>
    <w:p>
      <w:pPr>
        <w:sectPr>
          <w:pgSz w:w="11900" w:h="16838" w:orient="portrait"/>
          <w:cols w:equalWidth="0" w:num="1">
            <w:col w:w="11240"/>
          </w:cols>
          <w:pgMar w:left="320" w:top="1050"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EARNINGS REPORT CALL:</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conference call will be held on Nov. 7, 2023, at 4:30 p.m. Eastern Time to discuss the results. To participate in the call, please register at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https://register.vevent.com/register/BI9c23410ae1a342fab9f11ecec96f52fa.</w:t>
      </w:r>
    </w:p>
    <w:p>
      <w:pPr>
        <w:spacing w:after="0" w:line="139" w:lineRule="exact"/>
        <w:rPr>
          <w:sz w:val="20"/>
          <w:szCs w:val="20"/>
          <w:color w:val="auto"/>
        </w:rPr>
      </w:pPr>
    </w:p>
    <w:p>
      <w:pPr>
        <w:ind w:right="20"/>
        <w:spacing w:after="0" w:line="358" w:lineRule="auto"/>
        <w:rPr>
          <w:sz w:val="20"/>
          <w:szCs w:val="20"/>
          <w:color w:val="auto"/>
        </w:rPr>
      </w:pPr>
      <w:r>
        <w:rPr>
          <w:rFonts w:ascii="Arial" w:cs="Arial" w:eastAsia="Arial" w:hAnsi="Arial"/>
          <w:sz w:val="19"/>
          <w:szCs w:val="19"/>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10"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A replay of the call will be available for one year and can be accessed via Cumberland’s website or by visiting https://edge.media-server.com/mmc/p/iqydy4yi.</w:t>
      </w:r>
    </w:p>
    <w:p>
      <w:pPr>
        <w:sectPr>
          <w:pgSz w:w="11900" w:h="16838" w:orient="portrait"/>
          <w:cols w:equalWidth="0" w:num="1">
            <w:col w:w="11240"/>
          </w:cols>
          <w:pgMar w:left="320" w:top="104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Cumberland Pharmaceuticals Inc. </w:t>
      </w:r>
      <w:r>
        <w:rPr>
          <w:rFonts w:ascii="Arial" w:cs="Arial" w:eastAsia="Arial" w:hAnsi="Arial"/>
          <w:sz w:val="21"/>
          <w:szCs w:val="21"/>
          <w:color w:val="auto"/>
        </w:rPr>
        <w:t>is the largest biopharmaceutical company founded and headquartered in Tennessee and is</w:t>
      </w:r>
      <w:r>
        <w:rPr>
          <w:rFonts w:ascii="Arial" w:cs="Arial" w:eastAsia="Arial" w:hAnsi="Arial"/>
          <w:sz w:val="21"/>
          <w:szCs w:val="21"/>
          <w:b w:val="1"/>
          <w:bCs w:val="1"/>
          <w:color w:val="auto"/>
        </w:rPr>
        <w:t xml:space="preserve"> </w:t>
      </w:r>
      <w:r>
        <w:rPr>
          <w:rFonts w:ascii="Arial" w:cs="Arial" w:eastAsia="Arial" w:hAnsi="Arial"/>
          <w:sz w:val="21"/>
          <w:szCs w:val="21"/>
          <w:color w:val="auto"/>
        </w:rPr>
        <w:t>focused on providing unique products that improve the quality of patient care. The company develops, acquires, and commercializes products for the hospital acute care, gastroenterology and oncology market segments.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portfolio of FDA-approved brands includes:</w:t>
      </w:r>
    </w:p>
    <w:p>
      <w:pPr>
        <w:spacing w:after="0" w:line="14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7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83"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oral, a prescription laxative, for the treatment of constipation;</w:t>
      </w:r>
    </w:p>
    <w:p>
      <w:pPr>
        <w:spacing w:after="0" w:line="83" w:lineRule="exact"/>
        <w:rPr>
          <w:rFonts w:ascii="Arial" w:cs="Arial" w:eastAsia="Arial" w:hAnsi="Arial"/>
          <w:sz w:val="22"/>
          <w:szCs w:val="22"/>
          <w:color w:val="auto"/>
        </w:rPr>
      </w:pPr>
    </w:p>
    <w:p>
      <w:pPr>
        <w:ind w:left="660" w:right="20" w:hanging="328"/>
        <w:spacing w:after="0" w:line="224"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oral,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124" w:lineRule="exact"/>
        <w:rPr>
          <w:rFonts w:ascii="Arial" w:cs="Arial" w:eastAsia="Arial" w:hAnsi="Arial"/>
          <w:sz w:val="22"/>
          <w:szCs w:val="22"/>
          <w:color w:val="auto"/>
        </w:rPr>
      </w:pPr>
    </w:p>
    <w:p>
      <w:pPr>
        <w:ind w:left="660" w:hanging="328"/>
        <w:spacing w:after="0" w:line="224"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Sancuso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granisetron)</w:t>
      </w:r>
      <w:r>
        <w:rPr>
          <w:rFonts w:ascii="Arial" w:cs="Arial" w:eastAsia="Arial" w:hAnsi="Arial"/>
          <w:sz w:val="22"/>
          <w:szCs w:val="22"/>
          <w:b w:val="1"/>
          <w:bCs w:val="1"/>
          <w:color w:val="auto"/>
        </w:rPr>
        <w:t xml:space="preserve"> </w:t>
      </w:r>
      <w:r>
        <w:rPr>
          <w:rFonts w:ascii="Arial" w:cs="Arial" w:eastAsia="Arial" w:hAnsi="Arial"/>
          <w:sz w:val="22"/>
          <w:szCs w:val="22"/>
          <w:color w:val="auto"/>
        </w:rPr>
        <w:t>transdermal, for the prevention of nausea and vomiting in patients receiving certain types of</w:t>
      </w:r>
      <w:r>
        <w:rPr>
          <w:rFonts w:ascii="Arial" w:cs="Arial" w:eastAsia="Arial" w:hAnsi="Arial"/>
          <w:sz w:val="22"/>
          <w:szCs w:val="22"/>
          <w:b w:val="1"/>
          <w:bCs w:val="1"/>
          <w:color w:val="auto"/>
        </w:rPr>
        <w:t xml:space="preserve"> </w:t>
      </w:r>
      <w:r>
        <w:rPr>
          <w:rFonts w:ascii="Arial" w:cs="Arial" w:eastAsia="Arial" w:hAnsi="Arial"/>
          <w:sz w:val="22"/>
          <w:szCs w:val="22"/>
          <w:color w:val="auto"/>
        </w:rPr>
        <w:t>chemotherapy treatment;</w:t>
      </w:r>
    </w:p>
    <w:p>
      <w:pPr>
        <w:spacing w:after="0" w:line="124" w:lineRule="exact"/>
        <w:rPr>
          <w:rFonts w:ascii="Arial" w:cs="Arial" w:eastAsia="Arial" w:hAnsi="Arial"/>
          <w:sz w:val="22"/>
          <w:szCs w:val="22"/>
          <w:color w:val="auto"/>
        </w:rPr>
      </w:pPr>
    </w:p>
    <w:p>
      <w:pPr>
        <w:ind w:left="660" w:right="20" w:hanging="328"/>
        <w:spacing w:after="0" w:line="224"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 and</w:t>
      </w:r>
    </w:p>
    <w:p>
      <w:pPr>
        <w:spacing w:after="0" w:line="124" w:lineRule="exact"/>
        <w:rPr>
          <w:rFonts w:ascii="Arial" w:cs="Arial" w:eastAsia="Arial" w:hAnsi="Arial"/>
          <w:sz w:val="22"/>
          <w:szCs w:val="22"/>
          <w:color w:val="auto"/>
        </w:rPr>
      </w:pPr>
    </w:p>
    <w:p>
      <w:pPr>
        <w:ind w:left="660" w:hanging="328"/>
        <w:spacing w:after="0" w:line="233" w:lineRule="auto"/>
        <w:tabs>
          <w:tab w:leader="none" w:pos="655"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Vibativ</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telavancin</w:t>
      </w:r>
      <w:r>
        <w:rPr>
          <w:rFonts w:ascii="Arial" w:cs="Arial" w:eastAsia="Arial" w:hAnsi="Arial"/>
          <w:sz w:val="21"/>
          <w:szCs w:val="21"/>
          <w:color w:val="auto"/>
        </w:rPr>
        <w:t>) injection, for the treatment of certain serious bacterial infections including hospital-acquired and</w:t>
      </w:r>
      <w:r>
        <w:rPr>
          <w:rFonts w:ascii="Arial" w:cs="Arial" w:eastAsia="Arial" w:hAnsi="Arial"/>
          <w:sz w:val="21"/>
          <w:szCs w:val="21"/>
          <w:b w:val="1"/>
          <w:bCs w:val="1"/>
          <w:color w:val="auto"/>
        </w:rPr>
        <w:t xml:space="preserve"> </w:t>
      </w:r>
      <w:r>
        <w:rPr>
          <w:rFonts w:ascii="Arial" w:cs="Arial" w:eastAsia="Arial" w:hAnsi="Arial"/>
          <w:sz w:val="21"/>
          <w:szCs w:val="21"/>
          <w:color w:val="auto"/>
        </w:rPr>
        <w:t>ventilator-associated bacterial pneumonia, as well as complicated skin and skin structure infections.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 in patients with cardiomyopathy associated with Duchenne Muscular Dystrophy and Systemic Sclerosis. Additionally, Cumberland recently received FDA clearance to proceed directly to a Phase II study for patients with Idiopathic Pulmonary Fibrosis, the most common form of progressive fibrosing interstitial lung disease.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more information on Cumberland’s approved products, including full prescribing information, please visit links to the individual product websites, which can be found on the company’s website at www.cumberlandpharma.com.</w:t>
      </w:r>
    </w:p>
    <w:p>
      <w:pPr>
        <w:sectPr>
          <w:pgSz w:w="11900" w:h="16838" w:orient="portrait"/>
          <w:cols w:equalWidth="0" w:num="1">
            <w:col w:w="11240"/>
          </w:cols>
          <w:pgMar w:left="320" w:top="104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9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www.acetadote.com.</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as well as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www.kristalose.com.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www.omeclamox.com.</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Sancuso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granisetron) Transdermal System</w:t>
      </w:r>
    </w:p>
    <w:p>
      <w:pPr>
        <w:spacing w:after="0" w:line="89"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www.sancuso.com.</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www.vaprisol.com.</w:t>
      </w:r>
    </w:p>
    <w:p>
      <w:pPr>
        <w:sectPr>
          <w:pgSz w:w="11900" w:h="16838" w:orient="portrait"/>
          <w:cols w:equalWidth="0" w:num="1">
            <w:col w:w="11240"/>
          </w:cols>
          <w:pgMar w:left="320" w:top="103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9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www.vibativ.com.</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EMERGING TECHNOLOGIES:</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Cumberland Emerging Technologies, Inc. (</w:t>
      </w:r>
      <w:r>
        <w:rPr>
          <w:rFonts w:ascii="Arial" w:cs="Arial" w:eastAsia="Arial" w:hAnsi="Arial"/>
          <w:sz w:val="21"/>
          <w:szCs w:val="21"/>
          <w:u w:val="single" w:color="auto"/>
          <w:color w:val="auto"/>
        </w:rPr>
        <w:t>www.cet-fund.com</w:t>
      </w:r>
      <w:r>
        <w:rPr>
          <w:rFonts w:ascii="Arial" w:cs="Arial" w:eastAsia="Arial" w:hAnsi="Arial"/>
          <w:sz w:val="21"/>
          <w:szCs w:val="21"/>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038"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399" w:lineRule="exact"/>
        <w:rPr>
          <w:sz w:val="20"/>
          <w:szCs w:val="20"/>
          <w:color w:val="auto"/>
        </w:rPr>
      </w:pPr>
    </w:p>
    <w:tbl>
      <w:tblPr>
        <w:tblLayout w:type="fixed"/>
        <w:tblInd w:w="189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Investor Contact:</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Media Contact:</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Shayla Simpson</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Molly Aggas</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Cumberland Pharmaceuticals Inc.</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(615) 255-0068</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(704) 641-6641</w:t>
            </w:r>
          </w:p>
        </w:tc>
      </w:tr>
      <w:tr>
        <w:trPr>
          <w:trHeight w:val="598"/>
        </w:trPr>
        <w:tc>
          <w:tcPr>
            <w:tcW w:w="2880" w:type="dxa"/>
            <w:vAlign w:val="bottom"/>
          </w:tcPr>
          <w:p>
            <w:pPr>
              <w:spacing w:after="0"/>
              <w:rPr>
                <w:sz w:val="24"/>
                <w:szCs w:val="24"/>
                <w:color w:val="auto"/>
              </w:rPr>
            </w:pPr>
          </w:p>
        </w:tc>
        <w:tc>
          <w:tcPr>
            <w:tcW w:w="4620" w:type="dxa"/>
            <w:vAlign w:val="bottom"/>
            <w:gridSpan w:val="2"/>
          </w:tcPr>
          <w:p>
            <w:pPr>
              <w:ind w:left="420"/>
              <w:spacing w:after="0"/>
              <w:rPr>
                <w:sz w:val="20"/>
                <w:szCs w:val="20"/>
                <w:color w:val="auto"/>
              </w:rPr>
            </w:pPr>
            <w:r>
              <w:rPr>
                <w:rFonts w:ascii="Arial" w:cs="Arial" w:eastAsia="Arial" w:hAnsi="Arial"/>
                <w:sz w:val="22"/>
                <w:szCs w:val="22"/>
                <w:color w:val="auto"/>
              </w:rPr>
              <w:t>- MORE -</w:t>
            </w:r>
          </w:p>
        </w:tc>
      </w:tr>
    </w:tbl>
    <w:p>
      <w:pPr>
        <w:sectPr>
          <w:pgSz w:w="11900" w:h="16838" w:orient="portrait"/>
          <w:cols w:equalWidth="0" w:num="1">
            <w:col w:w="11240"/>
          </w:cols>
          <w:pgMar w:left="320" w:top="89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18,507,965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19,757,970</w:t>
            </w: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12,620,120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13,163,681</w:t>
            </w: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9,863,581</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3,084,978</w:t>
            </w:r>
          </w:p>
        </w:tc>
      </w:tr>
      <w:tr>
        <w:trPr>
          <w:trHeight w:val="223"/>
        </w:trPr>
        <w:tc>
          <w:tcPr>
            <w:tcW w:w="7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41,769,797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45,870,210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8,301,845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7,527,167</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284,039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27,121,070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30,590,678</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6,711,155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5,218,403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2,555,638</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2,520,661</w:t>
            </w: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87,750,944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92,925,158</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10,819,011</w:t>
            </w: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Operating lease 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334,288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172,910</w:t>
            </w: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16,175,937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17,587,911</w:t>
            </w: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27,328,270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28,579,832</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5,388,900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4,586,301</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6,455,091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7,585,019</w:t>
            </w:r>
          </w:p>
        </w:tc>
      </w:tr>
      <w:tr>
        <w:trPr>
          <w:trHeight w:val="222"/>
        </w:trPr>
        <w:tc>
          <w:tcPr>
            <w:tcW w:w="722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52,095,386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56,951,152</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6"/>
        </w:trPr>
        <w:tc>
          <w:tcPr>
            <w:tcW w:w="7220" w:type="dxa"/>
            <w:vAlign w:val="bottom"/>
          </w:tcPr>
          <w:p>
            <w:pPr>
              <w:ind w:left="340"/>
              <w:spacing w:after="0" w:line="176" w:lineRule="exact"/>
              <w:rPr>
                <w:sz w:val="20"/>
                <w:szCs w:val="20"/>
                <w:color w:val="auto"/>
              </w:rPr>
            </w:pPr>
            <w:r>
              <w:rPr>
                <w:rFonts w:ascii="Arial" w:cs="Arial" w:eastAsia="Arial" w:hAnsi="Arial"/>
                <w:sz w:val="18"/>
                <w:szCs w:val="18"/>
                <w:color w:val="auto"/>
                <w:w w:val="94"/>
              </w:rPr>
              <w:t>Common stock—no par value; 100,000,000 shares authorized; 14,217,926 and 14,366,616</w:t>
            </w: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20" w:type="dxa"/>
            <w:vAlign w:val="bottom"/>
          </w:tcPr>
          <w:p>
            <w:pPr>
              <w:ind w:left="340"/>
              <w:spacing w:after="0"/>
              <w:rPr>
                <w:sz w:val="20"/>
                <w:szCs w:val="20"/>
                <w:color w:val="auto"/>
              </w:rPr>
            </w:pPr>
            <w:r>
              <w:rPr>
                <w:rFonts w:ascii="Arial" w:cs="Arial" w:eastAsia="Arial" w:hAnsi="Arial"/>
                <w:sz w:val="18"/>
                <w:szCs w:val="18"/>
                <w:color w:val="auto"/>
                <w:w w:val="90"/>
              </w:rPr>
              <w:t>shares issued and outstanding as of September 30, 2023 and December 31, 2022, respectively</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47,185,304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47,474,973</w:t>
            </w: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(11,193,755)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(11,208,841)</w:t>
            </w:r>
          </w:p>
        </w:tc>
      </w:tr>
      <w:tr>
        <w:trPr>
          <w:trHeight w:val="223"/>
        </w:trPr>
        <w:tc>
          <w:tcPr>
            <w:tcW w:w="722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35,991,549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36,266,132</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(292,126)</w:t>
            </w:r>
          </w:p>
        </w:tc>
      </w:tr>
      <w:tr>
        <w:trPr>
          <w:trHeight w:val="223"/>
        </w:trPr>
        <w:tc>
          <w:tcPr>
            <w:tcW w:w="72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35,655,558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35,974,006</w:t>
            </w: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87,750,944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92,925,158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29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6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11,413,072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32,887,269</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2,224,443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6,468,212</w:t>
            </w:r>
          </w:p>
        </w:tc>
      </w:tr>
      <w:tr>
        <w:trPr>
          <w:trHeight w:val="230"/>
        </w:trPr>
        <w:tc>
          <w:tcPr>
            <w:tcW w:w="468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4,743,142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4,110,397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13,692,535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13,281,511</w:t>
            </w:r>
          </w:p>
        </w:tc>
      </w:tr>
      <w:tr>
        <w:trPr>
          <w:trHeight w:val="22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1,714,254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5,283,083</w:t>
            </w:r>
          </w:p>
        </w:tc>
      </w:tr>
      <w:tr>
        <w:trPr>
          <w:trHeight w:val="230"/>
        </w:trPr>
        <w:tc>
          <w:tcPr>
            <w:tcW w:w="46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2,343,855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2,166,118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7,212,731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6,672,442</w:t>
            </w:r>
          </w:p>
        </w:tc>
      </w:tr>
      <w:tr>
        <w:trPr>
          <w:trHeight w:val="22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1,486,448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3,563,493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4,609,146</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11,952,529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11,701,660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33,574,863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36,314,394</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(3,427,125)</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98,603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21,602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205,854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52,709</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income - settlement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insurance proceeds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(406,539)</w:t>
            </w:r>
          </w:p>
        </w:tc>
      </w:tr>
      <w:tr>
        <w:trPr>
          <w:trHeight w:val="223"/>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(416,326)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(3,169,625)</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w:t>
            </w:r>
          </w:p>
        </w:tc>
      </w:tr>
      <w:tr>
        <w:trPr>
          <w:trHeight w:val="223"/>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(423,226)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(3,190,325)</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Net loss at subsidiary attributable to noncontrolling interests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r>
      <w:tr>
        <w:trPr>
          <w:trHeight w:val="248"/>
        </w:trPr>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Net income (loss) attributable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(3,129,512)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Earnings (loss) per share attributable to common shareholders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80" w:type="dxa"/>
            <w:vAlign w:val="bottom"/>
          </w:tcPr>
          <w:p>
            <w:pPr>
              <w:ind w:left="340"/>
              <w:spacing w:after="0"/>
              <w:rPr>
                <w:sz w:val="20"/>
                <w:szCs w:val="20"/>
                <w:color w:val="auto"/>
              </w:rPr>
            </w:pPr>
            <w:r>
              <w:rPr>
                <w:rFonts w:ascii="Arial" w:cs="Arial" w:eastAsia="Arial" w:hAnsi="Arial"/>
                <w:sz w:val="18"/>
                <w:szCs w:val="18"/>
                <w:color w:val="auto"/>
              </w:rPr>
              <w:t>-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14,477,478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14,343,560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14,618,975</w:t>
            </w:r>
          </w:p>
        </w:tc>
      </w:tr>
      <w:tr>
        <w:trPr>
          <w:trHeight w:val="230"/>
        </w:trPr>
        <w:tc>
          <w:tcPr>
            <w:tcW w:w="4680" w:type="dxa"/>
            <w:vAlign w:val="bottom"/>
          </w:tcPr>
          <w:p>
            <w:pPr>
              <w:ind w:left="340"/>
              <w:spacing w:after="0"/>
              <w:rPr>
                <w:sz w:val="20"/>
                <w:szCs w:val="20"/>
                <w:color w:val="auto"/>
              </w:rPr>
            </w:pPr>
            <w:r>
              <w:rPr>
                <w:rFonts w:ascii="Arial" w:cs="Arial" w:eastAsia="Arial" w:hAnsi="Arial"/>
                <w:sz w:val="18"/>
                <w:szCs w:val="18"/>
                <w:color w:val="auto"/>
              </w:rPr>
              <w:t>- diluted</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14,277,229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14,477,478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14,521,600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14,618,975</w:t>
            </w:r>
          </w:p>
        </w:tc>
      </w:tr>
    </w:tbl>
    <w:p>
      <w:pPr>
        <w:sectPr>
          <w:pgSz w:w="11900" w:h="16838" w:orient="portrait"/>
          <w:cols w:equalWidth="0" w:num="1">
            <w:col w:w="11120"/>
          </w:cols>
          <w:pgMar w:left="380" w:top="891" w:right="3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7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(28,779)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(3,190,325)</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3,702,687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4,816,630</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320,598</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(1,017,712)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(1,051,908)</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 cash surrender value of life insurance policies over premiums paid</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708,293</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Increase in noncash interest expense</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7,608</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Life insurance proceeds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(8,184,656)</w:t>
            </w:r>
          </w:p>
        </w:tc>
      </w:tr>
      <w:tr>
        <w:trPr>
          <w:trHeight w:val="230"/>
        </w:trPr>
        <w:tc>
          <w:tcPr>
            <w:tcW w:w="740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418,355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1,338,881</w:t>
            </w: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current assets and other assets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4,355,396</w:t>
            </w:r>
          </w:p>
        </w:tc>
      </w:tr>
      <w:tr>
        <w:trPr>
          <w:trHeight w:val="229"/>
        </w:trPr>
        <w:tc>
          <w:tcPr>
            <w:tcW w:w="7400" w:type="dxa"/>
            <w:vAlign w:val="bottom"/>
          </w:tcPr>
          <w:p>
            <w:pPr>
              <w:ind w:left="1120"/>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1,903,021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8,778,631</w:t>
            </w:r>
          </w:p>
        </w:tc>
      </w:tr>
      <w:tr>
        <w:trPr>
          <w:trHeight w:val="230"/>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(2,472,453)</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5,053,700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4,815,365</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(232,595)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(255,676)</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Settlement of patent litigation</w:t>
            </w:r>
          </w:p>
        </w:tc>
        <w:tc>
          <w:tcPr>
            <w:tcW w:w="3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21,757</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Life insurance policy proceeds received</w:t>
            </w:r>
          </w:p>
        </w:tc>
        <w:tc>
          <w:tcPr>
            <w:tcW w:w="3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877,597</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for acquisitions</w:t>
            </w:r>
          </w:p>
        </w:tc>
        <w:tc>
          <w:tcPr>
            <w:tcW w:w="3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intangibles</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(177,362)</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(366,334)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(13,033,684)</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23,775,000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46,700,000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(27,051,875)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(44,000,000)</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(1,117,576)</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(551,563)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(863,383)</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(5,937,371)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719,041</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(1,250,005)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(7,499,278)</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18,507,965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19,541,538</w:t>
            </w:r>
          </w:p>
        </w:tc>
      </w:tr>
      <w:tr>
        <w:trPr>
          <w:trHeight w:val="21"/>
        </w:trPr>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sectPr>
      </w:pPr>
    </w:p>
    <w:bookmarkStart w:id="14" w:name="page15"/>
    <w:bookmarkEnd w:id="14"/>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9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1"/>
              </w:rPr>
              <w:t>Three months ended September 30,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89"/>
              </w:rPr>
              <w:t>Earnings per 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88"/>
        </w:trPr>
        <w:tc>
          <w:tcPr>
            <w:tcW w:w="5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(408,639)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 subsidiary attributable to noncontrolling interests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Adjustments to net loss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1,221,837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1,544,545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(98,603)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Adjusted Earnings and Adjusted Diluted Earnings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1,444,407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14,422,274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14,687,915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22"/>
        </w:trPr>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ind w:left="40"/>
              <w:spacing w:after="0" w:line="189" w:lineRule="exact"/>
              <w:rPr>
                <w:sz w:val="20"/>
                <w:szCs w:val="20"/>
                <w:color w:val="auto"/>
              </w:rPr>
            </w:pPr>
            <w:r>
              <w:rPr>
                <w:rFonts w:ascii="Arial" w:cs="Arial" w:eastAsia="Arial" w:hAnsi="Arial"/>
                <w:sz w:val="18"/>
                <w:szCs w:val="18"/>
                <w:color w:val="auto"/>
                <w:w w:val="88"/>
              </w:rPr>
              <w:t>Earnings per share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6"/>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(3,129,512)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Less: Net loss at subsidiary attributable to noncontrolling interests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Adjustments to net loss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3,702,687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4,816,630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(205,854)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489,069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line="223" w:lineRule="exact"/>
              <w:rPr>
                <w:sz w:val="20"/>
                <w:szCs w:val="20"/>
                <w:color w:val="auto"/>
              </w:rPr>
            </w:pPr>
            <w:r>
              <w:rPr>
                <w:rFonts w:ascii="Arial" w:cs="Arial" w:eastAsia="Arial" w:hAnsi="Arial"/>
                <w:sz w:val="18"/>
                <w:szCs w:val="18"/>
                <w:b w:val="1"/>
                <w:bCs w:val="1"/>
                <w:color w:val="auto"/>
                <w:w w:val="92"/>
              </w:rPr>
              <w:t xml:space="preserve">Adjusted Earnings and Adjusted Diluted Earnings Per Share </w:t>
            </w:r>
            <w:r>
              <w:rPr>
                <w:rFonts w:ascii="Arial" w:cs="Arial" w:eastAsia="Arial" w:hAnsi="Arial"/>
                <w:sz w:val="23"/>
                <w:szCs w:val="23"/>
                <w:b w:val="1"/>
                <w:bCs w:val="1"/>
                <w:color w:val="auto"/>
                <w:w w:val="92"/>
                <w:vertAlign w:val="superscript"/>
              </w:rPr>
              <w:t>(b)(c)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4,249,082</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2,321,433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14,559,687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14,861,812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3" w:right="3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88"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106" w:lineRule="exact"/>
        <w:rPr>
          <w:sz w:val="20"/>
          <w:szCs w:val="20"/>
          <w:color w:val="auto"/>
        </w:rPr>
      </w:pPr>
    </w:p>
    <w:p>
      <w:pPr>
        <w:jc w:val="both"/>
        <w:ind w:left="660" w:hanging="328"/>
        <w:spacing w:after="0" w:line="256"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2"/>
          <w:szCs w:val="22"/>
          <w:b w:val="1"/>
          <w:bCs w:val="1"/>
          <w:color w:val="auto"/>
        </w:rPr>
        <w:t xml:space="preserve">Adjusted Earnings (loss): </w:t>
      </w:r>
      <w:r>
        <w:rPr>
          <w:rFonts w:ascii="Arial" w:cs="Arial" w:eastAsia="Arial" w:hAnsi="Arial"/>
          <w:sz w:val="22"/>
          <w:szCs w:val="22"/>
          <w:color w:val="auto"/>
        </w:rPr>
        <w:t>net income (loss) adjusted for the impact of income taxes, depreciation and amortization</w:t>
      </w:r>
      <w:r>
        <w:rPr>
          <w:rFonts w:ascii="Arial" w:cs="Arial" w:eastAsia="Arial" w:hAnsi="Arial"/>
          <w:sz w:val="22"/>
          <w:szCs w:val="22"/>
          <w:b w:val="1"/>
          <w:bCs w:val="1"/>
          <w:color w:val="auto"/>
        </w:rPr>
        <w:t xml:space="preserve"> </w:t>
      </w:r>
      <w:r>
        <w:rPr>
          <w:rFonts w:ascii="Arial" w:cs="Arial" w:eastAsia="Arial" w:hAnsi="Arial"/>
          <w:sz w:val="22"/>
          <w:szCs w:val="22"/>
          <w:color w:val="auto"/>
        </w:rPr>
        <w:t>expense, share-based compensation, interest income and interest expense. The definition of Adjusted Earnings has been changed to include all gains and losses, as gains are occurring more frequently for the Company. The financial information presented for the nine months ended September 30, 2022, has been adjusted to be consistent with the current year presentation.</w:t>
      </w:r>
    </w:p>
    <w:p>
      <w:pPr>
        <w:spacing w:after="0" w:line="114" w:lineRule="exact"/>
        <w:rPr>
          <w:rFonts w:ascii="Arial" w:cs="Arial" w:eastAsia="Arial" w:hAnsi="Arial"/>
          <w:sz w:val="20"/>
          <w:szCs w:val="20"/>
          <w:color w:val="auto"/>
        </w:rPr>
      </w:pPr>
    </w:p>
    <w:p>
      <w:pPr>
        <w:ind w:left="1380" w:hanging="508"/>
        <w:spacing w:after="0"/>
        <w:tabs>
          <w:tab w:leader="none" w:pos="1380" w:val="left"/>
        </w:tabs>
        <w:numPr>
          <w:ilvl w:val="1"/>
          <w:numId w:val="3"/>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152" w:lineRule="exact"/>
        <w:rPr>
          <w:rFonts w:ascii="Arial" w:cs="Arial" w:eastAsia="Arial" w:hAnsi="Arial"/>
          <w:sz w:val="22"/>
          <w:szCs w:val="22"/>
          <w:color w:val="auto"/>
        </w:rPr>
      </w:pPr>
    </w:p>
    <w:p>
      <w:pPr>
        <w:ind w:left="1300" w:right="160" w:firstLine="4"/>
        <w:spacing w:after="0" w:line="263" w:lineRule="auto"/>
        <w:tabs>
          <w:tab w:leader="none" w:pos="1822" w:val="left"/>
        </w:tabs>
        <w:numPr>
          <w:ilvl w:val="2"/>
          <w:numId w:val="3"/>
        </w:numPr>
        <w:rPr>
          <w:rFonts w:ascii="Arial" w:cs="Arial" w:eastAsia="Arial" w:hAnsi="Arial"/>
          <w:sz w:val="22"/>
          <w:szCs w:val="22"/>
          <w:color w:val="auto"/>
        </w:rPr>
      </w:pPr>
      <w:r>
        <w:rPr>
          <w:rFonts w:ascii="Arial" w:cs="Arial" w:eastAsia="Arial" w:hAnsi="Arial"/>
          <w:sz w:val="22"/>
          <w:szCs w:val="22"/>
          <w:color w:val="auto"/>
        </w:rPr>
        <w:t>Year-to-date Adjusted Earnings includes a litigation settlement based on two $500,000 milestone payments due to the Company for the license associated with its Vibativ product.</w:t>
      </w:r>
    </w:p>
    <w:p>
      <w:pPr>
        <w:spacing w:after="0" w:line="107" w:lineRule="exact"/>
        <w:rPr>
          <w:rFonts w:ascii="Arial" w:cs="Arial" w:eastAsia="Arial" w:hAnsi="Arial"/>
          <w:sz w:val="22"/>
          <w:szCs w:val="22"/>
          <w:color w:val="auto"/>
        </w:rPr>
      </w:pPr>
    </w:p>
    <w:p>
      <w:pPr>
        <w:ind w:left="1760" w:hanging="456"/>
        <w:spacing w:after="0"/>
        <w:tabs>
          <w:tab w:leader="none" w:pos="1760" w:val="left"/>
        </w:tabs>
        <w:numPr>
          <w:ilvl w:val="2"/>
          <w:numId w:val="3"/>
        </w:numPr>
        <w:rPr>
          <w:rFonts w:ascii="Arial" w:cs="Arial" w:eastAsia="Arial" w:hAnsi="Arial"/>
          <w:sz w:val="19"/>
          <w:szCs w:val="19"/>
          <w:color w:val="auto"/>
        </w:rPr>
      </w:pPr>
      <w:r>
        <w:rPr>
          <w:rFonts w:ascii="Arial" w:cs="Arial" w:eastAsia="Arial" w:hAnsi="Arial"/>
          <w:sz w:val="19"/>
          <w:szCs w:val="19"/>
          <w:color w:val="auto"/>
        </w:rPr>
        <w:t>Year-to-date Adjusted Earnings includes a gain on the refund of 2022 and 2023 FDA fees in the amount of</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$2.8 million.</w:t>
      </w:r>
    </w:p>
    <w:p>
      <w:pPr>
        <w:spacing w:after="0" w:line="128" w:lineRule="exact"/>
        <w:rPr>
          <w:sz w:val="20"/>
          <w:szCs w:val="20"/>
          <w:color w:val="auto"/>
        </w:rPr>
      </w:pPr>
    </w:p>
    <w:p>
      <w:pPr>
        <w:ind w:left="660" w:hanging="328"/>
        <w:spacing w:after="0" w:line="269" w:lineRule="auto"/>
        <w:tabs>
          <w:tab w:leader="none" w:pos="655"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10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2023-11-07T16:35:10Z</dcterms:created>
  <dcterms:modified xsi:type="dcterms:W3CDTF">2023-11-07T16:35:10Z</dcterms:modified>
</cp:coreProperties>
</file>