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1600 West End Avenue, Suite 1300</w:t>
      </w:r>
    </w:p>
    <w:p>
      <w:pPr>
        <w:jc w:val="center"/>
        <w:ind w:right="-19"/>
        <w:spacing w:after="0"/>
        <w:rPr>
          <w:sz w:val="20"/>
          <w:szCs w:val="20"/>
          <w:color w:val="auto"/>
        </w:rPr>
      </w:pPr>
      <w:r>
        <w:rPr>
          <w:rFonts w:ascii="Times New Roman" w:cs="Times New Roman" w:eastAsia="Times New Roman" w:hAnsi="Times New Roman"/>
          <w:sz w:val="18"/>
          <w:szCs w:val="18"/>
          <w:color w:val="auto"/>
        </w:rPr>
        <w:t>Nashville, Tennessee 37203</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21, 2023</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37" w:lineRule="auto"/>
        <w:rPr>
          <w:sz w:val="20"/>
          <w:szCs w:val="20"/>
          <w:color w:val="auto"/>
        </w:rPr>
      </w:pPr>
      <w:r>
        <w:rPr>
          <w:rFonts w:ascii="Times New Roman" w:cs="Times New Roman" w:eastAsia="Times New Roman" w:hAnsi="Times New Roman"/>
          <w:sz w:val="18"/>
          <w:szCs w:val="18"/>
          <w:color w:val="auto"/>
        </w:rPr>
        <w:t>Division of Corporation Finance</w:t>
      </w:r>
    </w:p>
    <w:p>
      <w:pPr>
        <w:spacing w:after="0" w:line="234" w:lineRule="auto"/>
        <w:rPr>
          <w:sz w:val="20"/>
          <w:szCs w:val="20"/>
          <w:color w:val="auto"/>
        </w:rPr>
      </w:pPr>
      <w:r>
        <w:rPr>
          <w:rFonts w:ascii="Times New Roman" w:cs="Times New Roman" w:eastAsia="Times New Roman" w:hAnsi="Times New Roman"/>
          <w:sz w:val="18"/>
          <w:szCs w:val="18"/>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21"/>
          <w:szCs w:val="21"/>
          <w:b w:val="1"/>
          <w:bCs w:val="1"/>
          <w:color w:val="auto"/>
        </w:rPr>
        <w:t>Cumberland Pharmaceuticals, Inc.</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File Number 333-276052</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EFFECTIVENESS</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39" w:lineRule="exact"/>
        <w:rPr>
          <w:sz w:val="24"/>
          <w:szCs w:val="24"/>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Cumberland Pharmaceuticals, Inc. (the “Registrant”) hereby requests acceleration of the registration statement on Form S-3 (File No. 333-276052) to 4:00 p.m., Eastern Time, on December 26, 2023 or as soon as practicable thereafter.</w:t>
      </w:r>
    </w:p>
    <w:p>
      <w:pPr>
        <w:spacing w:after="0" w:line="20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this request, the Registrant acknowledges that:</w:t>
      </w:r>
    </w:p>
    <w:p>
      <w:pPr>
        <w:spacing w:after="0" w:line="279" w:lineRule="exact"/>
        <w:rPr>
          <w:sz w:val="24"/>
          <w:szCs w:val="24"/>
          <w:color w:val="auto"/>
        </w:rPr>
      </w:pPr>
    </w:p>
    <w:p>
      <w:pPr>
        <w:ind w:left="660" w:hanging="328"/>
        <w:spacing w:after="0" w:line="227"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253"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253"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Registrant may not assert this action as a defense in any proceeding initiated by the Commission or any person under the federal securities laws of the United States.</w:t>
      </w:r>
    </w:p>
    <w:p>
      <w:pPr>
        <w:spacing w:after="0" w:line="213" w:lineRule="exact"/>
        <w:rPr>
          <w:sz w:val="24"/>
          <w:szCs w:val="24"/>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Please contact our legal counsel, Tonya Mitchem Grindon, of Baker, Donelson, Bearman, Caldwell &amp; Berkowitz, PC, at (615) 726-5607, if you have any questions concerning this request.</w:t>
      </w:r>
    </w:p>
    <w:p>
      <w:pPr>
        <w:spacing w:after="0" w:line="20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00" w:lineRule="exact"/>
        <w:rPr>
          <w:sz w:val="24"/>
          <w:szCs w:val="24"/>
          <w:color w:val="auto"/>
        </w:rPr>
      </w:pPr>
    </w:p>
    <w:p>
      <w:pPr>
        <w:spacing w:after="0" w:line="2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u w:val="single" w:color="auto"/>
          <w:color w:val="auto"/>
        </w:rPr>
        <w:t>/s/ John Hamm</w:t>
      </w:r>
    </w:p>
    <w:p>
      <w:pPr>
        <w:spacing w:after="0" w:line="3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John Hamm</w:t>
      </w:r>
    </w:p>
    <w:p>
      <w:pPr>
        <w:spacing w:after="0" w:line="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2024-01-29T00:15:12Z</dcterms:created>
  <dcterms:modified xsi:type="dcterms:W3CDTF">2024-01-29T00:15:12Z</dcterms:modified>
</cp:coreProperties>
</file>