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50" w:lineRule="exact"/>
        <w:rPr>
          <w:sz w:val="24"/>
          <w:szCs w:val="24"/>
          <w:color w:val="auto"/>
        </w:rPr>
      </w:pPr>
    </w:p>
    <w:p>
      <w:pPr>
        <w:ind w:left="580" w:hanging="248"/>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7" w:lineRule="exact"/>
        <w:rPr>
          <w:rFonts w:ascii="Wingdings" w:cs="Wingdings" w:eastAsia="Wingdings" w:hAnsi="Wingdings"/>
          <w:sz w:val="18"/>
          <w:szCs w:val="18"/>
          <w:b w:val="1"/>
          <w:bCs w:val="1"/>
          <w:color w:val="auto"/>
        </w:rPr>
      </w:pPr>
    </w:p>
    <w:p>
      <w:pPr>
        <w:ind w:left="580" w:hanging="248"/>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Wingdings" w:cs="Wingdings" w:eastAsia="Wingdings" w:hAnsi="Wingdings"/>
          <w:sz w:val="18"/>
          <w:szCs w:val="18"/>
          <w:b w:val="1"/>
          <w:bCs w:val="1"/>
          <w:color w:val="auto"/>
        </w:rPr>
      </w:pPr>
    </w:p>
    <w:p>
      <w:pPr>
        <w:ind w:left="580" w:hanging="248"/>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4" w:lineRule="exact"/>
        <w:rPr>
          <w:sz w:val="24"/>
          <w:szCs w:val="24"/>
          <w:color w:val="auto"/>
        </w:rPr>
      </w:pPr>
    </w:p>
    <w:p>
      <w:pPr>
        <w:ind w:left="580" w:hanging="248"/>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 w:lineRule="exact"/>
        <w:rPr>
          <w:sz w:val="24"/>
          <w:szCs w:val="24"/>
          <w:color w:val="auto"/>
        </w:rPr>
      </w:pPr>
    </w:p>
    <w:p>
      <w:pPr>
        <w:ind w:left="580" w:hanging="248"/>
        <w:spacing w:after="0"/>
        <w:tabs>
          <w:tab w:leader="none" w:pos="5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§240.14a-12</w:t>
      </w:r>
    </w:p>
    <w:p>
      <w:pPr>
        <w:spacing w:after="0" w:line="97" w:lineRule="exact"/>
        <w:rPr>
          <w:sz w:val="24"/>
          <w:szCs w:val="24"/>
          <w:color w:val="auto"/>
        </w:rPr>
      </w:pPr>
    </w:p>
    <w:p>
      <w:pPr>
        <w:jc w:val="right"/>
        <w:ind w:right="1239"/>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Payment of Filing Fee </w:t>
      </w:r>
      <w:r>
        <w:rPr>
          <w:rFonts w:ascii="Times New Roman" w:cs="Times New Roman" w:eastAsia="Times New Roman" w:hAnsi="Times New Roman"/>
          <w:sz w:val="16"/>
          <w:szCs w:val="16"/>
          <w:color w:val="auto"/>
        </w:rPr>
        <w:t>(Check the appropriate box):</w:t>
      </w:r>
    </w:p>
    <w:p>
      <w:pPr>
        <w:spacing w:after="0" w:line="200" w:lineRule="exact"/>
        <w:rPr>
          <w:sz w:val="24"/>
          <w:szCs w:val="24"/>
          <w:color w:val="auto"/>
        </w:rPr>
      </w:pPr>
    </w:p>
    <w:p>
      <w:pPr>
        <w:spacing w:after="0" w:line="201" w:lineRule="exact"/>
        <w:rPr>
          <w:sz w:val="24"/>
          <w:szCs w:val="24"/>
          <w:color w:val="auto"/>
        </w:rPr>
      </w:pPr>
    </w:p>
    <w:p>
      <w:pPr>
        <w:ind w:left="580" w:hanging="248"/>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sz w:val="24"/>
          <w:szCs w:val="24"/>
          <w:color w:val="auto"/>
        </w:rPr>
      </w:pPr>
    </w:p>
    <w:p>
      <w:pPr>
        <w:ind w:left="580" w:hanging="248"/>
        <w:spacing w:after="0"/>
        <w:tabs>
          <w:tab w:leader="none" w:pos="5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Wingdings" w:cs="Wingdings" w:eastAsia="Wingdings" w:hAnsi="Wingdings"/>
          <w:sz w:val="18"/>
          <w:szCs w:val="18"/>
          <w:b w:val="1"/>
          <w:bCs w:val="1"/>
          <w:color w:val="auto"/>
        </w:rPr>
      </w:pPr>
    </w:p>
    <w:p>
      <w:pPr>
        <w:ind w:left="580" w:hanging="248"/>
        <w:spacing w:after="0"/>
        <w:tabs>
          <w:tab w:leader="none" w:pos="5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139"/>
          </w:cols>
          <w:pgMar w:left="320" w:top="1019" w:right="1440" w:bottom="1440" w:gutter="0" w:footer="0" w:header="0"/>
        </w:sectPr>
      </w:pPr>
    </w:p>
    <w:bookmarkStart w:id="1" w:name="page2"/>
    <w:bookmarkEnd w:id="1"/>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2419985</wp:posOffset>
            </wp:positionH>
            <wp:positionV relativeFrom="page">
              <wp:posOffset>243205</wp:posOffset>
            </wp:positionV>
            <wp:extent cx="270891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08910" cy="617220"/>
                    </a:xfrm>
                    <a:prstGeom prst="rect">
                      <a:avLst/>
                    </a:prstGeom>
                    <a:noFill/>
                  </pic:spPr>
                </pic:pic>
              </a:graphicData>
            </a:graphic>
          </wp:anchor>
        </w:drawing>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a shareholder of Cumberland Pharmaceuticals Inc. you have the option of voting your shares electronically through the Internet, eliminating the need to return the proxy card. Your electronic vote authorizes the named proxies to vote your shares in the same manner as if you marked, signed, dated and returned the proxy card. Votes submitted electronically over the Internet or by mobile device must be received by 11:59 p.m., Eastern Time, on April 20, 2026.</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60" w:type="dxa"/>
            <w:vAlign w:val="bottom"/>
            <w:tcBorders>
              <w:top w:val="single" w:sz="8" w:color="auto"/>
              <w:left w:val="single" w:sz="8" w:color="auto"/>
              <w:bottom w:val="single" w:sz="8" w:color="auto"/>
            </w:tcBorders>
          </w:tcPr>
          <w:p>
            <w:pPr>
              <w:spacing w:after="0"/>
              <w:rPr>
                <w:sz w:val="14"/>
                <w:szCs w:val="14"/>
                <w:color w:val="auto"/>
              </w:rPr>
            </w:pPr>
          </w:p>
        </w:tc>
        <w:tc>
          <w:tcPr>
            <w:tcW w:w="24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24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21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0" w:type="dxa"/>
            <w:vAlign w:val="bottom"/>
            <w:tcBorders>
              <w:left w:val="single" w:sz="8" w:color="auto"/>
            </w:tcBorders>
          </w:tcPr>
          <w:p>
            <w:pPr>
              <w:spacing w:after="0"/>
              <w:rPr>
                <w:sz w:val="15"/>
                <w:szCs w:val="15"/>
                <w:color w:val="auto"/>
              </w:rPr>
            </w:pPr>
          </w:p>
        </w:tc>
        <w:tc>
          <w:tcPr>
            <w:tcW w:w="242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w w:val="97"/>
              </w:rPr>
              <w:t>Vote Your Proxy on the Internet:</w:t>
            </w:r>
          </w:p>
        </w:tc>
        <w:tc>
          <w:tcPr>
            <w:tcW w:w="46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9"/>
                <w:szCs w:val="29"/>
                <w:b w:val="1"/>
                <w:bCs w:val="1"/>
                <w:color w:val="auto"/>
              </w:rPr>
              <w:t>OR</w:t>
            </w:r>
          </w:p>
        </w:tc>
        <w:tc>
          <w:tcPr>
            <w:tcW w:w="420" w:type="dxa"/>
            <w:vAlign w:val="bottom"/>
          </w:tcPr>
          <w:p>
            <w:pPr>
              <w:spacing w:after="0"/>
              <w:rPr>
                <w:sz w:val="15"/>
                <w:szCs w:val="15"/>
                <w:color w:val="auto"/>
              </w:rPr>
            </w:pPr>
          </w:p>
        </w:tc>
        <w:tc>
          <w:tcPr>
            <w:tcW w:w="2900" w:type="dxa"/>
            <w:vAlign w:val="bottom"/>
            <w:tcBorders>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Vote Your Proxy on your Mobile:</w:t>
            </w:r>
          </w:p>
        </w:tc>
        <w:tc>
          <w:tcPr>
            <w:tcW w:w="7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9"/>
                <w:szCs w:val="29"/>
                <w:b w:val="1"/>
                <w:bCs w:val="1"/>
                <w:color w:val="auto"/>
              </w:rPr>
              <w:t>OR</w:t>
            </w:r>
          </w:p>
        </w:tc>
        <w:tc>
          <w:tcPr>
            <w:tcW w:w="3200" w:type="dxa"/>
            <w:vAlign w:val="bottom"/>
            <w:tcBorders>
              <w:right w:val="single" w:sz="8" w:color="auto"/>
            </w:tcBorders>
            <w:gridSpan w:val="3"/>
          </w:tcPr>
          <w:p>
            <w:pPr>
              <w:ind w:left="50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Vote Your Proxy via the mail:</w:t>
            </w:r>
          </w:p>
        </w:tc>
        <w:tc>
          <w:tcPr>
            <w:tcW w:w="0" w:type="dxa"/>
            <w:vAlign w:val="bottom"/>
          </w:tcPr>
          <w:p>
            <w:pPr>
              <w:spacing w:after="0"/>
              <w:rPr>
                <w:sz w:val="1"/>
                <w:szCs w:val="1"/>
                <w:color w:val="auto"/>
              </w:rPr>
            </w:pPr>
          </w:p>
        </w:tc>
      </w:tr>
      <w:tr>
        <w:trPr>
          <w:trHeight w:val="20"/>
        </w:trPr>
        <w:tc>
          <w:tcPr>
            <w:tcW w:w="460" w:type="dxa"/>
            <w:vAlign w:val="bottom"/>
            <w:tcBorders>
              <w:left w:val="single" w:sz="8" w:color="auto"/>
            </w:tcBorders>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34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Go to www.cstproxyvote.com</w:t>
            </w:r>
          </w:p>
        </w:tc>
        <w:tc>
          <w:tcPr>
            <w:tcW w:w="700" w:type="dxa"/>
            <w:vAlign w:val="bottom"/>
            <w:tcBorders>
              <w:right w:val="single" w:sz="8" w:color="auto"/>
            </w:tcBorders>
            <w:vMerge w:val="continue"/>
          </w:tcPr>
          <w:p>
            <w:pPr>
              <w:spacing w:after="0"/>
              <w:rPr>
                <w:sz w:val="24"/>
                <w:szCs w:val="24"/>
                <w:color w:val="auto"/>
              </w:rPr>
            </w:pPr>
          </w:p>
        </w:tc>
        <w:tc>
          <w:tcPr>
            <w:tcW w:w="4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40" w:type="dxa"/>
            <w:vAlign w:val="bottom"/>
            <w:tcBorders>
              <w:left w:val="single" w:sz="8" w:color="auto"/>
              <w:right w:val="single" w:sz="8" w:color="auto"/>
            </w:tcBorders>
            <w:gridSpan w:val="3"/>
            <w:vMerge w:val="continue"/>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34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Have your proxy card available when you</w:t>
            </w:r>
          </w:p>
        </w:tc>
        <w:tc>
          <w:tcPr>
            <w:tcW w:w="700" w:type="dxa"/>
            <w:vAlign w:val="bottom"/>
            <w:tcBorders>
              <w:right w:val="single" w:sz="8" w:color="auto"/>
            </w:tcBorders>
          </w:tcPr>
          <w:p>
            <w:pPr>
              <w:spacing w:after="0"/>
              <w:rPr>
                <w:sz w:val="24"/>
                <w:szCs w:val="24"/>
                <w:color w:val="auto"/>
              </w:rPr>
            </w:pPr>
          </w:p>
        </w:tc>
        <w:tc>
          <w:tcPr>
            <w:tcW w:w="33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On your Smartphone/Tablet, open the QR</w:t>
            </w:r>
          </w:p>
        </w:tc>
        <w:tc>
          <w:tcPr>
            <w:tcW w:w="700" w:type="dxa"/>
            <w:vAlign w:val="bottom"/>
            <w:tcBorders>
              <w:right w:val="single" w:sz="8" w:color="auto"/>
            </w:tcBorders>
          </w:tcPr>
          <w:p>
            <w:pPr>
              <w:spacing w:after="0"/>
              <w:rPr>
                <w:sz w:val="24"/>
                <w:szCs w:val="24"/>
                <w:color w:val="auto"/>
              </w:rPr>
            </w:pPr>
          </w:p>
        </w:tc>
        <w:tc>
          <w:tcPr>
            <w:tcW w:w="32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Mark, sign, and date your proxy card, then</w:t>
            </w:r>
          </w:p>
        </w:tc>
        <w:tc>
          <w:tcPr>
            <w:tcW w:w="0" w:type="dxa"/>
            <w:vAlign w:val="bottom"/>
          </w:tcPr>
          <w:p>
            <w:pPr>
              <w:spacing w:after="0"/>
              <w:rPr>
                <w:sz w:val="1"/>
                <w:szCs w:val="1"/>
                <w:color w:val="auto"/>
              </w:rPr>
            </w:pPr>
          </w:p>
        </w:tc>
      </w:tr>
      <w:tr>
        <w:trPr>
          <w:trHeight w:val="180"/>
        </w:trPr>
        <w:tc>
          <w:tcPr>
            <w:tcW w:w="3340" w:type="dxa"/>
            <w:vAlign w:val="bottom"/>
            <w:tcBorders>
              <w:left w:val="single" w:sz="8" w:color="auto"/>
              <w:right w:val="single" w:sz="8" w:color="auto"/>
            </w:tcBorders>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access the above website. Follow the</w:t>
            </w:r>
          </w:p>
        </w:tc>
        <w:tc>
          <w:tcPr>
            <w:tcW w:w="700" w:type="dxa"/>
            <w:vAlign w:val="bottom"/>
            <w:tcBorders>
              <w:right w:val="single" w:sz="8" w:color="auto"/>
            </w:tcBorders>
          </w:tcPr>
          <w:p>
            <w:pPr>
              <w:spacing w:after="0"/>
              <w:rPr>
                <w:sz w:val="15"/>
                <w:szCs w:val="15"/>
                <w:color w:val="auto"/>
              </w:rPr>
            </w:pPr>
          </w:p>
        </w:tc>
        <w:tc>
          <w:tcPr>
            <w:tcW w:w="3320" w:type="dxa"/>
            <w:vAlign w:val="bottom"/>
            <w:tcBorders>
              <w:right w:val="single" w:sz="8" w:color="auto"/>
            </w:tcBorders>
            <w:gridSpan w:val="3"/>
          </w:tcPr>
          <w:p>
            <w:pPr>
              <w:spacing w:after="0" w:line="181" w:lineRule="exact"/>
              <w:rPr>
                <w:sz w:val="20"/>
                <w:szCs w:val="20"/>
                <w:color w:val="auto"/>
              </w:rPr>
            </w:pPr>
            <w:r>
              <w:rPr>
                <w:rFonts w:ascii="Times New Roman" w:cs="Times New Roman" w:eastAsia="Times New Roman" w:hAnsi="Times New Roman"/>
                <w:sz w:val="18"/>
                <w:szCs w:val="18"/>
                <w:color w:val="auto"/>
              </w:rPr>
              <w:t>Reader and scan the below image. Once the</w:t>
            </w:r>
          </w:p>
        </w:tc>
        <w:tc>
          <w:tcPr>
            <w:tcW w:w="700" w:type="dxa"/>
            <w:vAlign w:val="bottom"/>
            <w:tcBorders>
              <w:right w:val="single" w:sz="8" w:color="auto"/>
            </w:tcBorders>
          </w:tcPr>
          <w:p>
            <w:pPr>
              <w:spacing w:after="0"/>
              <w:rPr>
                <w:sz w:val="15"/>
                <w:szCs w:val="15"/>
                <w:color w:val="auto"/>
              </w:rPr>
            </w:pPr>
          </w:p>
        </w:tc>
        <w:tc>
          <w:tcPr>
            <w:tcW w:w="3200" w:type="dxa"/>
            <w:vAlign w:val="bottom"/>
            <w:tcBorders>
              <w:right w:val="single" w:sz="8" w:color="auto"/>
            </w:tcBorders>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detach it, and return it in the postage-paid</w:t>
            </w:r>
          </w:p>
        </w:tc>
        <w:tc>
          <w:tcPr>
            <w:tcW w:w="0" w:type="dxa"/>
            <w:vAlign w:val="bottom"/>
          </w:tcPr>
          <w:p>
            <w:pPr>
              <w:spacing w:after="0"/>
              <w:rPr>
                <w:sz w:val="1"/>
                <w:szCs w:val="1"/>
                <w:color w:val="auto"/>
              </w:rPr>
            </w:pPr>
          </w:p>
        </w:tc>
      </w:tr>
      <w:tr>
        <w:trPr>
          <w:trHeight w:val="176"/>
        </w:trPr>
        <w:tc>
          <w:tcPr>
            <w:tcW w:w="3340" w:type="dxa"/>
            <w:vAlign w:val="bottom"/>
            <w:tcBorders>
              <w:left w:val="single" w:sz="8" w:color="auto"/>
              <w:right w:val="single" w:sz="8" w:color="auto"/>
            </w:tcBorders>
            <w:gridSpan w:val="3"/>
          </w:tcPr>
          <w:p>
            <w:pPr>
              <w:ind w:left="40"/>
              <w:spacing w:after="0" w:line="176" w:lineRule="exact"/>
              <w:rPr>
                <w:sz w:val="20"/>
                <w:szCs w:val="20"/>
                <w:color w:val="auto"/>
              </w:rPr>
            </w:pPr>
            <w:r>
              <w:rPr>
                <w:rFonts w:ascii="Times New Roman" w:cs="Times New Roman" w:eastAsia="Times New Roman" w:hAnsi="Times New Roman"/>
                <w:sz w:val="18"/>
                <w:szCs w:val="18"/>
                <w:color w:val="auto"/>
              </w:rPr>
              <w:t>prompts to vote your shares.</w:t>
            </w:r>
          </w:p>
        </w:tc>
        <w:tc>
          <w:tcPr>
            <w:tcW w:w="700" w:type="dxa"/>
            <w:vAlign w:val="bottom"/>
            <w:tcBorders>
              <w:right w:val="single" w:sz="8" w:color="auto"/>
            </w:tcBorders>
          </w:tcPr>
          <w:p>
            <w:pPr>
              <w:spacing w:after="0"/>
              <w:rPr>
                <w:sz w:val="15"/>
                <w:szCs w:val="15"/>
                <w:color w:val="auto"/>
              </w:rPr>
            </w:pPr>
          </w:p>
        </w:tc>
        <w:tc>
          <w:tcPr>
            <w:tcW w:w="3320" w:type="dxa"/>
            <w:vAlign w:val="bottom"/>
            <w:tcBorders>
              <w:right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voting site is displayed, enter your Control</w:t>
            </w:r>
          </w:p>
        </w:tc>
        <w:tc>
          <w:tcPr>
            <w:tcW w:w="700" w:type="dxa"/>
            <w:vAlign w:val="bottom"/>
            <w:tcBorders>
              <w:right w:val="single" w:sz="8" w:color="auto"/>
            </w:tcBorders>
          </w:tcPr>
          <w:p>
            <w:pPr>
              <w:spacing w:after="0"/>
              <w:rPr>
                <w:sz w:val="15"/>
                <w:szCs w:val="15"/>
                <w:color w:val="auto"/>
              </w:rPr>
            </w:pPr>
          </w:p>
        </w:tc>
        <w:tc>
          <w:tcPr>
            <w:tcW w:w="3200" w:type="dxa"/>
            <w:vAlign w:val="bottom"/>
            <w:tcBorders>
              <w:right w:val="single" w:sz="8" w:color="auto"/>
            </w:tcBorders>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envelope provided.</w:t>
            </w:r>
          </w:p>
        </w:tc>
        <w:tc>
          <w:tcPr>
            <w:tcW w:w="0" w:type="dxa"/>
            <w:vAlign w:val="bottom"/>
          </w:tcPr>
          <w:p>
            <w:pPr>
              <w:spacing w:after="0"/>
              <w:rPr>
                <w:sz w:val="1"/>
                <w:szCs w:val="1"/>
                <w:color w:val="auto"/>
              </w:rPr>
            </w:pPr>
          </w:p>
        </w:tc>
      </w:tr>
      <w:tr>
        <w:trPr>
          <w:trHeight w:val="184"/>
        </w:trPr>
        <w:tc>
          <w:tcPr>
            <w:tcW w:w="460" w:type="dxa"/>
            <w:vAlign w:val="bottom"/>
            <w:tcBorders>
              <w:left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3320" w:type="dxa"/>
            <w:vAlign w:val="bottom"/>
            <w:tcBorders>
              <w:right w:val="single" w:sz="8" w:color="auto"/>
            </w:tcBorders>
            <w:gridSpan w:val="3"/>
          </w:tcPr>
          <w:p>
            <w:pPr>
              <w:spacing w:after="0" w:line="184" w:lineRule="exact"/>
              <w:rPr>
                <w:sz w:val="20"/>
                <w:szCs w:val="20"/>
                <w:color w:val="auto"/>
              </w:rPr>
            </w:pPr>
            <w:r>
              <w:rPr>
                <w:rFonts w:ascii="Times New Roman" w:cs="Times New Roman" w:eastAsia="Times New Roman" w:hAnsi="Times New Roman"/>
                <w:sz w:val="18"/>
                <w:szCs w:val="18"/>
                <w:color w:val="auto"/>
              </w:rPr>
              <w:t>Number from the proxy card and vote your</w:t>
            </w:r>
          </w:p>
        </w:tc>
        <w:tc>
          <w:tcPr>
            <w:tcW w:w="70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60" w:type="dxa"/>
            <w:vAlign w:val="bottom"/>
            <w:tcBorders>
              <w:left w:val="single" w:sz="8" w:color="auto"/>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Borders>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PLEASE DO NOT RETURN THE PROXY CARD IF YOU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-157480</wp:posOffset>
            </wp:positionV>
            <wp:extent cx="4260215" cy="360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60215" cy="360045"/>
                    </a:xfrm>
                    <a:prstGeom prst="rect">
                      <a:avLst/>
                    </a:prstGeom>
                    <a:noFill/>
                  </pic:spPr>
                </pic:pic>
              </a:graphicData>
            </a:graphic>
          </wp:anchor>
        </w:drawing>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VOTING ELECTRONICALLY OR BY PHONE</w:t>
      </w:r>
    </w:p>
    <w:p>
      <w:pPr>
        <w:spacing w:after="0" w:line="354" w:lineRule="exact"/>
        <w:rPr>
          <w:sz w:val="20"/>
          <w:szCs w:val="20"/>
          <w:color w:val="auto"/>
        </w:rPr>
      </w:pPr>
    </w:p>
    <w:p>
      <w:pPr>
        <w:jc w:val="center"/>
        <w:ind w:right="20"/>
        <w:spacing w:after="0"/>
        <w:rPr>
          <w:sz w:val="20"/>
          <w:szCs w:val="20"/>
          <w:color w:val="auto"/>
        </w:rPr>
      </w:pPr>
      <w:r>
        <w:rPr>
          <w:rFonts w:ascii="Wingdings" w:cs="Wingdings" w:eastAsia="Wingdings" w:hAnsi="Wingdings"/>
          <w:sz w:val="16"/>
          <w:szCs w:val="16"/>
          <w:b w:val="1"/>
          <w:bCs w:val="1"/>
          <w:color w:val="auto"/>
        </w:rPr>
        <w:t>Ú</w:t>
      </w:r>
      <w:r>
        <w:rPr>
          <w:rFonts w:ascii="Times New Roman" w:cs="Times New Roman" w:eastAsia="Times New Roman" w:hAnsi="Times New Roman"/>
          <w:sz w:val="16"/>
          <w:szCs w:val="16"/>
          <w:b w:val="1"/>
          <w:bCs w:val="1"/>
          <w:color w:val="auto"/>
        </w:rPr>
        <w:t>FOLD AND DETACH HERE AND READ THE REVERSE SIDE</w:t>
      </w:r>
      <w:r>
        <w:rPr>
          <w:rFonts w:ascii="Wingdings" w:cs="Wingdings" w:eastAsia="Wingdings" w:hAnsi="Wingdings"/>
          <w:sz w:val="16"/>
          <w:szCs w:val="16"/>
          <w:b w:val="1"/>
          <w:bCs w:val="1"/>
          <w:color w:val="auto"/>
        </w:rPr>
        <w:t xml:space="preserve"> Ú</w:t>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PROXY</w:t>
      </w:r>
    </w:p>
    <w:p>
      <w:pPr>
        <w:sectPr>
          <w:pgSz w:w="11900" w:h="16838" w:orient="portrait"/>
          <w:cols w:equalWidth="0" w:num="1">
            <w:col w:w="11260"/>
          </w:cols>
          <w:pgMar w:left="320" w:top="1440" w:right="319" w:bottom="1440" w:gutter="0" w:footer="0" w:header="0"/>
        </w:sectPr>
      </w:pPr>
    </w:p>
    <w:p>
      <w:pPr>
        <w:spacing w:after="0" w:line="134" w:lineRule="exact"/>
        <w:rPr>
          <w:sz w:val="20"/>
          <w:szCs w:val="20"/>
          <w:color w:val="auto"/>
        </w:rPr>
      </w:pPr>
    </w:p>
    <w:p>
      <w:pPr>
        <w:ind w:left="20" w:right="420"/>
        <w:spacing w:after="0" w:line="225"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by the undersigned shareholder. If no direction is made, this Proxy will be voted FOR Proposals 1, 2, 3 AND Every Three Years for Proposal 4. The</w:t>
      </w:r>
    </w:p>
    <w:p>
      <w:pPr>
        <w:ind w:left="20"/>
        <w:spacing w:after="0"/>
        <w:rPr>
          <w:sz w:val="20"/>
          <w:szCs w:val="20"/>
          <w:color w:val="auto"/>
        </w:rPr>
      </w:pPr>
      <w:r>
        <w:rPr>
          <w:rFonts w:ascii="Times New Roman" w:cs="Times New Roman" w:eastAsia="Times New Roman" w:hAnsi="Times New Roman"/>
          <w:sz w:val="18"/>
          <w:szCs w:val="18"/>
          <w:b w:val="1"/>
          <w:bCs w:val="1"/>
          <w:color w:val="auto"/>
        </w:rPr>
        <w:t>Board recommends a vote FOR Proposals 1,2,3 AND Every Three Years for Proposal 4.</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For the election as directors of the nominees</w:t>
            </w:r>
          </w:p>
        </w:tc>
        <w:tc>
          <w:tcPr>
            <w:tcW w:w="90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3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w w:val="98"/>
              </w:rPr>
              <w:t xml:space="preserve">2. </w:t>
            </w:r>
            <w:r>
              <w:rPr>
                <w:rFonts w:ascii="Times New Roman" w:cs="Times New Roman" w:eastAsia="Times New Roman" w:hAnsi="Times New Roman"/>
                <w:sz w:val="18"/>
                <w:szCs w:val="18"/>
                <w:color w:val="auto"/>
                <w:w w:val="98"/>
              </w:rPr>
              <w:t>To ratify the appointment of Carr, Riggs &amp;</w:t>
            </w:r>
          </w:p>
        </w:tc>
        <w:tc>
          <w:tcPr>
            <w:tcW w:w="0" w:type="dxa"/>
            <w:vAlign w:val="bottom"/>
          </w:tcPr>
          <w:p>
            <w:pPr>
              <w:spacing w:after="0"/>
              <w:rPr>
                <w:sz w:val="1"/>
                <w:szCs w:val="1"/>
                <w:color w:val="auto"/>
              </w:rPr>
            </w:pPr>
          </w:p>
        </w:tc>
      </w:tr>
      <w:tr>
        <w:trPr>
          <w:trHeight w:val="146"/>
        </w:trPr>
        <w:tc>
          <w:tcPr>
            <w:tcW w:w="3680" w:type="dxa"/>
            <w:vAlign w:val="bottom"/>
            <w:vMerge w:val="continue"/>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FOR </w:t>
            </w:r>
            <w:r>
              <w:rPr>
                <w:rFonts w:ascii="Times New Roman" w:cs="Times New Roman" w:eastAsia="Times New Roman" w:hAnsi="Times New Roman"/>
                <w:sz w:val="14"/>
                <w:szCs w:val="14"/>
                <w:color w:val="auto"/>
              </w:rPr>
              <w:t>all</w:t>
            </w: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xml:space="preserve">AUTHORITY </w:t>
            </w:r>
            <w:r>
              <w:rPr>
                <w:rFonts w:ascii="Times New Roman" w:cs="Times New Roman" w:eastAsia="Times New Roman" w:hAnsi="Times New Roman"/>
                <w:sz w:val="14"/>
                <w:szCs w:val="14"/>
                <w:color w:val="auto"/>
              </w:rPr>
              <w:t>to</w:t>
            </w:r>
          </w:p>
        </w:tc>
        <w:tc>
          <w:tcPr>
            <w:tcW w:w="3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Times New Roman" w:cs="Times New Roman" w:eastAsia="Times New Roman" w:hAnsi="Times New Roman"/>
                <w:sz w:val="15"/>
                <w:szCs w:val="15"/>
                <w:color w:val="auto"/>
              </w:rPr>
              <w:t>listed below, except to the extent that authority is</w:t>
            </w:r>
          </w:p>
        </w:tc>
        <w:tc>
          <w:tcPr>
            <w:tcW w:w="900" w:type="dxa"/>
            <w:vAlign w:val="bottom"/>
            <w:vMerge w:val="continue"/>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vote (except as</w:t>
            </w:r>
          </w:p>
        </w:tc>
        <w:tc>
          <w:tcPr>
            <w:tcW w:w="3400" w:type="dxa"/>
            <w:vAlign w:val="bottom"/>
          </w:tcPr>
          <w:p>
            <w:pPr>
              <w:ind w:left="140"/>
              <w:spacing w:after="0" w:line="135" w:lineRule="exact"/>
              <w:rPr>
                <w:sz w:val="20"/>
                <w:szCs w:val="20"/>
                <w:color w:val="auto"/>
              </w:rPr>
            </w:pPr>
            <w:r>
              <w:rPr>
                <w:rFonts w:ascii="Times New Roman" w:cs="Times New Roman" w:eastAsia="Times New Roman" w:hAnsi="Times New Roman"/>
                <w:sz w:val="15"/>
                <w:szCs w:val="15"/>
                <w:color w:val="auto"/>
              </w:rPr>
              <w:t>Ingram, L.L.C. as independent registered</w:t>
            </w:r>
          </w:p>
        </w:tc>
        <w:tc>
          <w:tcPr>
            <w:tcW w:w="0" w:type="dxa"/>
            <w:vAlign w:val="bottom"/>
          </w:tcPr>
          <w:p>
            <w:pPr>
              <w:spacing w:after="0"/>
              <w:rPr>
                <w:sz w:val="1"/>
                <w:szCs w:val="1"/>
                <w:color w:val="auto"/>
              </w:rPr>
            </w:pPr>
          </w:p>
        </w:tc>
      </w:tr>
      <w:tr>
        <w:trPr>
          <w:trHeight w:val="81"/>
        </w:trPr>
        <w:tc>
          <w:tcPr>
            <w:tcW w:w="3680" w:type="dxa"/>
            <w:vAlign w:val="bottom"/>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specifically withheld.</w:t>
            </w:r>
          </w:p>
        </w:tc>
        <w:tc>
          <w:tcPr>
            <w:tcW w:w="90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auto"/>
              </w:rPr>
              <w:t>Nominees</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marked to the</w:t>
            </w:r>
          </w:p>
        </w:tc>
        <w:tc>
          <w:tcPr>
            <w:tcW w:w="3400" w:type="dxa"/>
            <w:vAlign w:val="bottom"/>
            <w:vMerge w:val="restart"/>
          </w:tcPr>
          <w:p>
            <w:pPr>
              <w:ind w:left="140"/>
              <w:spacing w:after="0" w:line="176" w:lineRule="exact"/>
              <w:rPr>
                <w:sz w:val="20"/>
                <w:szCs w:val="20"/>
                <w:color w:val="auto"/>
              </w:rPr>
            </w:pPr>
            <w:r>
              <w:rPr>
                <w:rFonts w:ascii="Times New Roman" w:cs="Times New Roman" w:eastAsia="Times New Roman" w:hAnsi="Times New Roman"/>
                <w:sz w:val="18"/>
                <w:szCs w:val="18"/>
                <w:color w:val="auto"/>
              </w:rPr>
              <w:t>accounting firm of the Company for fiscal</w:t>
            </w:r>
          </w:p>
        </w:tc>
        <w:tc>
          <w:tcPr>
            <w:tcW w:w="0" w:type="dxa"/>
            <w:vAlign w:val="bottom"/>
          </w:tcPr>
          <w:p>
            <w:pPr>
              <w:spacing w:after="0"/>
              <w:rPr>
                <w:sz w:val="1"/>
                <w:szCs w:val="1"/>
                <w:color w:val="auto"/>
              </w:rPr>
            </w:pPr>
          </w:p>
        </w:tc>
      </w:tr>
      <w:tr>
        <w:trPr>
          <w:trHeight w:val="95"/>
        </w:trPr>
        <w:tc>
          <w:tcPr>
            <w:tcW w:w="3680" w:type="dxa"/>
            <w:vAlign w:val="bottom"/>
            <w:vMerge w:val="continue"/>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listed to the</w:t>
            </w:r>
          </w:p>
        </w:tc>
        <w:tc>
          <w:tcPr>
            <w:tcW w:w="1260" w:type="dxa"/>
            <w:vAlign w:val="bottom"/>
            <w:vMerge w:val="continue"/>
          </w:tcPr>
          <w:p>
            <w:pPr>
              <w:spacing w:after="0"/>
              <w:rPr>
                <w:sz w:val="8"/>
                <w:szCs w:val="8"/>
                <w:color w:val="auto"/>
              </w:rPr>
            </w:pPr>
          </w:p>
        </w:tc>
        <w:tc>
          <w:tcPr>
            <w:tcW w:w="3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26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contrary for all</w:t>
            </w:r>
          </w:p>
        </w:tc>
        <w:tc>
          <w:tcPr>
            <w:tcW w:w="34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year ending December 31, 2026.</w:t>
            </w:r>
          </w:p>
        </w:tc>
        <w:tc>
          <w:tcPr>
            <w:tcW w:w="0" w:type="dxa"/>
            <w:vAlign w:val="bottom"/>
          </w:tcPr>
          <w:p>
            <w:pPr>
              <w:spacing w:after="0"/>
              <w:rPr>
                <w:sz w:val="1"/>
                <w:szCs w:val="1"/>
                <w:color w:val="auto"/>
              </w:rPr>
            </w:pPr>
          </w:p>
        </w:tc>
      </w:tr>
      <w:tr>
        <w:trPr>
          <w:trHeight w:val="139"/>
        </w:trPr>
        <w:tc>
          <w:tcPr>
            <w:tcW w:w="3680" w:type="dxa"/>
            <w:vAlign w:val="bottom"/>
          </w:tcPr>
          <w:p>
            <w:pPr>
              <w:spacing w:after="0"/>
              <w:rPr>
                <w:sz w:val="12"/>
                <w:szCs w:val="12"/>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6"/>
              </w:rPr>
              <w:t>left</w:t>
            </w:r>
          </w:p>
        </w:tc>
        <w:tc>
          <w:tcPr>
            <w:tcW w:w="12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nominees listed to</w:t>
            </w:r>
          </w:p>
        </w:tc>
        <w:tc>
          <w:tcPr>
            <w:tcW w:w="3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left</w:t>
            </w:r>
          </w:p>
        </w:tc>
        <w:tc>
          <w:tcPr>
            <w:tcW w:w="3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tabs>
          <w:tab w:leader="none" w:pos="540" w:val="left"/>
          <w:tab w:leader="none" w:pos="1200" w:val="left"/>
        </w:tabs>
        <w:rPr>
          <w:sz w:val="20"/>
          <w:szCs w:val="20"/>
          <w:color w:val="auto"/>
        </w:rPr>
      </w:pPr>
      <w:r>
        <w:rPr>
          <w:rFonts w:ascii="Times New Roman" w:cs="Times New Roman" w:eastAsia="Times New Roman" w:hAnsi="Times New Roman"/>
          <w:sz w:val="14"/>
          <w:szCs w:val="14"/>
          <w:b w:val="1"/>
          <w:bCs w:val="1"/>
          <w:color w:val="auto"/>
        </w:rPr>
        <w:t>For</w:t>
      </w:r>
      <w:r>
        <w:rPr>
          <w:sz w:val="20"/>
          <w:szCs w:val="20"/>
          <w:color w:val="auto"/>
        </w:rPr>
        <w:tab/>
      </w:r>
      <w:r>
        <w:rPr>
          <w:rFonts w:ascii="Times New Roman" w:cs="Times New Roman" w:eastAsia="Times New Roman" w:hAnsi="Times New Roman"/>
          <w:sz w:val="14"/>
          <w:szCs w:val="14"/>
          <w:b w:val="1"/>
          <w:bCs w:val="1"/>
          <w:color w:val="auto"/>
        </w:rPr>
        <w:t>Against</w:t>
        <w:tab/>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-471805</wp:posOffset>
            </wp:positionV>
            <wp:extent cx="702945" cy="282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28257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Wingdings" w:cs="Wingdings" w:eastAsia="Wingdings" w:hAnsi="Wingdings"/>
          <w:sz w:val="36"/>
          <w:szCs w:val="36"/>
          <w:b w:val="1"/>
          <w:bCs w:val="1"/>
          <w:color w:val="auto"/>
          <w:highlight w:val="black"/>
        </w:rPr>
        <w:t>o o o</w:t>
      </w:r>
    </w:p>
    <w:p>
      <w:pPr>
        <w:spacing w:after="0" w:line="333" w:lineRule="exact"/>
        <w:rPr>
          <w:sz w:val="20"/>
          <w:szCs w:val="20"/>
          <w:color w:val="auto"/>
        </w:rPr>
      </w:pPr>
    </w:p>
    <w:p>
      <w:pPr>
        <w:ind w:left="40"/>
        <w:spacing w:after="0"/>
        <w:tabs>
          <w:tab w:leader="none" w:pos="540" w:val="left"/>
          <w:tab w:leader="none" w:pos="1200" w:val="left"/>
        </w:tabs>
        <w:rPr>
          <w:sz w:val="20"/>
          <w:szCs w:val="20"/>
          <w:color w:val="auto"/>
        </w:rPr>
      </w:pPr>
      <w:r>
        <w:rPr>
          <w:rFonts w:ascii="Times New Roman" w:cs="Times New Roman" w:eastAsia="Times New Roman" w:hAnsi="Times New Roman"/>
          <w:sz w:val="14"/>
          <w:szCs w:val="14"/>
          <w:b w:val="1"/>
          <w:bCs w:val="1"/>
          <w:color w:val="auto"/>
        </w:rPr>
        <w:t>For</w:t>
      </w:r>
      <w:r>
        <w:rPr>
          <w:sz w:val="20"/>
          <w:szCs w:val="20"/>
          <w:color w:val="auto"/>
        </w:rPr>
        <w:tab/>
      </w:r>
      <w:r>
        <w:rPr>
          <w:rFonts w:ascii="Times New Roman" w:cs="Times New Roman" w:eastAsia="Times New Roman" w:hAnsi="Times New Roman"/>
          <w:sz w:val="14"/>
          <w:szCs w:val="14"/>
          <w:b w:val="1"/>
          <w:bCs w:val="1"/>
          <w:color w:val="auto"/>
        </w:rPr>
        <w:t>Against</w:t>
        <w:tab/>
        <w:t>Abstain</w:t>
      </w:r>
    </w:p>
    <w:p>
      <w:pPr>
        <w:spacing w:after="0" w:line="21" w:lineRule="exact"/>
        <w:rPr>
          <w:sz w:val="20"/>
          <w:szCs w:val="20"/>
          <w:color w:val="auto"/>
        </w:rPr>
      </w:pPr>
    </w:p>
    <w:p>
      <w:pPr>
        <w:sectPr>
          <w:pgSz w:w="11900" w:h="16838" w:orient="portrait"/>
          <w:cols w:equalWidth="0" w:num="2">
            <w:col w:w="9260" w:space="200"/>
            <w:col w:w="1800"/>
          </w:cols>
          <w:pgMar w:left="320" w:top="1440" w:right="31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NOMINEES: (1) Mr. Kenneth Krogulski (2) Ms.</w:t>
            </w:r>
          </w:p>
        </w:tc>
        <w:tc>
          <w:tcPr>
            <w:tcW w:w="1000" w:type="dxa"/>
            <w:vAlign w:val="bottom"/>
          </w:tcPr>
          <w:p>
            <w:pPr>
              <w:spacing w:after="0"/>
              <w:rPr>
                <w:sz w:val="18"/>
                <w:szCs w:val="18"/>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color w:val="auto"/>
              </w:rPr>
              <w:t>To provide advisory approval of the</w:t>
            </w:r>
          </w:p>
        </w:tc>
        <w:tc>
          <w:tcPr>
            <w:tcW w:w="0" w:type="dxa"/>
            <w:vAlign w:val="bottom"/>
          </w:tcPr>
          <w:p>
            <w:pPr>
              <w:spacing w:after="0"/>
              <w:rPr>
                <w:sz w:val="1"/>
                <w:szCs w:val="1"/>
                <w:color w:val="auto"/>
              </w:rPr>
            </w:pPr>
          </w:p>
        </w:tc>
      </w:tr>
      <w:tr>
        <w:trPr>
          <w:trHeight w:val="176"/>
        </w:trPr>
        <w:tc>
          <w:tcPr>
            <w:tcW w:w="4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Caroline Young</w:t>
            </w:r>
          </w:p>
        </w:tc>
        <w:tc>
          <w:tcPr>
            <w:tcW w:w="1000" w:type="dxa"/>
            <w:vAlign w:val="bottom"/>
          </w:tcPr>
          <w:p>
            <w:pPr>
              <w:spacing w:after="0"/>
              <w:rPr>
                <w:sz w:val="15"/>
                <w:szCs w:val="15"/>
                <w:color w:val="auto"/>
              </w:rPr>
            </w:pPr>
          </w:p>
        </w:tc>
        <w:tc>
          <w:tcPr>
            <w:tcW w:w="360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compensation of the Company's named</w:t>
            </w:r>
          </w:p>
        </w:tc>
        <w:tc>
          <w:tcPr>
            <w:tcW w:w="0" w:type="dxa"/>
            <w:vAlign w:val="bottom"/>
          </w:tcPr>
          <w:p>
            <w:pPr>
              <w:spacing w:after="0"/>
              <w:rPr>
                <w:sz w:val="1"/>
                <w:szCs w:val="1"/>
                <w:color w:val="auto"/>
              </w:rPr>
            </w:pPr>
          </w:p>
        </w:tc>
      </w:tr>
      <w:tr>
        <w:trPr>
          <w:trHeight w:val="189"/>
        </w:trPr>
        <w:tc>
          <w:tcPr>
            <w:tcW w:w="4660" w:type="dxa"/>
            <w:vAlign w:val="bottom"/>
            <w:vMerge w:val="restart"/>
          </w:tcPr>
          <w:p>
            <w:pPr>
              <w:ind w:left="4000"/>
              <w:spacing w:after="0" w:line="363" w:lineRule="exact"/>
              <w:rPr>
                <w:sz w:val="20"/>
                <w:szCs w:val="20"/>
                <w:color w:val="auto"/>
              </w:rPr>
            </w:pPr>
            <w:r>
              <w:rPr>
                <w:rFonts w:ascii="Wingdings" w:cs="Wingdings" w:eastAsia="Wingdings" w:hAnsi="Wingdings"/>
                <w:sz w:val="36"/>
                <w:szCs w:val="36"/>
                <w:b w:val="1"/>
                <w:bCs w:val="1"/>
                <w:color w:val="auto"/>
                <w:highlight w:val="black"/>
              </w:rPr>
              <w:t>o</w:t>
            </w:r>
          </w:p>
        </w:tc>
        <w:tc>
          <w:tcPr>
            <w:tcW w:w="1000" w:type="dxa"/>
            <w:vAlign w:val="bottom"/>
            <w:vMerge w:val="restart"/>
          </w:tcPr>
          <w:p>
            <w:pPr>
              <w:ind w:left="360"/>
              <w:spacing w:after="0" w:line="363" w:lineRule="exact"/>
              <w:rPr>
                <w:sz w:val="20"/>
                <w:szCs w:val="20"/>
                <w:color w:val="auto"/>
              </w:rPr>
            </w:pPr>
            <w:r>
              <w:rPr>
                <w:rFonts w:ascii="Wingdings" w:cs="Wingdings" w:eastAsia="Wingdings" w:hAnsi="Wingdings"/>
                <w:sz w:val="36"/>
                <w:szCs w:val="36"/>
                <w:b w:val="1"/>
                <w:bCs w:val="1"/>
                <w:color w:val="auto"/>
                <w:highlight w:val="black"/>
              </w:rPr>
              <w:t>o</w:t>
            </w:r>
          </w:p>
        </w:tc>
        <w:tc>
          <w:tcPr>
            <w:tcW w:w="360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executive officers, as disclosed pursuant to</w:t>
            </w:r>
          </w:p>
        </w:tc>
        <w:tc>
          <w:tcPr>
            <w:tcW w:w="0" w:type="dxa"/>
            <w:vAlign w:val="bottom"/>
          </w:tcPr>
          <w:p>
            <w:pPr>
              <w:spacing w:after="0"/>
              <w:rPr>
                <w:sz w:val="1"/>
                <w:szCs w:val="1"/>
                <w:color w:val="auto"/>
              </w:rPr>
            </w:pPr>
          </w:p>
        </w:tc>
      </w:tr>
      <w:tr>
        <w:trPr>
          <w:trHeight w:val="175"/>
        </w:trPr>
        <w:tc>
          <w:tcPr>
            <w:tcW w:w="46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60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Item 402 of Regulation S-K, including the</w:t>
            </w: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Compensation Discussion and Analysis,</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compensation tables and narrative discussion.</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0" w:type="dxa"/>
            <w:vAlign w:val="bottom"/>
          </w:tcPr>
          <w:p>
            <w:pPr>
              <w:ind w:left="3160"/>
              <w:spacing w:after="0" w:line="149" w:lineRule="exact"/>
              <w:rPr>
                <w:sz w:val="20"/>
                <w:szCs w:val="20"/>
                <w:color w:val="auto"/>
              </w:rPr>
            </w:pPr>
            <w:r>
              <w:rPr>
                <w:rFonts w:ascii="Times New Roman" w:cs="Times New Roman" w:eastAsia="Times New Roman" w:hAnsi="Times New Roman"/>
                <w:sz w:val="14"/>
                <w:szCs w:val="14"/>
                <w:b w:val="1"/>
                <w:bCs w:val="1"/>
                <w:color w:val="auto"/>
              </w:rPr>
              <w:t>Every</w:t>
            </w: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0" w:type="dxa"/>
            <w:vAlign w:val="bottom"/>
          </w:tcPr>
          <w:p>
            <w:pPr>
              <w:ind w:left="32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ind w:right="160"/>
        <w:spacing w:after="0"/>
        <w:rPr>
          <w:sz w:val="20"/>
          <w:szCs w:val="20"/>
          <w:color w:val="auto"/>
        </w:rPr>
      </w:pPr>
      <w:r>
        <w:rPr>
          <w:rFonts w:ascii="Wingdings" w:cs="Wingdings" w:eastAsia="Wingdings" w:hAnsi="Wingdings"/>
          <w:sz w:val="35"/>
          <w:szCs w:val="35"/>
          <w:b w:val="1"/>
          <w:bCs w:val="1"/>
          <w:color w:val="auto"/>
          <w:highlight w:val="black"/>
        </w:rPr>
        <w:t>o o o</w:t>
      </w:r>
    </w:p>
    <w:p>
      <w:pPr>
        <w:spacing w:after="0" w:line="3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Every</w:t>
      </w:r>
      <w:r>
        <w:rPr>
          <w:sz w:val="20"/>
          <w:szCs w:val="20"/>
          <w:color w:val="auto"/>
        </w:rPr>
        <w:tab/>
      </w:r>
      <w:r>
        <w:rPr>
          <w:rFonts w:ascii="Times New Roman" w:cs="Times New Roman" w:eastAsia="Times New Roman" w:hAnsi="Times New Roman"/>
          <w:sz w:val="14"/>
          <w:szCs w:val="14"/>
          <w:b w:val="1"/>
          <w:bCs w:val="1"/>
          <w:color w:val="auto"/>
        </w:rPr>
        <w:t>Every</w:t>
      </w:r>
    </w:p>
    <w:p>
      <w:pPr>
        <w:spacing w:after="0" w:line="221" w:lineRule="auto"/>
        <w:tabs>
          <w:tab w:leader="none" w:pos="620" w:val="left"/>
          <w:tab w:leader="none" w:pos="1220" w:val="left"/>
        </w:tabs>
        <w:rPr>
          <w:sz w:val="20"/>
          <w:szCs w:val="20"/>
          <w:color w:val="auto"/>
        </w:rPr>
      </w:pPr>
      <w:r>
        <w:rPr>
          <w:rFonts w:ascii="Times New Roman" w:cs="Times New Roman" w:eastAsia="Times New Roman" w:hAnsi="Times New Roman"/>
          <w:sz w:val="14"/>
          <w:szCs w:val="14"/>
          <w:b w:val="1"/>
          <w:bCs w:val="1"/>
          <w:color w:val="auto"/>
        </w:rPr>
        <w:t>Other</w:t>
      </w:r>
      <w:r>
        <w:rPr>
          <w:sz w:val="20"/>
          <w:szCs w:val="20"/>
          <w:color w:val="auto"/>
        </w:rPr>
        <w:tab/>
      </w:r>
      <w:r>
        <w:rPr>
          <w:rFonts w:ascii="Times New Roman" w:cs="Times New Roman" w:eastAsia="Times New Roman" w:hAnsi="Times New Roman"/>
          <w:sz w:val="14"/>
          <w:szCs w:val="14"/>
          <w:b w:val="1"/>
          <w:bCs w:val="1"/>
          <w:color w:val="auto"/>
        </w:rPr>
        <w:t>Three</w:t>
      </w:r>
      <w:r>
        <w:rPr>
          <w:sz w:val="20"/>
          <w:szCs w:val="20"/>
          <w:color w:val="auto"/>
        </w:rPr>
        <w:tab/>
      </w:r>
      <w:r>
        <w:rPr>
          <w:rFonts w:ascii="Times New Roman" w:cs="Times New Roman" w:eastAsia="Times New Roman" w:hAnsi="Times New Roman"/>
          <w:sz w:val="14"/>
          <w:szCs w:val="14"/>
          <w:b w:val="1"/>
          <w:bCs w:val="1"/>
          <w:color w:val="auto"/>
        </w:rPr>
        <w:t>Abstain</w:t>
      </w:r>
    </w:p>
    <w:p>
      <w:pPr>
        <w:ind w:left="40"/>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Year</w:t>
      </w:r>
      <w:r>
        <w:rPr>
          <w:sz w:val="20"/>
          <w:szCs w:val="20"/>
          <w:color w:val="auto"/>
        </w:rPr>
        <w:tab/>
      </w:r>
      <w:r>
        <w:rPr>
          <w:rFonts w:ascii="Times New Roman" w:cs="Times New Roman" w:eastAsia="Times New Roman" w:hAnsi="Times New Roman"/>
          <w:sz w:val="14"/>
          <w:szCs w:val="14"/>
          <w:b w:val="1"/>
          <w:bCs w:val="1"/>
          <w:color w:val="auto"/>
        </w:rPr>
        <w:t>Years</w:t>
      </w:r>
    </w:p>
    <w:p>
      <w:pPr>
        <w:spacing w:after="0" w:line="3" w:lineRule="exact"/>
        <w:rPr>
          <w:sz w:val="20"/>
          <w:szCs w:val="20"/>
          <w:color w:val="auto"/>
        </w:rPr>
      </w:pPr>
    </w:p>
    <w:p>
      <w:pPr>
        <w:sectPr>
          <w:pgSz w:w="11900" w:h="16838" w:orient="portrait"/>
          <w:cols w:equalWidth="0" w:num="2">
            <w:col w:w="9280" w:space="160"/>
            <w:col w:w="1820"/>
          </w:cols>
          <w:pgMar w:left="320" w:top="1440" w:right="319" w:bottom="1440" w:gutter="0" w:footer="0" w:header="0"/>
          <w:type w:val="continuous"/>
        </w:sectPr>
      </w:pPr>
    </w:p>
    <w:p>
      <w:pPr>
        <w:spacing w:after="0" w:line="252" w:lineRule="exact"/>
        <w:rPr>
          <w:sz w:val="20"/>
          <w:szCs w:val="20"/>
          <w:color w:val="auto"/>
        </w:rPr>
      </w:pPr>
    </w:p>
    <w:p>
      <w:pPr>
        <w:ind w:left="20" w:right="1940"/>
        <w:spacing w:after="0" w:line="238" w:lineRule="auto"/>
        <w:rPr>
          <w:sz w:val="20"/>
          <w:szCs w:val="20"/>
          <w:color w:val="auto"/>
        </w:rPr>
      </w:pPr>
      <w:r>
        <w:rPr>
          <w:rFonts w:ascii="Times New Roman" w:cs="Times New Roman" w:eastAsia="Times New Roman" w:hAnsi="Times New Roman"/>
          <w:sz w:val="17"/>
          <w:szCs w:val="17"/>
          <w:b w:val="1"/>
          <w:bCs w:val="1"/>
          <w:color w:val="auto"/>
        </w:rPr>
        <w:t>(INSTRUCTION: To withhold authority to vote for any individual nominee, write that</w:t>
      </w:r>
    </w:p>
    <w:p>
      <w:pPr>
        <w:ind w:left="20"/>
        <w:spacing w:after="0" w:line="204" w:lineRule="auto"/>
        <w:rPr>
          <w:sz w:val="20"/>
          <w:szCs w:val="20"/>
          <w:color w:val="auto"/>
        </w:rPr>
      </w:pPr>
      <w:r>
        <w:rPr>
          <w:rFonts w:ascii="Times New Roman" w:cs="Times New Roman" w:eastAsia="Times New Roman" w:hAnsi="Times New Roman"/>
          <w:sz w:val="18"/>
          <w:szCs w:val="18"/>
          <w:b w:val="1"/>
          <w:bCs w:val="1"/>
          <w:color w:val="auto"/>
        </w:rPr>
        <w:t>nominee's name on the space provided</w:t>
      </w:r>
    </w:p>
    <w:p>
      <w:pPr>
        <w:ind w:left="20"/>
        <w:spacing w:after="0"/>
        <w:rPr>
          <w:sz w:val="20"/>
          <w:szCs w:val="20"/>
          <w:color w:val="auto"/>
        </w:rPr>
      </w:pPr>
      <w:r>
        <w:rPr>
          <w:rFonts w:ascii="Times New Roman" w:cs="Times New Roman" w:eastAsia="Times New Roman" w:hAnsi="Times New Roman"/>
          <w:sz w:val="18"/>
          <w:szCs w:val="18"/>
          <w:b w:val="1"/>
          <w:bCs w:val="1"/>
          <w:color w:val="auto"/>
        </w:rPr>
        <w:t>below.)</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color w:val="auto"/>
              </w:rPr>
              <w:t>To provide advisory approval of</w:t>
            </w: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7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the frequency of the advisory vote on</w:t>
            </w:r>
          </w:p>
        </w:tc>
        <w:tc>
          <w:tcPr>
            <w:tcW w:w="540" w:type="dxa"/>
            <w:vAlign w:val="bottom"/>
            <w:vMerge w:val="restart"/>
          </w:tcPr>
          <w:p>
            <w:pPr>
              <w:ind w:left="80"/>
              <w:spacing w:after="0" w:line="363" w:lineRule="exact"/>
              <w:rPr>
                <w:sz w:val="20"/>
                <w:szCs w:val="20"/>
                <w:color w:val="auto"/>
              </w:rPr>
            </w:pPr>
            <w:r>
              <w:rPr>
                <w:rFonts w:ascii="Wingdings" w:cs="Wingdings" w:eastAsia="Wingdings" w:hAnsi="Wingdings"/>
                <w:sz w:val="36"/>
                <w:szCs w:val="36"/>
                <w:b w:val="1"/>
                <w:bCs w:val="1"/>
                <w:color w:val="auto"/>
                <w:highlight w:val="black"/>
              </w:rPr>
              <w:t>o</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the compensation of the Company’s</w:t>
            </w:r>
          </w:p>
        </w:tc>
        <w:tc>
          <w:tcPr>
            <w:tcW w:w="540" w:type="dxa"/>
            <w:vAlign w:val="bottom"/>
            <w:vMerge w:val="continue"/>
          </w:tcPr>
          <w:p>
            <w:pPr>
              <w:spacing w:after="0"/>
              <w:rPr>
                <w:sz w:val="15"/>
                <w:szCs w:val="15"/>
                <w:color w:val="auto"/>
              </w:rPr>
            </w:pPr>
          </w:p>
        </w:tc>
        <w:tc>
          <w:tcPr>
            <w:tcW w:w="1760" w:type="dxa"/>
            <w:vAlign w:val="bottom"/>
            <w:vMerge w:val="restart"/>
          </w:tcPr>
          <w:p>
            <w:pPr>
              <w:ind w:left="140"/>
              <w:spacing w:after="0"/>
              <w:rPr>
                <w:sz w:val="20"/>
                <w:szCs w:val="20"/>
                <w:color w:val="auto"/>
              </w:rPr>
            </w:pPr>
            <w:r>
              <w:rPr>
                <w:rFonts w:ascii="Wingdings" w:cs="Wingdings" w:eastAsia="Wingdings" w:hAnsi="Wingdings"/>
                <w:sz w:val="36"/>
                <w:szCs w:val="36"/>
                <w:b w:val="1"/>
                <w:bCs w:val="1"/>
                <w:color w:val="auto"/>
                <w:highlight w:val="black"/>
                <w:w w:val="95"/>
              </w:rPr>
              <w:t>o o o</w:t>
            </w:r>
          </w:p>
        </w:tc>
        <w:tc>
          <w:tcPr>
            <w:tcW w:w="0" w:type="dxa"/>
            <w:vAlign w:val="bottom"/>
          </w:tcPr>
          <w:p>
            <w:pPr>
              <w:spacing w:after="0"/>
              <w:rPr>
                <w:sz w:val="1"/>
                <w:szCs w:val="1"/>
                <w:color w:val="auto"/>
              </w:rPr>
            </w:pPr>
          </w:p>
        </w:tc>
      </w:tr>
      <w:tr>
        <w:trPr>
          <w:trHeight w:val="41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named executive officers.</w:t>
            </w:r>
          </w:p>
        </w:tc>
        <w:tc>
          <w:tcPr>
            <w:tcW w:w="540" w:type="dxa"/>
            <w:vAlign w:val="bottom"/>
          </w:tcPr>
          <w:p>
            <w:pPr>
              <w:ind w:left="80"/>
              <w:spacing w:after="0"/>
              <w:rPr>
                <w:sz w:val="20"/>
                <w:szCs w:val="20"/>
                <w:color w:val="auto"/>
              </w:rPr>
            </w:pPr>
            <w:r>
              <w:rPr>
                <w:rFonts w:ascii="Wingdings" w:cs="Wingdings" w:eastAsia="Wingdings" w:hAnsi="Wingdings"/>
                <w:sz w:val="36"/>
                <w:szCs w:val="36"/>
                <w:b w:val="1"/>
                <w:bCs w:val="1"/>
                <w:color w:val="auto"/>
                <w:highlight w:val="black"/>
              </w:rPr>
              <w:t>o</w:t>
            </w:r>
          </w:p>
        </w:tc>
        <w:tc>
          <w:tcPr>
            <w:tcW w:w="1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124460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5280" w:space="720"/>
            <w:col w:w="5260"/>
          </w:cols>
          <w:pgMar w:left="320" w:top="1440"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In their discretion, the Proxies are authorized to vote upon such other business as may properly come before the meeting.</w:t>
      </w:r>
    </w:p>
    <w:p>
      <w:pPr>
        <w:spacing w:after="0" w:line="27" w:lineRule="exact"/>
        <w:rPr>
          <w:sz w:val="20"/>
          <w:szCs w:val="20"/>
          <w:color w:val="auto"/>
        </w:rPr>
      </w:pPr>
    </w:p>
    <w:p>
      <w:pPr>
        <w:ind w:left="20" w:right="120"/>
        <w:spacing w:after="0" w:line="232" w:lineRule="auto"/>
        <w:rPr>
          <w:sz w:val="20"/>
          <w:szCs w:val="20"/>
          <w:color w:val="auto"/>
        </w:rPr>
      </w:pPr>
      <w:r>
        <w:rPr>
          <w:rFonts w:ascii="Times New Roman" w:cs="Times New Roman" w:eastAsia="Times New Roman" w:hAnsi="Times New Roman"/>
          <w:sz w:val="16"/>
          <w:szCs w:val="16"/>
          <w:b w:val="1"/>
          <w:bCs w:val="1"/>
          <w:color w:val="auto"/>
        </w:rPr>
        <w:t>I understand that I may revoke this Proxy only by: (i) written instructions to that effect, signed and dated by me, which must be actually received by the Corporate Secretary prior to the commencement of the Annual Meeting; (ii) properly submitting to the Company a duly executed proxy bearing a later date; OR (iii) appearing at the Annual Meeting and voting in person.</w:t>
      </w:r>
    </w:p>
    <w:p>
      <w:pPr>
        <w:spacing w:after="0" w:line="110"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22"/>
          <w:szCs w:val="22"/>
          <w:b w:val="1"/>
          <w:bCs w:val="1"/>
          <w:color w:val="auto"/>
        </w:rPr>
        <w:t>COMPANY ID:</w:t>
      </w:r>
    </w:p>
    <w:p>
      <w:pPr>
        <w:spacing w:after="0" w:line="33"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22"/>
          <w:szCs w:val="22"/>
          <w:b w:val="1"/>
          <w:bCs w:val="1"/>
          <w:color w:val="auto"/>
        </w:rPr>
        <w:t>PROXY NUMBER:</w:t>
      </w:r>
    </w:p>
    <w:p>
      <w:pPr>
        <w:spacing w:after="0" w:line="1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22"/>
          <w:szCs w:val="22"/>
          <w:b w:val="1"/>
          <w:bCs w:val="1"/>
          <w:color w:val="auto"/>
        </w:rPr>
        <w:t>ACCOUNT NUMBER:</w:t>
      </w:r>
    </w:p>
    <w:p>
      <w:pPr>
        <w:spacing w:after="0" w:line="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Signature _________________________________ Signature if Held Jointly____________________________________ Date____________ , 2026.</w:t>
      </w:r>
    </w:p>
    <w:p>
      <w:pPr>
        <w:spacing w:after="0" w:line="28" w:lineRule="exact"/>
        <w:rPr>
          <w:sz w:val="20"/>
          <w:szCs w:val="20"/>
          <w:color w:val="auto"/>
        </w:rPr>
      </w:pPr>
    </w:p>
    <w:p>
      <w:pPr>
        <w:ind w:left="80" w:right="1280"/>
        <w:spacing w:after="0" w:line="214" w:lineRule="auto"/>
        <w:rPr>
          <w:sz w:val="20"/>
          <w:szCs w:val="20"/>
          <w:color w:val="auto"/>
        </w:rPr>
      </w:pPr>
      <w:r>
        <w:rPr>
          <w:rFonts w:ascii="Times New Roman" w:cs="Times New Roman" w:eastAsia="Times New Roman" w:hAnsi="Times New Roman"/>
          <w:sz w:val="11"/>
          <w:szCs w:val="11"/>
          <w:color w:val="auto"/>
        </w:rPr>
        <w:t>Please sign exactly as your name appears on your stock certificate. When shares are held by joint tenants, both should sign. When signing as attorney, executor, administrator, trustee or guardian, please give full title as such. If the shares are owned by a corporation, sign in the full corporate name by the President or other authorized officer. If the shares are owned by a Partnership, sign in the name of the Partnership name by an authorized person.</w:t>
      </w:r>
    </w:p>
    <w:p>
      <w:pPr>
        <w:sectPr>
          <w:pgSz w:w="11900" w:h="16838" w:orient="portrait"/>
          <w:cols w:equalWidth="0" w:num="1">
            <w:col w:w="11260"/>
          </w:cols>
          <w:pgMar w:left="320" w:top="1440" w:right="319" w:bottom="1440" w:gutter="0" w:footer="0" w:header="0"/>
          <w:type w:val="continuous"/>
        </w:sectPr>
      </w:pP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60"/>
          </w:cols>
          <w:pgMar w:left="320" w:top="1440" w:right="319"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400"/>
        <w:spacing w:after="0" w:line="287" w:lineRule="auto"/>
        <w:rPr>
          <w:sz w:val="20"/>
          <w:szCs w:val="20"/>
          <w:color w:val="auto"/>
        </w:rPr>
      </w:pPr>
      <w:r>
        <w:rPr>
          <w:rFonts w:ascii="Times New Roman" w:cs="Times New Roman" w:eastAsia="Times New Roman" w:hAnsi="Times New Roman"/>
          <w:sz w:val="29"/>
          <w:szCs w:val="29"/>
          <w:b w:val="1"/>
          <w:bCs w:val="1"/>
          <w:color w:val="auto"/>
        </w:rPr>
        <w:t>Important Notice Regarding the Availability of Proxy Materials for the Annual Meeting of Shareholders to be held April 21, 2026</w:t>
      </w:r>
    </w:p>
    <w:p>
      <w:pPr>
        <w:spacing w:after="0" w:line="147" w:lineRule="exact"/>
        <w:rPr>
          <w:sz w:val="20"/>
          <w:szCs w:val="20"/>
          <w:color w:val="auto"/>
        </w:rPr>
      </w:pPr>
    </w:p>
    <w:p>
      <w:pPr>
        <w:jc w:val="center"/>
        <w:ind w:left="420" w:right="180"/>
        <w:spacing w:after="0" w:line="261" w:lineRule="auto"/>
        <w:rPr>
          <w:sz w:val="20"/>
          <w:szCs w:val="20"/>
          <w:color w:val="auto"/>
        </w:rPr>
      </w:pPr>
      <w:r>
        <w:rPr>
          <w:rFonts w:ascii="Times New Roman" w:cs="Times New Roman" w:eastAsia="Times New Roman" w:hAnsi="Times New Roman"/>
          <w:sz w:val="29"/>
          <w:szCs w:val="29"/>
          <w:b w:val="1"/>
          <w:bCs w:val="1"/>
          <w:color w:val="auto"/>
        </w:rPr>
        <w:t>The Notice, Proxy Statement, and our Annual Report on Form 10-K for the year ended December 31, 2025 are available at:</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http://www.cstproxy.com/cumberlandpharma/2026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FOLD AND DETACH HERE AND READ THE REVERSE SIDE</w:t>
      </w:r>
      <w:r>
        <w:rPr>
          <w:rFonts w:ascii="Times New Roman" w:cs="Times New Roman" w:eastAsia="Times New Roman" w:hAnsi="Times New Roman"/>
          <w:sz w:val="14"/>
          <w:szCs w:val="14"/>
          <w:color w:val="auto"/>
        </w:rPr>
        <w:t xml:space="preserve"> ▼</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THIS PROXY IS SOLICITED ON BEHALF OF THE BOARD OF DIRECTORS OF</w:t>
      </w:r>
    </w:p>
    <w:p>
      <w:pPr>
        <w:spacing w:after="0" w:line="1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CUMBERLAND PHARMACEUTICALS INC.</w:t>
      </w:r>
    </w:p>
    <w:p>
      <w:pPr>
        <w:spacing w:after="0" w:line="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NOTICE OF ANNUAL MEETING OF SHAREHOLDERS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To Be Held April 21, 2026</w:t>
      </w:r>
    </w:p>
    <w:p>
      <w:pPr>
        <w:spacing w:after="0" w:line="260" w:lineRule="exact"/>
        <w:rPr>
          <w:sz w:val="20"/>
          <w:szCs w:val="20"/>
          <w:color w:val="auto"/>
        </w:rPr>
      </w:pPr>
    </w:p>
    <w:p>
      <w:pPr>
        <w:jc w:val="both"/>
        <w:ind w:right="120" w:firstLine="405"/>
        <w:spacing w:after="0" w:line="256" w:lineRule="auto"/>
        <w:rPr>
          <w:sz w:val="20"/>
          <w:szCs w:val="20"/>
          <w:color w:val="auto"/>
        </w:rPr>
      </w:pPr>
      <w:r>
        <w:rPr>
          <w:rFonts w:ascii="Times New Roman" w:cs="Times New Roman" w:eastAsia="Times New Roman" w:hAnsi="Times New Roman"/>
          <w:sz w:val="18"/>
          <w:szCs w:val="18"/>
          <w:color w:val="auto"/>
        </w:rPr>
        <w:t>The undersigned hereby appoints A.J. Kazimi and Kenneth J. Krogulski, or either of them, as proxies, with full power of substitution, and hereby authorizes each of them to represent and vote, as designated on the reverse side, all of the shares of Common Stock of Cumberland Pharmaceuticals Inc., held of record by the undersigned on February 27, 2026 at the Annual Meeting of Shareholders to be held at the Cumberland Pharmaceuticals Inc., 1600 West End Avenue, Suite 1300, Nashville, Tennessee 37203 on Tuesday, April 21, 2026, at 9:30 a.m. Central Time, or any adjournment(s) or postponement(s) thereof, with all powers which the undersigned would possess if personally present, upon and in respect of the following matters and in accordance with the instructions specified on the reverse side.</w:t>
      </w:r>
    </w:p>
    <w:p>
      <w:pPr>
        <w:spacing w:after="0" w:line="214" w:lineRule="exact"/>
        <w:rPr>
          <w:sz w:val="20"/>
          <w:szCs w:val="20"/>
          <w:color w:val="auto"/>
        </w:rPr>
      </w:pPr>
    </w:p>
    <w:p>
      <w:pPr>
        <w:jc w:val="both"/>
        <w:ind w:right="120" w:firstLine="405"/>
        <w:spacing w:after="0" w:line="258" w:lineRule="auto"/>
        <w:rPr>
          <w:sz w:val="20"/>
          <w:szCs w:val="20"/>
          <w:color w:val="auto"/>
        </w:rPr>
      </w:pPr>
      <w:r>
        <w:rPr>
          <w:rFonts w:ascii="Times New Roman" w:cs="Times New Roman" w:eastAsia="Times New Roman" w:hAnsi="Times New Roman"/>
          <w:sz w:val="18"/>
          <w:szCs w:val="18"/>
          <w:color w:val="auto"/>
        </w:rPr>
        <w:t>THIS PROXY, WHEN PROPERLY EXECUTED, WILL BE VOTED IN THE MANNER DIRECTED HEREIN BY THE UNDERSIGNED SHAREHOLDER. IF NO DIRECTIONS ARE GIVEN, THIS PROXY WILL BE VOTED FOR ALL OF THE DIRECTOR NOMINEES NAMED IN PROPOSAL 1 ON THE REVERSE SIDE AS WELL AS PROPOSALS 2 AND 3 AND EVERY THREE YEARS FOR PROPOSAL 4. THE PROXIES NAMED ABOVE ARE HEREBY AUTHORIZED TO VOTE IN THEIR DISCRETION UPON SUCH OTHER BUSINESS AS MAY PROPERLY COME BEFORE THE MEETING AND ANY ADJOURNMENT(S) OR POSTPONEMENT(S) THEREOF.</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(Continued, and to be marked, dated and signed, on the other side)</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w:t>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2026-03-09T16:06:41Z</dcterms:created>
  <dcterms:modified xsi:type="dcterms:W3CDTF">2026-03-09T16:06:41Z</dcterms:modified>
</cp:coreProperties>
</file>